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2.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7EDB" w14:textId="0CC31FFA" w:rsidR="00F5048A" w:rsidRPr="00922031" w:rsidRDefault="001153B7">
      <w:pPr>
        <w:pStyle w:val="1"/>
        <w:ind w:left="360"/>
        <w:jc w:val="both"/>
        <w:rPr>
          <w:rFonts w:cstheme="minorHAnsi"/>
        </w:rPr>
      </w:pPr>
      <w:bookmarkStart w:id="0" w:name="_Toc516210103"/>
      <w:bookmarkStart w:id="1" w:name="_Toc516215870"/>
      <w:bookmarkStart w:id="2" w:name="_Toc516215963"/>
      <w:bookmarkStart w:id="3" w:name="_Toc516216079"/>
      <w:bookmarkStart w:id="4" w:name="_Toc523742805"/>
      <w:bookmarkStart w:id="5" w:name="_Toc524606265"/>
      <w:bookmarkStart w:id="6" w:name="_Toc3291984"/>
      <w:bookmarkStart w:id="7" w:name="_Toc4152515"/>
      <w:bookmarkStart w:id="8" w:name="_Toc4153540"/>
      <w:bookmarkStart w:id="9" w:name="_Toc4153693"/>
      <w:bookmarkStart w:id="10" w:name="_Toc4156055"/>
      <w:r w:rsidRPr="00922031">
        <w:rPr>
          <w:rFonts w:cstheme="minorHAnsi"/>
          <w:noProof/>
          <w:lang w:eastAsia="hr-HR"/>
        </w:rPr>
        <w:drawing>
          <wp:anchor distT="0" distB="0" distL="114300" distR="114300" simplePos="0" relativeHeight="251658241" behindDoc="0" locked="0" layoutInCell="1" allowOverlap="1" wp14:anchorId="799A2043" wp14:editId="5F872C18">
            <wp:simplePos x="0" y="0"/>
            <wp:positionH relativeFrom="margin">
              <wp:align>center</wp:align>
            </wp:positionH>
            <wp:positionV relativeFrom="paragraph">
              <wp:posOffset>-142875</wp:posOffset>
            </wp:positionV>
            <wp:extent cx="685800" cy="752475"/>
            <wp:effectExtent l="0" t="0" r="0" b="9525"/>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r w:rsidR="00D11759">
        <w:rPr>
          <w:rFonts w:cstheme="minorHAnsi"/>
        </w:rPr>
        <w:t xml:space="preserve"> </w:t>
      </w:r>
    </w:p>
    <w:p w14:paraId="4FE385B4" w14:textId="77777777" w:rsidR="00F5048A" w:rsidRPr="00922031" w:rsidRDefault="00F5048A" w:rsidP="00975CD4">
      <w:pPr>
        <w:rPr>
          <w:rFonts w:cstheme="minorHAnsi"/>
          <w:b/>
          <w:caps/>
          <w:sz w:val="36"/>
          <w:szCs w:val="36"/>
        </w:rPr>
      </w:pPr>
    </w:p>
    <w:p w14:paraId="668D24AD" w14:textId="77777777" w:rsidR="00F5048A" w:rsidRPr="00922031" w:rsidRDefault="00F5048A" w:rsidP="00975CD4">
      <w:pPr>
        <w:rPr>
          <w:rFonts w:cstheme="minorHAnsi"/>
          <w:b/>
          <w:caps/>
          <w:sz w:val="36"/>
          <w:szCs w:val="36"/>
        </w:rPr>
      </w:pPr>
    </w:p>
    <w:p w14:paraId="4FC4FC54" w14:textId="77777777" w:rsidR="00F5048A" w:rsidRPr="00922031" w:rsidRDefault="00F5048A" w:rsidP="00975CD4">
      <w:pPr>
        <w:rPr>
          <w:rFonts w:cstheme="minorHAnsi"/>
          <w:b/>
          <w:caps/>
          <w:sz w:val="36"/>
          <w:szCs w:val="36"/>
        </w:rPr>
      </w:pPr>
    </w:p>
    <w:p w14:paraId="42216511" w14:textId="790F0A4A" w:rsidR="00F5048A" w:rsidRPr="005808FC" w:rsidRDefault="00F5048A">
      <w:pPr>
        <w:jc w:val="center"/>
        <w:rPr>
          <w:b/>
          <w:bCs/>
          <w:caps/>
          <w:sz w:val="36"/>
          <w:szCs w:val="36"/>
        </w:rPr>
      </w:pPr>
      <w:r w:rsidRPr="00315275">
        <w:rPr>
          <w:b/>
          <w:bCs/>
          <w:caps/>
          <w:sz w:val="36"/>
          <w:szCs w:val="36"/>
        </w:rPr>
        <w:t>AKCIJSKI PLAN ENERGETSKI ODRŽIVOG RAZVITKA</w:t>
      </w:r>
      <w:r w:rsidR="000509A0">
        <w:rPr>
          <w:b/>
          <w:bCs/>
          <w:caps/>
          <w:sz w:val="36"/>
          <w:szCs w:val="36"/>
        </w:rPr>
        <w:t xml:space="preserve"> i </w:t>
      </w:r>
      <w:r w:rsidRPr="00315275">
        <w:rPr>
          <w:b/>
          <w:bCs/>
          <w:caps/>
          <w:sz w:val="36"/>
          <w:szCs w:val="36"/>
        </w:rPr>
        <w:t>PRILAGODBE KLIMATSKIM PROMJENAMA</w:t>
      </w:r>
    </w:p>
    <w:p w14:paraId="162F02F0" w14:textId="340CAEA7" w:rsidR="005F44CC" w:rsidRPr="005808FC" w:rsidRDefault="00F5048A">
      <w:pPr>
        <w:jc w:val="center"/>
        <w:rPr>
          <w:b/>
          <w:bCs/>
          <w:i/>
          <w:iCs/>
          <w:caps/>
          <w:sz w:val="36"/>
          <w:szCs w:val="36"/>
        </w:rPr>
      </w:pPr>
      <w:r w:rsidRPr="00315275">
        <w:rPr>
          <w:b/>
          <w:bCs/>
          <w:caps/>
          <w:sz w:val="36"/>
          <w:szCs w:val="36"/>
        </w:rPr>
        <w:t>GRADA ZAGREBA</w:t>
      </w:r>
    </w:p>
    <w:p w14:paraId="314E3E36" w14:textId="77777777" w:rsidR="00895AD3" w:rsidRDefault="00895AD3" w:rsidP="001153B7">
      <w:pPr>
        <w:jc w:val="center"/>
        <w:rPr>
          <w:rFonts w:cstheme="minorHAnsi"/>
          <w:b/>
          <w:i/>
          <w:caps/>
          <w:sz w:val="36"/>
          <w:szCs w:val="36"/>
        </w:rPr>
      </w:pPr>
    </w:p>
    <w:p w14:paraId="249068C9" w14:textId="704C11A8" w:rsidR="00F5048A" w:rsidRPr="00895AD3" w:rsidRDefault="00463D9D" w:rsidP="001153B7">
      <w:pPr>
        <w:jc w:val="center"/>
        <w:rPr>
          <w:rFonts w:cstheme="minorHAnsi"/>
          <w:b/>
          <w:i/>
          <w:caps/>
          <w:sz w:val="36"/>
          <w:szCs w:val="36"/>
        </w:rPr>
      </w:pPr>
      <w:r w:rsidRPr="00895AD3">
        <w:rPr>
          <w:rFonts w:cstheme="minorHAnsi"/>
          <w:b/>
          <w:i/>
          <w:caps/>
          <w:sz w:val="36"/>
          <w:szCs w:val="36"/>
        </w:rPr>
        <w:t xml:space="preserve">sustainable energy and climate action plan - </w:t>
      </w:r>
      <w:r w:rsidRPr="00895AD3">
        <w:rPr>
          <w:rFonts w:cstheme="minorHAnsi"/>
          <w:b/>
          <w:caps/>
          <w:sz w:val="36"/>
          <w:szCs w:val="36"/>
        </w:rPr>
        <w:t>secap</w:t>
      </w:r>
    </w:p>
    <w:p w14:paraId="597DDF98" w14:textId="77777777" w:rsidR="00254F59" w:rsidRDefault="00254F59" w:rsidP="00254F59">
      <w:pPr>
        <w:jc w:val="center"/>
        <w:rPr>
          <w:b/>
          <w:bCs/>
          <w:caps/>
          <w:color w:val="FF0000"/>
          <w:sz w:val="36"/>
          <w:szCs w:val="36"/>
        </w:rPr>
      </w:pPr>
    </w:p>
    <w:p w14:paraId="5930413A" w14:textId="77777777" w:rsidR="00254F59" w:rsidRDefault="00254F59" w:rsidP="00254F59">
      <w:pPr>
        <w:jc w:val="center"/>
        <w:rPr>
          <w:b/>
          <w:bCs/>
          <w:caps/>
          <w:color w:val="FF0000"/>
          <w:sz w:val="36"/>
          <w:szCs w:val="36"/>
        </w:rPr>
      </w:pPr>
    </w:p>
    <w:p w14:paraId="28D8EEAE" w14:textId="77777777" w:rsidR="00254F59" w:rsidRDefault="00254F59" w:rsidP="00254F59">
      <w:pPr>
        <w:jc w:val="center"/>
        <w:rPr>
          <w:b/>
          <w:bCs/>
          <w:caps/>
          <w:color w:val="FF0000"/>
          <w:sz w:val="36"/>
          <w:szCs w:val="36"/>
        </w:rPr>
      </w:pPr>
    </w:p>
    <w:p w14:paraId="77213A64" w14:textId="77777777" w:rsidR="00254F59" w:rsidRDefault="00254F59" w:rsidP="00254F59">
      <w:pPr>
        <w:jc w:val="center"/>
        <w:rPr>
          <w:b/>
          <w:bCs/>
          <w:caps/>
          <w:color w:val="FF0000"/>
          <w:sz w:val="36"/>
          <w:szCs w:val="36"/>
        </w:rPr>
      </w:pPr>
    </w:p>
    <w:p w14:paraId="0E85809F" w14:textId="398BE90E" w:rsidR="00254F59" w:rsidRPr="009F02D0" w:rsidRDefault="00254F59" w:rsidP="00254F59">
      <w:pPr>
        <w:jc w:val="center"/>
        <w:rPr>
          <w:b/>
          <w:bCs/>
          <w:caps/>
          <w:color w:val="FF0000"/>
          <w:sz w:val="36"/>
          <w:szCs w:val="36"/>
        </w:rPr>
      </w:pPr>
      <w:r w:rsidRPr="009F02D0">
        <w:rPr>
          <w:b/>
          <w:bCs/>
          <w:caps/>
          <w:color w:val="FF0000"/>
          <w:sz w:val="36"/>
          <w:szCs w:val="36"/>
        </w:rPr>
        <w:t>RADNA VERZIJA</w:t>
      </w:r>
    </w:p>
    <w:p w14:paraId="796FFB5D" w14:textId="77777777" w:rsidR="00BF3C21" w:rsidRDefault="00BF3C21">
      <w:pPr>
        <w:jc w:val="center"/>
        <w:rPr>
          <w:b/>
          <w:bCs/>
        </w:rPr>
      </w:pPr>
    </w:p>
    <w:p w14:paraId="1B34FFA4" w14:textId="23560B0B" w:rsidR="00254F59" w:rsidRDefault="00254F59" w:rsidP="00254F59">
      <w:pPr>
        <w:rPr>
          <w:b/>
          <w:bCs/>
        </w:rPr>
      </w:pPr>
    </w:p>
    <w:p w14:paraId="7B2D2EC4" w14:textId="65AA4082" w:rsidR="00254F59" w:rsidRDefault="00254F59" w:rsidP="00254F59">
      <w:pPr>
        <w:rPr>
          <w:b/>
          <w:bCs/>
        </w:rPr>
      </w:pPr>
    </w:p>
    <w:p w14:paraId="3B0B2409" w14:textId="77777777" w:rsidR="00254F59" w:rsidRDefault="00254F59">
      <w:pPr>
        <w:jc w:val="center"/>
        <w:rPr>
          <w:b/>
          <w:bCs/>
        </w:rPr>
      </w:pPr>
    </w:p>
    <w:p w14:paraId="64C63E23" w14:textId="3A509DFA" w:rsidR="00BF3C21" w:rsidRDefault="00BF3C21">
      <w:pPr>
        <w:jc w:val="center"/>
        <w:rPr>
          <w:b/>
          <w:bCs/>
        </w:rPr>
      </w:pPr>
    </w:p>
    <w:p w14:paraId="41C94A73" w14:textId="77777777" w:rsidR="00254F59" w:rsidRDefault="00254F59">
      <w:pPr>
        <w:jc w:val="center"/>
        <w:rPr>
          <w:b/>
          <w:bCs/>
        </w:rPr>
      </w:pPr>
    </w:p>
    <w:p w14:paraId="613DD664" w14:textId="77777777" w:rsidR="00BF3C21" w:rsidRDefault="00BF3C21">
      <w:pPr>
        <w:jc w:val="center"/>
        <w:rPr>
          <w:b/>
          <w:bCs/>
        </w:rPr>
      </w:pPr>
    </w:p>
    <w:p w14:paraId="7AEE2B7D" w14:textId="1B0547CB" w:rsidR="00F5048A" w:rsidRDefault="00F5048A" w:rsidP="00254F59">
      <w:pPr>
        <w:jc w:val="center"/>
        <w:rPr>
          <w:rFonts w:cstheme="minorHAnsi"/>
        </w:rPr>
      </w:pPr>
      <w:r w:rsidRPr="00315275">
        <w:rPr>
          <w:b/>
          <w:bCs/>
        </w:rPr>
        <w:t xml:space="preserve">Zagreb, </w:t>
      </w:r>
      <w:r w:rsidR="00D21957">
        <w:rPr>
          <w:b/>
          <w:bCs/>
        </w:rPr>
        <w:t>ožujak</w:t>
      </w:r>
      <w:r w:rsidR="00D21957" w:rsidRPr="003E50D1">
        <w:rPr>
          <w:b/>
          <w:bCs/>
        </w:rPr>
        <w:t xml:space="preserve"> </w:t>
      </w:r>
      <w:r w:rsidRPr="003E50D1">
        <w:rPr>
          <w:b/>
          <w:bCs/>
        </w:rPr>
        <w:t>201</w:t>
      </w:r>
      <w:r w:rsidR="00D21957">
        <w:rPr>
          <w:b/>
          <w:bCs/>
        </w:rPr>
        <w:t>9</w:t>
      </w:r>
      <w:r w:rsidRPr="003E50D1">
        <w:t>.</w:t>
      </w:r>
      <w:r w:rsidRPr="00922031">
        <w:rPr>
          <w:rFonts w:cstheme="minorHAnsi"/>
        </w:rPr>
        <w:br w:type="page"/>
      </w:r>
    </w:p>
    <w:p w14:paraId="4F2CBDB8" w14:textId="71761A36" w:rsidR="0092661D" w:rsidRPr="00922031" w:rsidRDefault="0092661D" w:rsidP="002C746F">
      <w:pPr>
        <w:pStyle w:val="Heading1"/>
        <w:numPr>
          <w:ilvl w:val="0"/>
          <w:numId w:val="0"/>
        </w:numPr>
        <w:tabs>
          <w:tab w:val="center" w:pos="4513"/>
        </w:tabs>
      </w:pPr>
      <w:bookmarkStart w:id="11" w:name="_Toc516215964"/>
      <w:bookmarkStart w:id="12" w:name="_Toc4156056"/>
      <w:r w:rsidRPr="00922031">
        <w:lastRenderedPageBreak/>
        <w:t>SADRŽAJ</w:t>
      </w:r>
      <w:bookmarkEnd w:id="11"/>
      <w:bookmarkEnd w:id="12"/>
      <w:r w:rsidR="002C746F">
        <w:tab/>
      </w:r>
    </w:p>
    <w:sdt>
      <w:sdtPr>
        <w:rPr>
          <w:rFonts w:asciiTheme="minorHAnsi" w:eastAsiaTheme="minorHAnsi" w:hAnsiTheme="minorHAnsi" w:cstheme="minorBidi"/>
          <w:b w:val="0"/>
          <w:bCs w:val="0"/>
          <w:caps w:val="0"/>
          <w:noProof w:val="0"/>
          <w:szCs w:val="22"/>
        </w:rPr>
        <w:id w:val="-1348946152"/>
        <w:docPartObj>
          <w:docPartGallery w:val="Table of Contents"/>
          <w:docPartUnique/>
        </w:docPartObj>
      </w:sdtPr>
      <w:sdtEndPr/>
      <w:sdtContent>
        <w:p w14:paraId="29962D21" w14:textId="455356D5" w:rsidR="0012408D" w:rsidRDefault="0092661D">
          <w:pPr>
            <w:pStyle w:val="TOC1"/>
            <w:rPr>
              <w:rFonts w:asciiTheme="minorHAnsi" w:eastAsiaTheme="minorEastAsia" w:hAnsiTheme="minorHAnsi" w:cstheme="minorBidi"/>
              <w:b w:val="0"/>
              <w:bCs w:val="0"/>
              <w:caps w:val="0"/>
              <w:szCs w:val="22"/>
              <w:lang w:eastAsia="hr-HR"/>
            </w:rPr>
          </w:pPr>
          <w:r>
            <w:fldChar w:fldCharType="begin"/>
          </w:r>
          <w:r>
            <w:instrText xml:space="preserve"> TOC \o "1-3" \h \z \u </w:instrText>
          </w:r>
          <w:r>
            <w:fldChar w:fldCharType="separate"/>
          </w:r>
          <w:hyperlink w:anchor="_Toc4156056" w:history="1">
            <w:r w:rsidR="0012408D" w:rsidRPr="00063C24">
              <w:rPr>
                <w:rStyle w:val="Hyperlink"/>
              </w:rPr>
              <w:t>SADRŽAJ</w:t>
            </w:r>
            <w:r w:rsidR="0012408D">
              <w:rPr>
                <w:webHidden/>
              </w:rPr>
              <w:tab/>
            </w:r>
            <w:r w:rsidR="0012408D">
              <w:rPr>
                <w:webHidden/>
              </w:rPr>
              <w:fldChar w:fldCharType="begin"/>
            </w:r>
            <w:r w:rsidR="0012408D">
              <w:rPr>
                <w:webHidden/>
              </w:rPr>
              <w:instrText xml:space="preserve"> PAGEREF _Toc4156056 \h </w:instrText>
            </w:r>
            <w:r w:rsidR="0012408D">
              <w:rPr>
                <w:webHidden/>
              </w:rPr>
            </w:r>
            <w:r w:rsidR="0012408D">
              <w:rPr>
                <w:webHidden/>
              </w:rPr>
              <w:fldChar w:fldCharType="separate"/>
            </w:r>
            <w:r w:rsidR="0012408D">
              <w:rPr>
                <w:webHidden/>
              </w:rPr>
              <w:t>2</w:t>
            </w:r>
            <w:r w:rsidR="0012408D">
              <w:rPr>
                <w:webHidden/>
              </w:rPr>
              <w:fldChar w:fldCharType="end"/>
            </w:r>
          </w:hyperlink>
        </w:p>
        <w:p w14:paraId="014E07AF" w14:textId="6E138CD7" w:rsidR="0012408D" w:rsidRDefault="00DF5A17">
          <w:pPr>
            <w:pStyle w:val="TOC1"/>
            <w:rPr>
              <w:rFonts w:asciiTheme="minorHAnsi" w:eastAsiaTheme="minorEastAsia" w:hAnsiTheme="minorHAnsi" w:cstheme="minorBidi"/>
              <w:b w:val="0"/>
              <w:bCs w:val="0"/>
              <w:caps w:val="0"/>
              <w:szCs w:val="22"/>
              <w:lang w:eastAsia="hr-HR"/>
            </w:rPr>
          </w:pPr>
          <w:hyperlink w:anchor="_Toc4156057" w:history="1">
            <w:r w:rsidR="0012408D" w:rsidRPr="00063C24">
              <w:rPr>
                <w:rStyle w:val="Hyperlink"/>
              </w:rPr>
              <w:t>1.</w:t>
            </w:r>
            <w:r w:rsidR="0012408D">
              <w:rPr>
                <w:rFonts w:asciiTheme="minorHAnsi" w:eastAsiaTheme="minorEastAsia" w:hAnsiTheme="minorHAnsi" w:cstheme="minorBidi"/>
                <w:b w:val="0"/>
                <w:bCs w:val="0"/>
                <w:caps w:val="0"/>
                <w:szCs w:val="22"/>
                <w:lang w:eastAsia="hr-HR"/>
              </w:rPr>
              <w:tab/>
            </w:r>
            <w:r w:rsidR="0012408D" w:rsidRPr="00063C24">
              <w:rPr>
                <w:rStyle w:val="Hyperlink"/>
              </w:rPr>
              <w:t>SAŽETAK</w:t>
            </w:r>
            <w:r w:rsidR="0012408D">
              <w:rPr>
                <w:webHidden/>
              </w:rPr>
              <w:tab/>
            </w:r>
            <w:r w:rsidR="0012408D">
              <w:rPr>
                <w:webHidden/>
              </w:rPr>
              <w:fldChar w:fldCharType="begin"/>
            </w:r>
            <w:r w:rsidR="0012408D">
              <w:rPr>
                <w:webHidden/>
              </w:rPr>
              <w:instrText xml:space="preserve"> PAGEREF _Toc4156057 \h </w:instrText>
            </w:r>
            <w:r w:rsidR="0012408D">
              <w:rPr>
                <w:webHidden/>
              </w:rPr>
            </w:r>
            <w:r w:rsidR="0012408D">
              <w:rPr>
                <w:webHidden/>
              </w:rPr>
              <w:fldChar w:fldCharType="separate"/>
            </w:r>
            <w:r w:rsidR="0012408D">
              <w:rPr>
                <w:webHidden/>
              </w:rPr>
              <w:t>5</w:t>
            </w:r>
            <w:r w:rsidR="0012408D">
              <w:rPr>
                <w:webHidden/>
              </w:rPr>
              <w:fldChar w:fldCharType="end"/>
            </w:r>
          </w:hyperlink>
        </w:p>
        <w:p w14:paraId="29897CFF" w14:textId="6A12CC04" w:rsidR="0012408D" w:rsidRDefault="00DF5A17">
          <w:pPr>
            <w:pStyle w:val="TOC1"/>
            <w:rPr>
              <w:rFonts w:asciiTheme="minorHAnsi" w:eastAsiaTheme="minorEastAsia" w:hAnsiTheme="minorHAnsi" w:cstheme="minorBidi"/>
              <w:b w:val="0"/>
              <w:bCs w:val="0"/>
              <w:caps w:val="0"/>
              <w:szCs w:val="22"/>
              <w:lang w:eastAsia="hr-HR"/>
            </w:rPr>
          </w:pPr>
          <w:hyperlink w:anchor="_Toc4156058" w:history="1">
            <w:r w:rsidR="0012408D" w:rsidRPr="00063C24">
              <w:rPr>
                <w:rStyle w:val="Hyperlink"/>
              </w:rPr>
              <w:t>2.</w:t>
            </w:r>
            <w:r w:rsidR="0012408D">
              <w:rPr>
                <w:rFonts w:asciiTheme="minorHAnsi" w:eastAsiaTheme="minorEastAsia" w:hAnsiTheme="minorHAnsi" w:cstheme="minorBidi"/>
                <w:b w:val="0"/>
                <w:bCs w:val="0"/>
                <w:caps w:val="0"/>
                <w:szCs w:val="22"/>
                <w:lang w:eastAsia="hr-HR"/>
              </w:rPr>
              <w:tab/>
            </w:r>
            <w:r w:rsidR="0012408D" w:rsidRPr="00063C24">
              <w:rPr>
                <w:rStyle w:val="Hyperlink"/>
              </w:rPr>
              <w:t>UVOD</w:t>
            </w:r>
            <w:r w:rsidR="0012408D">
              <w:rPr>
                <w:webHidden/>
              </w:rPr>
              <w:tab/>
            </w:r>
            <w:r w:rsidR="0012408D">
              <w:rPr>
                <w:webHidden/>
              </w:rPr>
              <w:fldChar w:fldCharType="begin"/>
            </w:r>
            <w:r w:rsidR="0012408D">
              <w:rPr>
                <w:webHidden/>
              </w:rPr>
              <w:instrText xml:space="preserve"> PAGEREF _Toc4156058 \h </w:instrText>
            </w:r>
            <w:r w:rsidR="0012408D">
              <w:rPr>
                <w:webHidden/>
              </w:rPr>
            </w:r>
            <w:r w:rsidR="0012408D">
              <w:rPr>
                <w:webHidden/>
              </w:rPr>
              <w:fldChar w:fldCharType="separate"/>
            </w:r>
            <w:r w:rsidR="0012408D">
              <w:rPr>
                <w:webHidden/>
              </w:rPr>
              <w:t>7</w:t>
            </w:r>
            <w:r w:rsidR="0012408D">
              <w:rPr>
                <w:webHidden/>
              </w:rPr>
              <w:fldChar w:fldCharType="end"/>
            </w:r>
          </w:hyperlink>
        </w:p>
        <w:p w14:paraId="1A8D13DD" w14:textId="552C8DC0" w:rsidR="0012408D" w:rsidRDefault="00DF5A17">
          <w:pPr>
            <w:pStyle w:val="TOC2"/>
            <w:rPr>
              <w:rFonts w:asciiTheme="minorHAnsi" w:eastAsiaTheme="minorEastAsia" w:hAnsiTheme="minorHAnsi" w:cstheme="minorBidi"/>
              <w:smallCaps w:val="0"/>
              <w:noProof/>
              <w:sz w:val="22"/>
              <w:szCs w:val="22"/>
              <w:lang w:eastAsia="hr-HR"/>
            </w:rPr>
          </w:pPr>
          <w:hyperlink w:anchor="_Toc4156059" w:history="1">
            <w:r w:rsidR="0012408D" w:rsidRPr="00063C24">
              <w:rPr>
                <w:rStyle w:val="Hyperlink"/>
                <w:noProof/>
              </w:rPr>
              <w:t>2.1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Sporazum gradonačelnika (Covenant of Mayors)</w:t>
            </w:r>
            <w:r w:rsidR="0012408D">
              <w:rPr>
                <w:noProof/>
                <w:webHidden/>
              </w:rPr>
              <w:tab/>
            </w:r>
            <w:r w:rsidR="0012408D">
              <w:rPr>
                <w:noProof/>
                <w:webHidden/>
              </w:rPr>
              <w:fldChar w:fldCharType="begin"/>
            </w:r>
            <w:r w:rsidR="0012408D">
              <w:rPr>
                <w:noProof/>
                <w:webHidden/>
              </w:rPr>
              <w:instrText xml:space="preserve"> PAGEREF _Toc4156059 \h </w:instrText>
            </w:r>
            <w:r w:rsidR="0012408D">
              <w:rPr>
                <w:noProof/>
                <w:webHidden/>
              </w:rPr>
            </w:r>
            <w:r w:rsidR="0012408D">
              <w:rPr>
                <w:noProof/>
                <w:webHidden/>
              </w:rPr>
              <w:fldChar w:fldCharType="separate"/>
            </w:r>
            <w:r w:rsidR="0012408D">
              <w:rPr>
                <w:noProof/>
                <w:webHidden/>
              </w:rPr>
              <w:t>7</w:t>
            </w:r>
            <w:r w:rsidR="0012408D">
              <w:rPr>
                <w:noProof/>
                <w:webHidden/>
              </w:rPr>
              <w:fldChar w:fldCharType="end"/>
            </w:r>
          </w:hyperlink>
        </w:p>
        <w:p w14:paraId="313FC05E" w14:textId="00D5B69B" w:rsidR="0012408D" w:rsidRDefault="00DF5A17">
          <w:pPr>
            <w:pStyle w:val="TOC2"/>
            <w:rPr>
              <w:rFonts w:asciiTheme="minorHAnsi" w:eastAsiaTheme="minorEastAsia" w:hAnsiTheme="minorHAnsi" w:cstheme="minorBidi"/>
              <w:smallCaps w:val="0"/>
              <w:noProof/>
              <w:sz w:val="22"/>
              <w:szCs w:val="22"/>
              <w:lang w:eastAsia="hr-HR"/>
            </w:rPr>
          </w:pPr>
          <w:hyperlink w:anchor="_Toc4156060" w:history="1">
            <w:r w:rsidR="0012408D" w:rsidRPr="00063C24">
              <w:rPr>
                <w:rStyle w:val="Hyperlink"/>
                <w:noProof/>
              </w:rPr>
              <w:t>2.2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Što je Akcijski plan energetski održivog razvitka i prilagodbe na klimatske promjene – SECAP?</w:t>
            </w:r>
            <w:r w:rsidR="0012408D">
              <w:rPr>
                <w:noProof/>
                <w:webHidden/>
              </w:rPr>
              <w:tab/>
            </w:r>
            <w:r w:rsidR="0012408D">
              <w:rPr>
                <w:noProof/>
                <w:webHidden/>
              </w:rPr>
              <w:fldChar w:fldCharType="begin"/>
            </w:r>
            <w:r w:rsidR="0012408D">
              <w:rPr>
                <w:noProof/>
                <w:webHidden/>
              </w:rPr>
              <w:instrText xml:space="preserve"> PAGEREF _Toc4156060 \h </w:instrText>
            </w:r>
            <w:r w:rsidR="0012408D">
              <w:rPr>
                <w:noProof/>
                <w:webHidden/>
              </w:rPr>
            </w:r>
            <w:r w:rsidR="0012408D">
              <w:rPr>
                <w:noProof/>
                <w:webHidden/>
              </w:rPr>
              <w:fldChar w:fldCharType="separate"/>
            </w:r>
            <w:r w:rsidR="0012408D">
              <w:rPr>
                <w:noProof/>
                <w:webHidden/>
              </w:rPr>
              <w:t>9</w:t>
            </w:r>
            <w:r w:rsidR="0012408D">
              <w:rPr>
                <w:noProof/>
                <w:webHidden/>
              </w:rPr>
              <w:fldChar w:fldCharType="end"/>
            </w:r>
          </w:hyperlink>
        </w:p>
        <w:p w14:paraId="75C3A562" w14:textId="0488880C" w:rsidR="0012408D" w:rsidRDefault="00DF5A17">
          <w:pPr>
            <w:pStyle w:val="TOC2"/>
            <w:rPr>
              <w:rFonts w:asciiTheme="minorHAnsi" w:eastAsiaTheme="minorEastAsia" w:hAnsiTheme="minorHAnsi" w:cstheme="minorBidi"/>
              <w:smallCaps w:val="0"/>
              <w:noProof/>
              <w:sz w:val="22"/>
              <w:szCs w:val="22"/>
              <w:lang w:eastAsia="hr-HR"/>
            </w:rPr>
          </w:pPr>
          <w:hyperlink w:anchor="_Toc4156061" w:history="1">
            <w:r w:rsidR="0012408D" w:rsidRPr="00063C24">
              <w:rPr>
                <w:rStyle w:val="Hyperlink"/>
                <w:noProof/>
              </w:rPr>
              <w:t>2.3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Energetska i klimatska politika Grada Zagreba</w:t>
            </w:r>
            <w:r w:rsidR="0012408D">
              <w:rPr>
                <w:noProof/>
                <w:webHidden/>
              </w:rPr>
              <w:tab/>
            </w:r>
            <w:r w:rsidR="0012408D">
              <w:rPr>
                <w:noProof/>
                <w:webHidden/>
              </w:rPr>
              <w:fldChar w:fldCharType="begin"/>
            </w:r>
            <w:r w:rsidR="0012408D">
              <w:rPr>
                <w:noProof/>
                <w:webHidden/>
              </w:rPr>
              <w:instrText xml:space="preserve"> PAGEREF _Toc4156061 \h </w:instrText>
            </w:r>
            <w:r w:rsidR="0012408D">
              <w:rPr>
                <w:noProof/>
                <w:webHidden/>
              </w:rPr>
            </w:r>
            <w:r w:rsidR="0012408D">
              <w:rPr>
                <w:noProof/>
                <w:webHidden/>
              </w:rPr>
              <w:fldChar w:fldCharType="separate"/>
            </w:r>
            <w:r w:rsidR="0012408D">
              <w:rPr>
                <w:noProof/>
                <w:webHidden/>
              </w:rPr>
              <w:t>10</w:t>
            </w:r>
            <w:r w:rsidR="0012408D">
              <w:rPr>
                <w:noProof/>
                <w:webHidden/>
              </w:rPr>
              <w:fldChar w:fldCharType="end"/>
            </w:r>
          </w:hyperlink>
        </w:p>
        <w:p w14:paraId="6DAC90E1" w14:textId="281D5233" w:rsidR="0012408D" w:rsidRDefault="00DF5A17">
          <w:pPr>
            <w:pStyle w:val="TOC3"/>
            <w:rPr>
              <w:rFonts w:asciiTheme="minorHAnsi" w:eastAsiaTheme="minorEastAsia" w:hAnsiTheme="minorHAnsi" w:cstheme="minorBidi"/>
              <w:i w:val="0"/>
              <w:iCs w:val="0"/>
              <w:noProof/>
              <w:sz w:val="22"/>
              <w:szCs w:val="22"/>
              <w:lang w:eastAsia="hr-HR"/>
            </w:rPr>
          </w:pPr>
          <w:hyperlink w:anchor="_Toc4156062" w:history="1">
            <w:r w:rsidR="0012408D" w:rsidRPr="00063C24">
              <w:rPr>
                <w:rStyle w:val="Hyperlink"/>
                <w:noProof/>
                <w:lang w:eastAsia="hr-HR"/>
                <w14:scene3d>
                  <w14:camera w14:prst="orthographicFront"/>
                  <w14:lightRig w14:rig="threePt" w14:dir="t">
                    <w14:rot w14:lat="0" w14:lon="0" w14:rev="0"/>
                  </w14:lightRig>
                </w14:scene3d>
              </w:rPr>
              <w:t>2.3.1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lang w:eastAsia="hr-HR"/>
              </w:rPr>
              <w:t>Razvoj energetske i klimatske politike Grada Zagreba</w:t>
            </w:r>
            <w:r w:rsidR="0012408D">
              <w:rPr>
                <w:noProof/>
                <w:webHidden/>
              </w:rPr>
              <w:tab/>
            </w:r>
            <w:r w:rsidR="0012408D">
              <w:rPr>
                <w:noProof/>
                <w:webHidden/>
              </w:rPr>
              <w:fldChar w:fldCharType="begin"/>
            </w:r>
            <w:r w:rsidR="0012408D">
              <w:rPr>
                <w:noProof/>
                <w:webHidden/>
              </w:rPr>
              <w:instrText xml:space="preserve"> PAGEREF _Toc4156062 \h </w:instrText>
            </w:r>
            <w:r w:rsidR="0012408D">
              <w:rPr>
                <w:noProof/>
                <w:webHidden/>
              </w:rPr>
            </w:r>
            <w:r w:rsidR="0012408D">
              <w:rPr>
                <w:noProof/>
                <w:webHidden/>
              </w:rPr>
              <w:fldChar w:fldCharType="separate"/>
            </w:r>
            <w:r w:rsidR="0012408D">
              <w:rPr>
                <w:noProof/>
                <w:webHidden/>
              </w:rPr>
              <w:t>10</w:t>
            </w:r>
            <w:r w:rsidR="0012408D">
              <w:rPr>
                <w:noProof/>
                <w:webHidden/>
              </w:rPr>
              <w:fldChar w:fldCharType="end"/>
            </w:r>
          </w:hyperlink>
        </w:p>
        <w:p w14:paraId="103EFC1B" w14:textId="4D93A9DD" w:rsidR="0012408D" w:rsidRDefault="00DF5A17">
          <w:pPr>
            <w:pStyle w:val="TOC3"/>
            <w:rPr>
              <w:rFonts w:asciiTheme="minorHAnsi" w:eastAsiaTheme="minorEastAsia" w:hAnsiTheme="minorHAnsi" w:cstheme="minorBidi"/>
              <w:i w:val="0"/>
              <w:iCs w:val="0"/>
              <w:noProof/>
              <w:sz w:val="22"/>
              <w:szCs w:val="22"/>
              <w:lang w:eastAsia="hr-HR"/>
            </w:rPr>
          </w:pPr>
          <w:hyperlink w:anchor="_Toc4156063" w:history="1">
            <w:r w:rsidR="0012408D" w:rsidRPr="00063C24">
              <w:rPr>
                <w:rStyle w:val="Hyperlink"/>
                <w:noProof/>
                <w14:scene3d>
                  <w14:camera w14:prst="orthographicFront"/>
                  <w14:lightRig w14:rig="threePt" w14:dir="t">
                    <w14:rot w14:lat="0" w14:lon="0" w14:rev="0"/>
                  </w14:lightRig>
                </w14:scene3d>
              </w:rPr>
              <w:t>2.3.2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Vizija Grada Zagreba u pogledu energetske i klimatske politike</w:t>
            </w:r>
            <w:r w:rsidR="0012408D">
              <w:rPr>
                <w:noProof/>
                <w:webHidden/>
              </w:rPr>
              <w:tab/>
            </w:r>
            <w:r w:rsidR="0012408D">
              <w:rPr>
                <w:noProof/>
                <w:webHidden/>
              </w:rPr>
              <w:fldChar w:fldCharType="begin"/>
            </w:r>
            <w:r w:rsidR="0012408D">
              <w:rPr>
                <w:noProof/>
                <w:webHidden/>
              </w:rPr>
              <w:instrText xml:space="preserve"> PAGEREF _Toc4156063 \h </w:instrText>
            </w:r>
            <w:r w:rsidR="0012408D">
              <w:rPr>
                <w:noProof/>
                <w:webHidden/>
              </w:rPr>
            </w:r>
            <w:r w:rsidR="0012408D">
              <w:rPr>
                <w:noProof/>
                <w:webHidden/>
              </w:rPr>
              <w:fldChar w:fldCharType="separate"/>
            </w:r>
            <w:r w:rsidR="0012408D">
              <w:rPr>
                <w:noProof/>
                <w:webHidden/>
              </w:rPr>
              <w:t>13</w:t>
            </w:r>
            <w:r w:rsidR="0012408D">
              <w:rPr>
                <w:noProof/>
                <w:webHidden/>
              </w:rPr>
              <w:fldChar w:fldCharType="end"/>
            </w:r>
          </w:hyperlink>
        </w:p>
        <w:p w14:paraId="5B5A4EBB" w14:textId="78BF568C" w:rsidR="0012408D" w:rsidRDefault="00DF5A17">
          <w:pPr>
            <w:pStyle w:val="TOC3"/>
            <w:rPr>
              <w:rFonts w:asciiTheme="minorHAnsi" w:eastAsiaTheme="minorEastAsia" w:hAnsiTheme="minorHAnsi" w:cstheme="minorBidi"/>
              <w:i w:val="0"/>
              <w:iCs w:val="0"/>
              <w:noProof/>
              <w:sz w:val="22"/>
              <w:szCs w:val="22"/>
              <w:lang w:eastAsia="hr-HR"/>
            </w:rPr>
          </w:pPr>
          <w:hyperlink w:anchor="_Toc4156064" w:history="1">
            <w:r w:rsidR="0012408D" w:rsidRPr="00063C24">
              <w:rPr>
                <w:rStyle w:val="Hyperlink"/>
                <w:noProof/>
                <w14:scene3d>
                  <w14:camera w14:prst="orthographicFront"/>
                  <w14:lightRig w14:rig="threePt" w14:dir="t">
                    <w14:rot w14:lat="0" w14:lon="0" w14:rev="0"/>
                  </w14:lightRig>
                </w14:scene3d>
              </w:rPr>
              <w:t>2.3.3</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Ciljevi Grada Zagreba u pogledu energetske i klimatske politike</w:t>
            </w:r>
            <w:r w:rsidR="0012408D">
              <w:rPr>
                <w:noProof/>
                <w:webHidden/>
              </w:rPr>
              <w:tab/>
            </w:r>
            <w:r w:rsidR="0012408D">
              <w:rPr>
                <w:noProof/>
                <w:webHidden/>
              </w:rPr>
              <w:fldChar w:fldCharType="begin"/>
            </w:r>
            <w:r w:rsidR="0012408D">
              <w:rPr>
                <w:noProof/>
                <w:webHidden/>
              </w:rPr>
              <w:instrText xml:space="preserve"> PAGEREF _Toc4156064 \h </w:instrText>
            </w:r>
            <w:r w:rsidR="0012408D">
              <w:rPr>
                <w:noProof/>
                <w:webHidden/>
              </w:rPr>
            </w:r>
            <w:r w:rsidR="0012408D">
              <w:rPr>
                <w:noProof/>
                <w:webHidden/>
              </w:rPr>
              <w:fldChar w:fldCharType="separate"/>
            </w:r>
            <w:r w:rsidR="0012408D">
              <w:rPr>
                <w:noProof/>
                <w:webHidden/>
              </w:rPr>
              <w:t>14</w:t>
            </w:r>
            <w:r w:rsidR="0012408D">
              <w:rPr>
                <w:noProof/>
                <w:webHidden/>
              </w:rPr>
              <w:fldChar w:fldCharType="end"/>
            </w:r>
          </w:hyperlink>
        </w:p>
        <w:p w14:paraId="328B3B3E" w14:textId="6A699DDF" w:rsidR="0012408D" w:rsidRDefault="00DF5A17">
          <w:pPr>
            <w:pStyle w:val="TOC1"/>
            <w:rPr>
              <w:rFonts w:asciiTheme="minorHAnsi" w:eastAsiaTheme="minorEastAsia" w:hAnsiTheme="minorHAnsi" w:cstheme="minorBidi"/>
              <w:b w:val="0"/>
              <w:bCs w:val="0"/>
              <w:caps w:val="0"/>
              <w:szCs w:val="22"/>
              <w:lang w:eastAsia="hr-HR"/>
            </w:rPr>
          </w:pPr>
          <w:hyperlink w:anchor="_Toc4156065" w:history="1">
            <w:r w:rsidR="0012408D" w:rsidRPr="00063C24">
              <w:rPr>
                <w:rStyle w:val="Hyperlink"/>
              </w:rPr>
              <w:t>3.</w:t>
            </w:r>
            <w:r w:rsidR="0012408D">
              <w:rPr>
                <w:rFonts w:asciiTheme="minorHAnsi" w:eastAsiaTheme="minorEastAsia" w:hAnsiTheme="minorHAnsi" w:cstheme="minorBidi"/>
                <w:b w:val="0"/>
                <w:bCs w:val="0"/>
                <w:caps w:val="0"/>
                <w:szCs w:val="22"/>
                <w:lang w:eastAsia="hr-HR"/>
              </w:rPr>
              <w:tab/>
            </w:r>
            <w:r w:rsidR="0012408D" w:rsidRPr="00063C24">
              <w:rPr>
                <w:rStyle w:val="Hyperlink"/>
              </w:rPr>
              <w:t>METODOLOGIJA</w:t>
            </w:r>
            <w:r w:rsidR="0012408D">
              <w:rPr>
                <w:webHidden/>
              </w:rPr>
              <w:tab/>
            </w:r>
            <w:r w:rsidR="0012408D">
              <w:rPr>
                <w:webHidden/>
              </w:rPr>
              <w:fldChar w:fldCharType="begin"/>
            </w:r>
            <w:r w:rsidR="0012408D">
              <w:rPr>
                <w:webHidden/>
              </w:rPr>
              <w:instrText xml:space="preserve"> PAGEREF _Toc4156065 \h </w:instrText>
            </w:r>
            <w:r w:rsidR="0012408D">
              <w:rPr>
                <w:webHidden/>
              </w:rPr>
            </w:r>
            <w:r w:rsidR="0012408D">
              <w:rPr>
                <w:webHidden/>
              </w:rPr>
              <w:fldChar w:fldCharType="separate"/>
            </w:r>
            <w:r w:rsidR="0012408D">
              <w:rPr>
                <w:webHidden/>
              </w:rPr>
              <w:t>15</w:t>
            </w:r>
            <w:r w:rsidR="0012408D">
              <w:rPr>
                <w:webHidden/>
              </w:rPr>
              <w:fldChar w:fldCharType="end"/>
            </w:r>
          </w:hyperlink>
        </w:p>
        <w:p w14:paraId="226C952A" w14:textId="6411CD73" w:rsidR="0012408D" w:rsidRDefault="00DF5A17">
          <w:pPr>
            <w:pStyle w:val="TOC2"/>
            <w:rPr>
              <w:rFonts w:asciiTheme="minorHAnsi" w:eastAsiaTheme="minorEastAsia" w:hAnsiTheme="minorHAnsi" w:cstheme="minorBidi"/>
              <w:smallCaps w:val="0"/>
              <w:noProof/>
              <w:sz w:val="22"/>
              <w:szCs w:val="22"/>
              <w:lang w:eastAsia="hr-HR"/>
            </w:rPr>
          </w:pPr>
          <w:hyperlink w:anchor="_Toc4156066" w:history="1">
            <w:r w:rsidR="0012408D" w:rsidRPr="00063C24">
              <w:rPr>
                <w:rStyle w:val="Hyperlink"/>
                <w:noProof/>
              </w:rPr>
              <w:t>3.1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Pripremne radnje za pokretanje procesa izrade SECAP-a</w:t>
            </w:r>
            <w:r w:rsidR="0012408D">
              <w:rPr>
                <w:noProof/>
                <w:webHidden/>
              </w:rPr>
              <w:tab/>
            </w:r>
            <w:r w:rsidR="0012408D">
              <w:rPr>
                <w:noProof/>
                <w:webHidden/>
              </w:rPr>
              <w:fldChar w:fldCharType="begin"/>
            </w:r>
            <w:r w:rsidR="0012408D">
              <w:rPr>
                <w:noProof/>
                <w:webHidden/>
              </w:rPr>
              <w:instrText xml:space="preserve"> PAGEREF _Toc4156066 \h </w:instrText>
            </w:r>
            <w:r w:rsidR="0012408D">
              <w:rPr>
                <w:noProof/>
                <w:webHidden/>
              </w:rPr>
            </w:r>
            <w:r w:rsidR="0012408D">
              <w:rPr>
                <w:noProof/>
                <w:webHidden/>
              </w:rPr>
              <w:fldChar w:fldCharType="separate"/>
            </w:r>
            <w:r w:rsidR="0012408D">
              <w:rPr>
                <w:noProof/>
                <w:webHidden/>
              </w:rPr>
              <w:t>15</w:t>
            </w:r>
            <w:r w:rsidR="0012408D">
              <w:rPr>
                <w:noProof/>
                <w:webHidden/>
              </w:rPr>
              <w:fldChar w:fldCharType="end"/>
            </w:r>
          </w:hyperlink>
        </w:p>
        <w:p w14:paraId="3AA3255B" w14:textId="14883F91" w:rsidR="0012408D" w:rsidRDefault="00DF5A17">
          <w:pPr>
            <w:pStyle w:val="TOC2"/>
            <w:rPr>
              <w:rFonts w:asciiTheme="minorHAnsi" w:eastAsiaTheme="minorEastAsia" w:hAnsiTheme="minorHAnsi" w:cstheme="minorBidi"/>
              <w:smallCaps w:val="0"/>
              <w:noProof/>
              <w:sz w:val="22"/>
              <w:szCs w:val="22"/>
              <w:lang w:eastAsia="hr-HR"/>
            </w:rPr>
          </w:pPr>
          <w:hyperlink w:anchor="_Toc4156067" w:history="1">
            <w:r w:rsidR="0012408D" w:rsidRPr="00063C24">
              <w:rPr>
                <w:rStyle w:val="Hyperlink"/>
                <w:noProof/>
              </w:rPr>
              <w:t>3.2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Modeliranje uz pomoć LEAP sustava</w:t>
            </w:r>
            <w:r w:rsidR="0012408D">
              <w:rPr>
                <w:noProof/>
                <w:webHidden/>
              </w:rPr>
              <w:tab/>
            </w:r>
            <w:r w:rsidR="0012408D">
              <w:rPr>
                <w:noProof/>
                <w:webHidden/>
              </w:rPr>
              <w:fldChar w:fldCharType="begin"/>
            </w:r>
            <w:r w:rsidR="0012408D">
              <w:rPr>
                <w:noProof/>
                <w:webHidden/>
              </w:rPr>
              <w:instrText xml:space="preserve"> PAGEREF _Toc4156067 \h </w:instrText>
            </w:r>
            <w:r w:rsidR="0012408D">
              <w:rPr>
                <w:noProof/>
                <w:webHidden/>
              </w:rPr>
            </w:r>
            <w:r w:rsidR="0012408D">
              <w:rPr>
                <w:noProof/>
                <w:webHidden/>
              </w:rPr>
              <w:fldChar w:fldCharType="separate"/>
            </w:r>
            <w:r w:rsidR="0012408D">
              <w:rPr>
                <w:noProof/>
                <w:webHidden/>
              </w:rPr>
              <w:t>17</w:t>
            </w:r>
            <w:r w:rsidR="0012408D">
              <w:rPr>
                <w:noProof/>
                <w:webHidden/>
              </w:rPr>
              <w:fldChar w:fldCharType="end"/>
            </w:r>
          </w:hyperlink>
        </w:p>
        <w:p w14:paraId="1FDCD746" w14:textId="5E626CE9" w:rsidR="0012408D" w:rsidRDefault="00DF5A17">
          <w:pPr>
            <w:pStyle w:val="TOC3"/>
            <w:rPr>
              <w:rFonts w:asciiTheme="minorHAnsi" w:eastAsiaTheme="minorEastAsia" w:hAnsiTheme="minorHAnsi" w:cstheme="minorBidi"/>
              <w:i w:val="0"/>
              <w:iCs w:val="0"/>
              <w:noProof/>
              <w:sz w:val="22"/>
              <w:szCs w:val="22"/>
              <w:lang w:eastAsia="hr-HR"/>
            </w:rPr>
          </w:pPr>
          <w:hyperlink w:anchor="_Toc4156068" w:history="1">
            <w:r w:rsidR="0012408D" w:rsidRPr="00063C24">
              <w:rPr>
                <w:rStyle w:val="Hyperlink"/>
                <w:noProof/>
                <w14:scene3d>
                  <w14:camera w14:prst="orthographicFront"/>
                  <w14:lightRig w14:rig="threePt" w14:dir="t">
                    <w14:rot w14:lat="0" w14:lon="0" w14:rev="0"/>
                  </w14:lightRig>
                </w14:scene3d>
              </w:rPr>
              <w:t>3.2.1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Modeliranje u LEAP sustavu za potrebe izrade SECAP-a Grada Zagreba</w:t>
            </w:r>
            <w:r w:rsidR="0012408D">
              <w:rPr>
                <w:noProof/>
                <w:webHidden/>
              </w:rPr>
              <w:tab/>
            </w:r>
            <w:r w:rsidR="0012408D">
              <w:rPr>
                <w:noProof/>
                <w:webHidden/>
              </w:rPr>
              <w:fldChar w:fldCharType="begin"/>
            </w:r>
            <w:r w:rsidR="0012408D">
              <w:rPr>
                <w:noProof/>
                <w:webHidden/>
              </w:rPr>
              <w:instrText xml:space="preserve"> PAGEREF _Toc4156068 \h </w:instrText>
            </w:r>
            <w:r w:rsidR="0012408D">
              <w:rPr>
                <w:noProof/>
                <w:webHidden/>
              </w:rPr>
            </w:r>
            <w:r w:rsidR="0012408D">
              <w:rPr>
                <w:noProof/>
                <w:webHidden/>
              </w:rPr>
              <w:fldChar w:fldCharType="separate"/>
            </w:r>
            <w:r w:rsidR="0012408D">
              <w:rPr>
                <w:noProof/>
                <w:webHidden/>
              </w:rPr>
              <w:t>17</w:t>
            </w:r>
            <w:r w:rsidR="0012408D">
              <w:rPr>
                <w:noProof/>
                <w:webHidden/>
              </w:rPr>
              <w:fldChar w:fldCharType="end"/>
            </w:r>
          </w:hyperlink>
        </w:p>
        <w:p w14:paraId="763B4948" w14:textId="706B5D49" w:rsidR="0012408D" w:rsidRDefault="00DF5A17">
          <w:pPr>
            <w:pStyle w:val="TOC2"/>
            <w:rPr>
              <w:rFonts w:asciiTheme="minorHAnsi" w:eastAsiaTheme="minorEastAsia" w:hAnsiTheme="minorHAnsi" w:cstheme="minorBidi"/>
              <w:smallCaps w:val="0"/>
              <w:noProof/>
              <w:sz w:val="22"/>
              <w:szCs w:val="22"/>
              <w:lang w:eastAsia="hr-HR"/>
            </w:rPr>
          </w:pPr>
          <w:hyperlink w:anchor="_Toc4156069" w:history="1">
            <w:r w:rsidR="0012408D" w:rsidRPr="00063C24">
              <w:rPr>
                <w:rStyle w:val="Hyperlink"/>
                <w:noProof/>
              </w:rPr>
              <w:t>3.3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Izrada Akcijskog plana energetski održivog razvitka Grada Zagreba</w:t>
            </w:r>
            <w:r w:rsidR="0012408D">
              <w:rPr>
                <w:noProof/>
                <w:webHidden/>
              </w:rPr>
              <w:tab/>
            </w:r>
            <w:r w:rsidR="0012408D">
              <w:rPr>
                <w:noProof/>
                <w:webHidden/>
              </w:rPr>
              <w:fldChar w:fldCharType="begin"/>
            </w:r>
            <w:r w:rsidR="0012408D">
              <w:rPr>
                <w:noProof/>
                <w:webHidden/>
              </w:rPr>
              <w:instrText xml:space="preserve"> PAGEREF _Toc4156069 \h </w:instrText>
            </w:r>
            <w:r w:rsidR="0012408D">
              <w:rPr>
                <w:noProof/>
                <w:webHidden/>
              </w:rPr>
            </w:r>
            <w:r w:rsidR="0012408D">
              <w:rPr>
                <w:noProof/>
                <w:webHidden/>
              </w:rPr>
              <w:fldChar w:fldCharType="separate"/>
            </w:r>
            <w:r w:rsidR="0012408D">
              <w:rPr>
                <w:noProof/>
                <w:webHidden/>
              </w:rPr>
              <w:t>18</w:t>
            </w:r>
            <w:r w:rsidR="0012408D">
              <w:rPr>
                <w:noProof/>
                <w:webHidden/>
              </w:rPr>
              <w:fldChar w:fldCharType="end"/>
            </w:r>
          </w:hyperlink>
        </w:p>
        <w:p w14:paraId="5B77397A" w14:textId="030FA178" w:rsidR="0012408D" w:rsidRDefault="00DF5A17">
          <w:pPr>
            <w:pStyle w:val="TOC2"/>
            <w:rPr>
              <w:rFonts w:asciiTheme="minorHAnsi" w:eastAsiaTheme="minorEastAsia" w:hAnsiTheme="minorHAnsi" w:cstheme="minorBidi"/>
              <w:smallCaps w:val="0"/>
              <w:noProof/>
              <w:sz w:val="22"/>
              <w:szCs w:val="22"/>
              <w:lang w:eastAsia="hr-HR"/>
            </w:rPr>
          </w:pPr>
          <w:hyperlink w:anchor="_Toc4156070" w:history="1">
            <w:r w:rsidR="0012408D" w:rsidRPr="00063C24">
              <w:rPr>
                <w:rStyle w:val="Hyperlink"/>
                <w:noProof/>
              </w:rPr>
              <w:t>3.4</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Provedba i izvještavanje o provedbi Akcijskog plana energetski održivog razvoja i klimatskih promjena Grada Zagreba</w:t>
            </w:r>
            <w:r w:rsidR="0012408D">
              <w:rPr>
                <w:noProof/>
                <w:webHidden/>
              </w:rPr>
              <w:tab/>
            </w:r>
            <w:r w:rsidR="0012408D">
              <w:rPr>
                <w:noProof/>
                <w:webHidden/>
              </w:rPr>
              <w:fldChar w:fldCharType="begin"/>
            </w:r>
            <w:r w:rsidR="0012408D">
              <w:rPr>
                <w:noProof/>
                <w:webHidden/>
              </w:rPr>
              <w:instrText xml:space="preserve"> PAGEREF _Toc4156070 \h </w:instrText>
            </w:r>
            <w:r w:rsidR="0012408D">
              <w:rPr>
                <w:noProof/>
                <w:webHidden/>
              </w:rPr>
            </w:r>
            <w:r w:rsidR="0012408D">
              <w:rPr>
                <w:noProof/>
                <w:webHidden/>
              </w:rPr>
              <w:fldChar w:fldCharType="separate"/>
            </w:r>
            <w:r w:rsidR="0012408D">
              <w:rPr>
                <w:noProof/>
                <w:webHidden/>
              </w:rPr>
              <w:t>19</w:t>
            </w:r>
            <w:r w:rsidR="0012408D">
              <w:rPr>
                <w:noProof/>
                <w:webHidden/>
              </w:rPr>
              <w:fldChar w:fldCharType="end"/>
            </w:r>
          </w:hyperlink>
        </w:p>
        <w:p w14:paraId="07E4F3EF" w14:textId="434E4A6C" w:rsidR="0012408D" w:rsidRDefault="00DF5A17">
          <w:pPr>
            <w:pStyle w:val="TOC3"/>
            <w:rPr>
              <w:rFonts w:asciiTheme="minorHAnsi" w:eastAsiaTheme="minorEastAsia" w:hAnsiTheme="minorHAnsi" w:cstheme="minorBidi"/>
              <w:i w:val="0"/>
              <w:iCs w:val="0"/>
              <w:noProof/>
              <w:sz w:val="22"/>
              <w:szCs w:val="22"/>
              <w:lang w:eastAsia="hr-HR"/>
            </w:rPr>
          </w:pPr>
          <w:hyperlink w:anchor="_Toc4156071" w:history="1">
            <w:r w:rsidR="0012408D" w:rsidRPr="00063C24">
              <w:rPr>
                <w:rStyle w:val="Hyperlink"/>
                <w:noProof/>
                <w14:scene3d>
                  <w14:camera w14:prst="orthographicFront"/>
                  <w14:lightRig w14:rig="threePt" w14:dir="t">
                    <w14:rot w14:lat="0" w14:lon="0" w14:rev="0"/>
                  </w14:lightRig>
                </w14:scene3d>
              </w:rPr>
              <w:t>3.4.1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Praćenje i kontrola provedbe</w:t>
            </w:r>
            <w:r w:rsidR="0012408D">
              <w:rPr>
                <w:noProof/>
                <w:webHidden/>
              </w:rPr>
              <w:tab/>
            </w:r>
            <w:r w:rsidR="0012408D">
              <w:rPr>
                <w:noProof/>
                <w:webHidden/>
              </w:rPr>
              <w:fldChar w:fldCharType="begin"/>
            </w:r>
            <w:r w:rsidR="0012408D">
              <w:rPr>
                <w:noProof/>
                <w:webHidden/>
              </w:rPr>
              <w:instrText xml:space="preserve"> PAGEREF _Toc4156071 \h </w:instrText>
            </w:r>
            <w:r w:rsidR="0012408D">
              <w:rPr>
                <w:noProof/>
                <w:webHidden/>
              </w:rPr>
            </w:r>
            <w:r w:rsidR="0012408D">
              <w:rPr>
                <w:noProof/>
                <w:webHidden/>
              </w:rPr>
              <w:fldChar w:fldCharType="separate"/>
            </w:r>
            <w:r w:rsidR="0012408D">
              <w:rPr>
                <w:noProof/>
                <w:webHidden/>
              </w:rPr>
              <w:t>20</w:t>
            </w:r>
            <w:r w:rsidR="0012408D">
              <w:rPr>
                <w:noProof/>
                <w:webHidden/>
              </w:rPr>
              <w:fldChar w:fldCharType="end"/>
            </w:r>
          </w:hyperlink>
        </w:p>
        <w:p w14:paraId="756EDFE7" w14:textId="49EA57DB" w:rsidR="0012408D" w:rsidRDefault="00DF5A17">
          <w:pPr>
            <w:pStyle w:val="TOC3"/>
            <w:rPr>
              <w:rFonts w:asciiTheme="minorHAnsi" w:eastAsiaTheme="minorEastAsia" w:hAnsiTheme="minorHAnsi" w:cstheme="minorBidi"/>
              <w:i w:val="0"/>
              <w:iCs w:val="0"/>
              <w:noProof/>
              <w:sz w:val="22"/>
              <w:szCs w:val="22"/>
              <w:lang w:eastAsia="hr-HR"/>
            </w:rPr>
          </w:pPr>
          <w:hyperlink w:anchor="_Toc4156072" w:history="1">
            <w:r w:rsidR="0012408D" w:rsidRPr="00063C24">
              <w:rPr>
                <w:rStyle w:val="Hyperlink"/>
                <w:noProof/>
                <w14:scene3d>
                  <w14:camera w14:prst="orthographicFront"/>
                  <w14:lightRig w14:rig="threePt" w14:dir="t">
                    <w14:rot w14:lat="0" w14:lon="0" w14:rev="0"/>
                  </w14:lightRig>
                </w14:scene3d>
              </w:rPr>
              <w:t>3.4.2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Identificirani rizici provedbe</w:t>
            </w:r>
            <w:r w:rsidR="0012408D">
              <w:rPr>
                <w:noProof/>
                <w:webHidden/>
              </w:rPr>
              <w:tab/>
            </w:r>
            <w:r w:rsidR="0012408D">
              <w:rPr>
                <w:noProof/>
                <w:webHidden/>
              </w:rPr>
              <w:fldChar w:fldCharType="begin"/>
            </w:r>
            <w:r w:rsidR="0012408D">
              <w:rPr>
                <w:noProof/>
                <w:webHidden/>
              </w:rPr>
              <w:instrText xml:space="preserve"> PAGEREF _Toc4156072 \h </w:instrText>
            </w:r>
            <w:r w:rsidR="0012408D">
              <w:rPr>
                <w:noProof/>
                <w:webHidden/>
              </w:rPr>
            </w:r>
            <w:r w:rsidR="0012408D">
              <w:rPr>
                <w:noProof/>
                <w:webHidden/>
              </w:rPr>
              <w:fldChar w:fldCharType="separate"/>
            </w:r>
            <w:r w:rsidR="0012408D">
              <w:rPr>
                <w:noProof/>
                <w:webHidden/>
              </w:rPr>
              <w:t>20</w:t>
            </w:r>
            <w:r w:rsidR="0012408D">
              <w:rPr>
                <w:noProof/>
                <w:webHidden/>
              </w:rPr>
              <w:fldChar w:fldCharType="end"/>
            </w:r>
          </w:hyperlink>
        </w:p>
        <w:p w14:paraId="39909715" w14:textId="326FAD94" w:rsidR="0012408D" w:rsidRDefault="00DF5A17">
          <w:pPr>
            <w:pStyle w:val="TOC3"/>
            <w:rPr>
              <w:rFonts w:asciiTheme="minorHAnsi" w:eastAsiaTheme="minorEastAsia" w:hAnsiTheme="minorHAnsi" w:cstheme="minorBidi"/>
              <w:i w:val="0"/>
              <w:iCs w:val="0"/>
              <w:noProof/>
              <w:sz w:val="22"/>
              <w:szCs w:val="22"/>
              <w:lang w:eastAsia="hr-HR"/>
            </w:rPr>
          </w:pPr>
          <w:hyperlink w:anchor="_Toc4156073" w:history="1">
            <w:r w:rsidR="0012408D" w:rsidRPr="00063C24">
              <w:rPr>
                <w:rStyle w:val="Hyperlink"/>
                <w:noProof/>
                <w14:scene3d>
                  <w14:camera w14:prst="orthographicFront"/>
                  <w14:lightRig w14:rig="threePt" w14:dir="t">
                    <w14:rot w14:lat="0" w14:lon="0" w14:rev="0"/>
                  </w14:lightRig>
                </w14:scene3d>
              </w:rPr>
              <w:t>3.4.3</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Izvještavanje</w:t>
            </w:r>
            <w:r w:rsidR="0012408D">
              <w:rPr>
                <w:noProof/>
                <w:webHidden/>
              </w:rPr>
              <w:tab/>
            </w:r>
            <w:r w:rsidR="0012408D">
              <w:rPr>
                <w:noProof/>
                <w:webHidden/>
              </w:rPr>
              <w:fldChar w:fldCharType="begin"/>
            </w:r>
            <w:r w:rsidR="0012408D">
              <w:rPr>
                <w:noProof/>
                <w:webHidden/>
              </w:rPr>
              <w:instrText xml:space="preserve"> PAGEREF _Toc4156073 \h </w:instrText>
            </w:r>
            <w:r w:rsidR="0012408D">
              <w:rPr>
                <w:noProof/>
                <w:webHidden/>
              </w:rPr>
            </w:r>
            <w:r w:rsidR="0012408D">
              <w:rPr>
                <w:noProof/>
                <w:webHidden/>
              </w:rPr>
              <w:fldChar w:fldCharType="separate"/>
            </w:r>
            <w:r w:rsidR="0012408D">
              <w:rPr>
                <w:noProof/>
                <w:webHidden/>
              </w:rPr>
              <w:t>21</w:t>
            </w:r>
            <w:r w:rsidR="0012408D">
              <w:rPr>
                <w:noProof/>
                <w:webHidden/>
              </w:rPr>
              <w:fldChar w:fldCharType="end"/>
            </w:r>
          </w:hyperlink>
        </w:p>
        <w:p w14:paraId="7B00C556" w14:textId="6A1F0216" w:rsidR="0012408D" w:rsidRDefault="00DF5A17">
          <w:pPr>
            <w:pStyle w:val="TOC1"/>
            <w:rPr>
              <w:rFonts w:asciiTheme="minorHAnsi" w:eastAsiaTheme="minorEastAsia" w:hAnsiTheme="minorHAnsi" w:cstheme="minorBidi"/>
              <w:b w:val="0"/>
              <w:bCs w:val="0"/>
              <w:caps w:val="0"/>
              <w:szCs w:val="22"/>
              <w:lang w:eastAsia="hr-HR"/>
            </w:rPr>
          </w:pPr>
          <w:hyperlink w:anchor="_Toc4156074" w:history="1">
            <w:r w:rsidR="0012408D" w:rsidRPr="00063C24">
              <w:rPr>
                <w:rStyle w:val="Hyperlink"/>
              </w:rPr>
              <w:t>4.</w:t>
            </w:r>
            <w:r w:rsidR="0012408D">
              <w:rPr>
                <w:rFonts w:asciiTheme="minorHAnsi" w:eastAsiaTheme="minorEastAsia" w:hAnsiTheme="minorHAnsi" w:cstheme="minorBidi"/>
                <w:b w:val="0"/>
                <w:bCs w:val="0"/>
                <w:caps w:val="0"/>
                <w:szCs w:val="22"/>
                <w:lang w:eastAsia="hr-HR"/>
              </w:rPr>
              <w:tab/>
            </w:r>
            <w:r w:rsidR="0012408D" w:rsidRPr="00063C24">
              <w:rPr>
                <w:rStyle w:val="Hyperlink"/>
              </w:rPr>
              <w:t>REFRENTNI INVENTAR EMISIJA CO</w:t>
            </w:r>
            <w:r w:rsidR="0012408D" w:rsidRPr="00063C24">
              <w:rPr>
                <w:rStyle w:val="Hyperlink"/>
                <w:vertAlign w:val="subscript"/>
              </w:rPr>
              <w:t>2</w:t>
            </w:r>
            <w:r w:rsidR="0012408D" w:rsidRPr="00063C24">
              <w:rPr>
                <w:rStyle w:val="Hyperlink"/>
              </w:rPr>
              <w:t xml:space="preserve"> – Baseline emission inventory (BEI)</w:t>
            </w:r>
            <w:r w:rsidR="0012408D">
              <w:rPr>
                <w:webHidden/>
              </w:rPr>
              <w:tab/>
            </w:r>
            <w:r w:rsidR="0012408D">
              <w:rPr>
                <w:webHidden/>
              </w:rPr>
              <w:fldChar w:fldCharType="begin"/>
            </w:r>
            <w:r w:rsidR="0012408D">
              <w:rPr>
                <w:webHidden/>
              </w:rPr>
              <w:instrText xml:space="preserve"> PAGEREF _Toc4156074 \h </w:instrText>
            </w:r>
            <w:r w:rsidR="0012408D">
              <w:rPr>
                <w:webHidden/>
              </w:rPr>
            </w:r>
            <w:r w:rsidR="0012408D">
              <w:rPr>
                <w:webHidden/>
              </w:rPr>
              <w:fldChar w:fldCharType="separate"/>
            </w:r>
            <w:r w:rsidR="0012408D">
              <w:rPr>
                <w:webHidden/>
              </w:rPr>
              <w:t>22</w:t>
            </w:r>
            <w:r w:rsidR="0012408D">
              <w:rPr>
                <w:webHidden/>
              </w:rPr>
              <w:fldChar w:fldCharType="end"/>
            </w:r>
          </w:hyperlink>
        </w:p>
        <w:p w14:paraId="679F63BC" w14:textId="24889EAF" w:rsidR="0012408D" w:rsidRDefault="00DF5A17">
          <w:pPr>
            <w:pStyle w:val="TOC2"/>
            <w:rPr>
              <w:rFonts w:asciiTheme="minorHAnsi" w:eastAsiaTheme="minorEastAsia" w:hAnsiTheme="minorHAnsi" w:cstheme="minorBidi"/>
              <w:smallCaps w:val="0"/>
              <w:noProof/>
              <w:sz w:val="22"/>
              <w:szCs w:val="22"/>
              <w:lang w:eastAsia="hr-HR"/>
            </w:rPr>
          </w:pPr>
          <w:hyperlink w:anchor="_Toc4156075" w:history="1">
            <w:r w:rsidR="0012408D" w:rsidRPr="00063C24">
              <w:rPr>
                <w:rStyle w:val="Hyperlink"/>
                <w:noProof/>
              </w:rPr>
              <w:t>4.1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Referentni inventar emisija CO</w:t>
            </w:r>
            <w:r w:rsidR="0012408D" w:rsidRPr="00063C24">
              <w:rPr>
                <w:rStyle w:val="Hyperlink"/>
                <w:noProof/>
                <w:vertAlign w:val="subscript"/>
              </w:rPr>
              <w:t>2</w:t>
            </w:r>
            <w:r w:rsidR="0012408D" w:rsidRPr="00063C24">
              <w:rPr>
                <w:rStyle w:val="Hyperlink"/>
                <w:noProof/>
              </w:rPr>
              <w:t xml:space="preserve"> iz sektora zgradarstva Grada Zagreba</w:t>
            </w:r>
            <w:r w:rsidR="0012408D">
              <w:rPr>
                <w:noProof/>
                <w:webHidden/>
              </w:rPr>
              <w:tab/>
            </w:r>
            <w:r w:rsidR="0012408D">
              <w:rPr>
                <w:noProof/>
                <w:webHidden/>
              </w:rPr>
              <w:fldChar w:fldCharType="begin"/>
            </w:r>
            <w:r w:rsidR="0012408D">
              <w:rPr>
                <w:noProof/>
                <w:webHidden/>
              </w:rPr>
              <w:instrText xml:space="preserve"> PAGEREF _Toc4156075 \h </w:instrText>
            </w:r>
            <w:r w:rsidR="0012408D">
              <w:rPr>
                <w:noProof/>
                <w:webHidden/>
              </w:rPr>
            </w:r>
            <w:r w:rsidR="0012408D">
              <w:rPr>
                <w:noProof/>
                <w:webHidden/>
              </w:rPr>
              <w:fldChar w:fldCharType="separate"/>
            </w:r>
            <w:r w:rsidR="0012408D">
              <w:rPr>
                <w:noProof/>
                <w:webHidden/>
              </w:rPr>
              <w:t>23</w:t>
            </w:r>
            <w:r w:rsidR="0012408D">
              <w:rPr>
                <w:noProof/>
                <w:webHidden/>
              </w:rPr>
              <w:fldChar w:fldCharType="end"/>
            </w:r>
          </w:hyperlink>
        </w:p>
        <w:p w14:paraId="68C207EC" w14:textId="5F1E574F" w:rsidR="0012408D" w:rsidRDefault="00DF5A17">
          <w:pPr>
            <w:pStyle w:val="TOC2"/>
            <w:rPr>
              <w:rFonts w:asciiTheme="minorHAnsi" w:eastAsiaTheme="minorEastAsia" w:hAnsiTheme="minorHAnsi" w:cstheme="minorBidi"/>
              <w:smallCaps w:val="0"/>
              <w:noProof/>
              <w:sz w:val="22"/>
              <w:szCs w:val="22"/>
              <w:lang w:eastAsia="hr-HR"/>
            </w:rPr>
          </w:pPr>
          <w:hyperlink w:anchor="_Toc4156076" w:history="1">
            <w:r w:rsidR="0012408D" w:rsidRPr="00063C24">
              <w:rPr>
                <w:rStyle w:val="Hyperlink"/>
                <w:noProof/>
              </w:rPr>
              <w:t>4.2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Referentni inventar emisija CO</w:t>
            </w:r>
            <w:r w:rsidR="0012408D" w:rsidRPr="00063C24">
              <w:rPr>
                <w:rStyle w:val="Hyperlink"/>
                <w:noProof/>
                <w:vertAlign w:val="subscript"/>
              </w:rPr>
              <w:t>2</w:t>
            </w:r>
            <w:r w:rsidR="0012408D" w:rsidRPr="00063C24">
              <w:rPr>
                <w:rStyle w:val="Hyperlink"/>
                <w:noProof/>
              </w:rPr>
              <w:t xml:space="preserve"> iz sektora prometa Grada Zagreba</w:t>
            </w:r>
            <w:r w:rsidR="0012408D">
              <w:rPr>
                <w:noProof/>
                <w:webHidden/>
              </w:rPr>
              <w:tab/>
            </w:r>
            <w:r w:rsidR="0012408D">
              <w:rPr>
                <w:noProof/>
                <w:webHidden/>
              </w:rPr>
              <w:fldChar w:fldCharType="begin"/>
            </w:r>
            <w:r w:rsidR="0012408D">
              <w:rPr>
                <w:noProof/>
                <w:webHidden/>
              </w:rPr>
              <w:instrText xml:space="preserve"> PAGEREF _Toc4156076 \h </w:instrText>
            </w:r>
            <w:r w:rsidR="0012408D">
              <w:rPr>
                <w:noProof/>
                <w:webHidden/>
              </w:rPr>
            </w:r>
            <w:r w:rsidR="0012408D">
              <w:rPr>
                <w:noProof/>
                <w:webHidden/>
              </w:rPr>
              <w:fldChar w:fldCharType="separate"/>
            </w:r>
            <w:r w:rsidR="0012408D">
              <w:rPr>
                <w:noProof/>
                <w:webHidden/>
              </w:rPr>
              <w:t>24</w:t>
            </w:r>
            <w:r w:rsidR="0012408D">
              <w:rPr>
                <w:noProof/>
                <w:webHidden/>
              </w:rPr>
              <w:fldChar w:fldCharType="end"/>
            </w:r>
          </w:hyperlink>
        </w:p>
        <w:p w14:paraId="76B6E6C3" w14:textId="65319A06" w:rsidR="0012408D" w:rsidRDefault="00DF5A17">
          <w:pPr>
            <w:pStyle w:val="TOC3"/>
            <w:rPr>
              <w:rFonts w:asciiTheme="minorHAnsi" w:eastAsiaTheme="minorEastAsia" w:hAnsiTheme="minorHAnsi" w:cstheme="minorBidi"/>
              <w:i w:val="0"/>
              <w:iCs w:val="0"/>
              <w:noProof/>
              <w:sz w:val="22"/>
              <w:szCs w:val="22"/>
              <w:lang w:eastAsia="hr-HR"/>
            </w:rPr>
          </w:pPr>
          <w:hyperlink w:anchor="_Toc4156077" w:history="1">
            <w:r w:rsidR="0012408D" w:rsidRPr="00063C24">
              <w:rPr>
                <w:rStyle w:val="Hyperlink"/>
                <w:noProof/>
                <w14:scene3d>
                  <w14:camera w14:prst="orthographicFront"/>
                  <w14:lightRig w14:rig="threePt" w14:dir="t">
                    <w14:rot w14:lat="0" w14:lon="0" w14:rev="0"/>
                  </w14:lightRig>
                </w14:scene3d>
              </w:rPr>
              <w:t>4.2.1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Emisije CO</w:t>
            </w:r>
            <w:r w:rsidR="0012408D" w:rsidRPr="00063C24">
              <w:rPr>
                <w:rStyle w:val="Hyperlink"/>
                <w:noProof/>
                <w:vertAlign w:val="subscript"/>
              </w:rPr>
              <w:t>2</w:t>
            </w:r>
            <w:r w:rsidR="0012408D" w:rsidRPr="00063C24">
              <w:rPr>
                <w:rStyle w:val="Hyperlink"/>
                <w:noProof/>
              </w:rPr>
              <w:t xml:space="preserve"> vozila u vlasništvu Grada Zagreba</w:t>
            </w:r>
            <w:r w:rsidR="0012408D">
              <w:rPr>
                <w:noProof/>
                <w:webHidden/>
              </w:rPr>
              <w:tab/>
            </w:r>
            <w:r w:rsidR="0012408D">
              <w:rPr>
                <w:noProof/>
                <w:webHidden/>
              </w:rPr>
              <w:fldChar w:fldCharType="begin"/>
            </w:r>
            <w:r w:rsidR="0012408D">
              <w:rPr>
                <w:noProof/>
                <w:webHidden/>
              </w:rPr>
              <w:instrText xml:space="preserve"> PAGEREF _Toc4156077 \h </w:instrText>
            </w:r>
            <w:r w:rsidR="0012408D">
              <w:rPr>
                <w:noProof/>
                <w:webHidden/>
              </w:rPr>
            </w:r>
            <w:r w:rsidR="0012408D">
              <w:rPr>
                <w:noProof/>
                <w:webHidden/>
              </w:rPr>
              <w:fldChar w:fldCharType="separate"/>
            </w:r>
            <w:r w:rsidR="0012408D">
              <w:rPr>
                <w:noProof/>
                <w:webHidden/>
              </w:rPr>
              <w:t>25</w:t>
            </w:r>
            <w:r w:rsidR="0012408D">
              <w:rPr>
                <w:noProof/>
                <w:webHidden/>
              </w:rPr>
              <w:fldChar w:fldCharType="end"/>
            </w:r>
          </w:hyperlink>
        </w:p>
        <w:p w14:paraId="61BFB49C" w14:textId="0F383664" w:rsidR="0012408D" w:rsidRDefault="00DF5A17">
          <w:pPr>
            <w:pStyle w:val="TOC3"/>
            <w:rPr>
              <w:rFonts w:asciiTheme="minorHAnsi" w:eastAsiaTheme="minorEastAsia" w:hAnsiTheme="minorHAnsi" w:cstheme="minorBidi"/>
              <w:i w:val="0"/>
              <w:iCs w:val="0"/>
              <w:noProof/>
              <w:sz w:val="22"/>
              <w:szCs w:val="22"/>
              <w:lang w:eastAsia="hr-HR"/>
            </w:rPr>
          </w:pPr>
          <w:hyperlink w:anchor="_Toc4156078" w:history="1">
            <w:r w:rsidR="0012408D" w:rsidRPr="00063C24">
              <w:rPr>
                <w:rStyle w:val="Hyperlink"/>
                <w:noProof/>
                <w14:scene3d>
                  <w14:camera w14:prst="orthographicFront"/>
                  <w14:lightRig w14:rig="threePt" w14:dir="t">
                    <w14:rot w14:lat="0" w14:lon="0" w14:rev="0"/>
                  </w14:lightRig>
                </w14:scene3d>
              </w:rPr>
              <w:t>4.2.2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Emisije CO</w:t>
            </w:r>
            <w:r w:rsidR="0012408D" w:rsidRPr="00063C24">
              <w:rPr>
                <w:rStyle w:val="Hyperlink"/>
                <w:noProof/>
                <w:vertAlign w:val="subscript"/>
              </w:rPr>
              <w:t>2</w:t>
            </w:r>
            <w:r w:rsidR="0012408D" w:rsidRPr="00063C24">
              <w:rPr>
                <w:rStyle w:val="Hyperlink"/>
                <w:noProof/>
              </w:rPr>
              <w:t xml:space="preserve"> javnog prijevoza Grada Zagreba</w:t>
            </w:r>
            <w:r w:rsidR="0012408D">
              <w:rPr>
                <w:noProof/>
                <w:webHidden/>
              </w:rPr>
              <w:tab/>
            </w:r>
            <w:r w:rsidR="0012408D">
              <w:rPr>
                <w:noProof/>
                <w:webHidden/>
              </w:rPr>
              <w:fldChar w:fldCharType="begin"/>
            </w:r>
            <w:r w:rsidR="0012408D">
              <w:rPr>
                <w:noProof/>
                <w:webHidden/>
              </w:rPr>
              <w:instrText xml:space="preserve"> PAGEREF _Toc4156078 \h </w:instrText>
            </w:r>
            <w:r w:rsidR="0012408D">
              <w:rPr>
                <w:noProof/>
                <w:webHidden/>
              </w:rPr>
            </w:r>
            <w:r w:rsidR="0012408D">
              <w:rPr>
                <w:noProof/>
                <w:webHidden/>
              </w:rPr>
              <w:fldChar w:fldCharType="separate"/>
            </w:r>
            <w:r w:rsidR="0012408D">
              <w:rPr>
                <w:noProof/>
                <w:webHidden/>
              </w:rPr>
              <w:t>26</w:t>
            </w:r>
            <w:r w:rsidR="0012408D">
              <w:rPr>
                <w:noProof/>
                <w:webHidden/>
              </w:rPr>
              <w:fldChar w:fldCharType="end"/>
            </w:r>
          </w:hyperlink>
        </w:p>
        <w:p w14:paraId="1280A28F" w14:textId="21F014BE" w:rsidR="0012408D" w:rsidRDefault="00DF5A17">
          <w:pPr>
            <w:pStyle w:val="TOC3"/>
            <w:rPr>
              <w:rFonts w:asciiTheme="minorHAnsi" w:eastAsiaTheme="minorEastAsia" w:hAnsiTheme="minorHAnsi" w:cstheme="minorBidi"/>
              <w:i w:val="0"/>
              <w:iCs w:val="0"/>
              <w:noProof/>
              <w:sz w:val="22"/>
              <w:szCs w:val="22"/>
              <w:lang w:eastAsia="hr-HR"/>
            </w:rPr>
          </w:pPr>
          <w:hyperlink w:anchor="_Toc4156079" w:history="1">
            <w:r w:rsidR="0012408D" w:rsidRPr="00063C24">
              <w:rPr>
                <w:rStyle w:val="Hyperlink"/>
                <w:noProof/>
                <w14:scene3d>
                  <w14:camera w14:prst="orthographicFront"/>
                  <w14:lightRig w14:rig="threePt" w14:dir="t">
                    <w14:rot w14:lat="0" w14:lon="0" w14:rev="0"/>
                  </w14:lightRig>
                </w14:scene3d>
              </w:rPr>
              <w:t>4.2.3</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Emisije CO</w:t>
            </w:r>
            <w:r w:rsidR="0012408D" w:rsidRPr="00063C24">
              <w:rPr>
                <w:rStyle w:val="Hyperlink"/>
                <w:noProof/>
                <w:vertAlign w:val="subscript"/>
              </w:rPr>
              <w:t>2</w:t>
            </w:r>
            <w:r w:rsidR="0012408D" w:rsidRPr="00063C24">
              <w:rPr>
                <w:rStyle w:val="Hyperlink"/>
                <w:noProof/>
              </w:rPr>
              <w:t xml:space="preserve"> osobnih i komercijalnih vozila</w:t>
            </w:r>
            <w:r w:rsidR="0012408D">
              <w:rPr>
                <w:noProof/>
                <w:webHidden/>
              </w:rPr>
              <w:tab/>
            </w:r>
            <w:r w:rsidR="0012408D">
              <w:rPr>
                <w:noProof/>
                <w:webHidden/>
              </w:rPr>
              <w:fldChar w:fldCharType="begin"/>
            </w:r>
            <w:r w:rsidR="0012408D">
              <w:rPr>
                <w:noProof/>
                <w:webHidden/>
              </w:rPr>
              <w:instrText xml:space="preserve"> PAGEREF _Toc4156079 \h </w:instrText>
            </w:r>
            <w:r w:rsidR="0012408D">
              <w:rPr>
                <w:noProof/>
                <w:webHidden/>
              </w:rPr>
            </w:r>
            <w:r w:rsidR="0012408D">
              <w:rPr>
                <w:noProof/>
                <w:webHidden/>
              </w:rPr>
              <w:fldChar w:fldCharType="separate"/>
            </w:r>
            <w:r w:rsidR="0012408D">
              <w:rPr>
                <w:noProof/>
                <w:webHidden/>
              </w:rPr>
              <w:t>27</w:t>
            </w:r>
            <w:r w:rsidR="0012408D">
              <w:rPr>
                <w:noProof/>
                <w:webHidden/>
              </w:rPr>
              <w:fldChar w:fldCharType="end"/>
            </w:r>
          </w:hyperlink>
        </w:p>
        <w:p w14:paraId="6BE91247" w14:textId="6F753C0B" w:rsidR="0012408D" w:rsidRDefault="00DF5A17">
          <w:pPr>
            <w:pStyle w:val="TOC3"/>
            <w:rPr>
              <w:rFonts w:asciiTheme="minorHAnsi" w:eastAsiaTheme="minorEastAsia" w:hAnsiTheme="minorHAnsi" w:cstheme="minorBidi"/>
              <w:i w:val="0"/>
              <w:iCs w:val="0"/>
              <w:noProof/>
              <w:sz w:val="22"/>
              <w:szCs w:val="22"/>
              <w:lang w:eastAsia="hr-HR"/>
            </w:rPr>
          </w:pPr>
          <w:hyperlink w:anchor="_Toc4156080" w:history="1">
            <w:r w:rsidR="0012408D" w:rsidRPr="00063C24">
              <w:rPr>
                <w:rStyle w:val="Hyperlink"/>
                <w:noProof/>
                <w14:scene3d>
                  <w14:camera w14:prst="orthographicFront"/>
                  <w14:lightRig w14:rig="threePt" w14:dir="t">
                    <w14:rot w14:lat="0" w14:lon="0" w14:rev="0"/>
                  </w14:lightRig>
                </w14:scene3d>
              </w:rPr>
              <w:t>4.2.4</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Ukupne emisije CO</w:t>
            </w:r>
            <w:r w:rsidR="0012408D" w:rsidRPr="00063C24">
              <w:rPr>
                <w:rStyle w:val="Hyperlink"/>
                <w:noProof/>
                <w:vertAlign w:val="subscript"/>
              </w:rPr>
              <w:t>2</w:t>
            </w:r>
            <w:r w:rsidR="0012408D" w:rsidRPr="00063C24">
              <w:rPr>
                <w:rStyle w:val="Hyperlink"/>
                <w:noProof/>
              </w:rPr>
              <w:t xml:space="preserve"> sektora prometa Grada Zagreba</w:t>
            </w:r>
            <w:r w:rsidR="0012408D">
              <w:rPr>
                <w:noProof/>
                <w:webHidden/>
              </w:rPr>
              <w:tab/>
            </w:r>
            <w:r w:rsidR="0012408D">
              <w:rPr>
                <w:noProof/>
                <w:webHidden/>
              </w:rPr>
              <w:fldChar w:fldCharType="begin"/>
            </w:r>
            <w:r w:rsidR="0012408D">
              <w:rPr>
                <w:noProof/>
                <w:webHidden/>
              </w:rPr>
              <w:instrText xml:space="preserve"> PAGEREF _Toc4156080 \h </w:instrText>
            </w:r>
            <w:r w:rsidR="0012408D">
              <w:rPr>
                <w:noProof/>
                <w:webHidden/>
              </w:rPr>
            </w:r>
            <w:r w:rsidR="0012408D">
              <w:rPr>
                <w:noProof/>
                <w:webHidden/>
              </w:rPr>
              <w:fldChar w:fldCharType="separate"/>
            </w:r>
            <w:r w:rsidR="0012408D">
              <w:rPr>
                <w:noProof/>
                <w:webHidden/>
              </w:rPr>
              <w:t>28</w:t>
            </w:r>
            <w:r w:rsidR="0012408D">
              <w:rPr>
                <w:noProof/>
                <w:webHidden/>
              </w:rPr>
              <w:fldChar w:fldCharType="end"/>
            </w:r>
          </w:hyperlink>
        </w:p>
        <w:p w14:paraId="676F0ED3" w14:textId="6369436D" w:rsidR="0012408D" w:rsidRDefault="00DF5A17">
          <w:pPr>
            <w:pStyle w:val="TOC2"/>
            <w:rPr>
              <w:rFonts w:asciiTheme="minorHAnsi" w:eastAsiaTheme="minorEastAsia" w:hAnsiTheme="minorHAnsi" w:cstheme="minorBidi"/>
              <w:smallCaps w:val="0"/>
              <w:noProof/>
              <w:sz w:val="22"/>
              <w:szCs w:val="22"/>
              <w:lang w:eastAsia="hr-HR"/>
            </w:rPr>
          </w:pPr>
          <w:hyperlink w:anchor="_Toc4156081" w:history="1">
            <w:r w:rsidR="0012408D" w:rsidRPr="00063C24">
              <w:rPr>
                <w:rStyle w:val="Hyperlink"/>
                <w:noProof/>
              </w:rPr>
              <w:t>4.3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Referentni inventar emisija CO</w:t>
            </w:r>
            <w:r w:rsidR="0012408D" w:rsidRPr="00063C24">
              <w:rPr>
                <w:rStyle w:val="Hyperlink"/>
                <w:noProof/>
                <w:vertAlign w:val="subscript"/>
              </w:rPr>
              <w:t>2</w:t>
            </w:r>
            <w:r w:rsidR="0012408D" w:rsidRPr="00063C24">
              <w:rPr>
                <w:rStyle w:val="Hyperlink"/>
                <w:noProof/>
              </w:rPr>
              <w:t xml:space="preserve"> iz sektora javne rasvjete Grada Zagreba</w:t>
            </w:r>
            <w:r w:rsidR="0012408D">
              <w:rPr>
                <w:noProof/>
                <w:webHidden/>
              </w:rPr>
              <w:tab/>
            </w:r>
            <w:r w:rsidR="0012408D">
              <w:rPr>
                <w:noProof/>
                <w:webHidden/>
              </w:rPr>
              <w:fldChar w:fldCharType="begin"/>
            </w:r>
            <w:r w:rsidR="0012408D">
              <w:rPr>
                <w:noProof/>
                <w:webHidden/>
              </w:rPr>
              <w:instrText xml:space="preserve"> PAGEREF _Toc4156081 \h </w:instrText>
            </w:r>
            <w:r w:rsidR="0012408D">
              <w:rPr>
                <w:noProof/>
                <w:webHidden/>
              </w:rPr>
            </w:r>
            <w:r w:rsidR="0012408D">
              <w:rPr>
                <w:noProof/>
                <w:webHidden/>
              </w:rPr>
              <w:fldChar w:fldCharType="separate"/>
            </w:r>
            <w:r w:rsidR="0012408D">
              <w:rPr>
                <w:noProof/>
                <w:webHidden/>
              </w:rPr>
              <w:t>29</w:t>
            </w:r>
            <w:r w:rsidR="0012408D">
              <w:rPr>
                <w:noProof/>
                <w:webHidden/>
              </w:rPr>
              <w:fldChar w:fldCharType="end"/>
            </w:r>
          </w:hyperlink>
        </w:p>
        <w:p w14:paraId="2A98972F" w14:textId="1F5879A0" w:rsidR="0012408D" w:rsidRDefault="00DF5A17">
          <w:pPr>
            <w:pStyle w:val="TOC2"/>
            <w:rPr>
              <w:rFonts w:asciiTheme="minorHAnsi" w:eastAsiaTheme="minorEastAsia" w:hAnsiTheme="minorHAnsi" w:cstheme="minorBidi"/>
              <w:smallCaps w:val="0"/>
              <w:noProof/>
              <w:sz w:val="22"/>
              <w:szCs w:val="22"/>
              <w:lang w:eastAsia="hr-HR"/>
            </w:rPr>
          </w:pPr>
          <w:hyperlink w:anchor="_Toc4156082" w:history="1">
            <w:r w:rsidR="0012408D" w:rsidRPr="00063C24">
              <w:rPr>
                <w:rStyle w:val="Hyperlink"/>
                <w:noProof/>
              </w:rPr>
              <w:t>4.4</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Ukupni referentni inventar emisija CO</w:t>
            </w:r>
            <w:r w:rsidR="0012408D" w:rsidRPr="00063C24">
              <w:rPr>
                <w:rStyle w:val="Hyperlink"/>
                <w:noProof/>
                <w:vertAlign w:val="subscript"/>
              </w:rPr>
              <w:t>2</w:t>
            </w:r>
            <w:r w:rsidR="0012408D" w:rsidRPr="00063C24">
              <w:rPr>
                <w:rStyle w:val="Hyperlink"/>
                <w:noProof/>
              </w:rPr>
              <w:t xml:space="preserve"> Grada Zagreba</w:t>
            </w:r>
            <w:r w:rsidR="0012408D">
              <w:rPr>
                <w:noProof/>
                <w:webHidden/>
              </w:rPr>
              <w:tab/>
            </w:r>
            <w:r w:rsidR="0012408D">
              <w:rPr>
                <w:noProof/>
                <w:webHidden/>
              </w:rPr>
              <w:fldChar w:fldCharType="begin"/>
            </w:r>
            <w:r w:rsidR="0012408D">
              <w:rPr>
                <w:noProof/>
                <w:webHidden/>
              </w:rPr>
              <w:instrText xml:space="preserve"> PAGEREF _Toc4156082 \h </w:instrText>
            </w:r>
            <w:r w:rsidR="0012408D">
              <w:rPr>
                <w:noProof/>
                <w:webHidden/>
              </w:rPr>
            </w:r>
            <w:r w:rsidR="0012408D">
              <w:rPr>
                <w:noProof/>
                <w:webHidden/>
              </w:rPr>
              <w:fldChar w:fldCharType="separate"/>
            </w:r>
            <w:r w:rsidR="0012408D">
              <w:rPr>
                <w:noProof/>
                <w:webHidden/>
              </w:rPr>
              <w:t>30</w:t>
            </w:r>
            <w:r w:rsidR="0012408D">
              <w:rPr>
                <w:noProof/>
                <w:webHidden/>
              </w:rPr>
              <w:fldChar w:fldCharType="end"/>
            </w:r>
          </w:hyperlink>
        </w:p>
        <w:p w14:paraId="3AECBA72" w14:textId="7EDDD84B" w:rsidR="0012408D" w:rsidRDefault="00DF5A17">
          <w:pPr>
            <w:pStyle w:val="TOC3"/>
            <w:rPr>
              <w:rFonts w:asciiTheme="minorHAnsi" w:eastAsiaTheme="minorEastAsia" w:hAnsiTheme="minorHAnsi" w:cstheme="minorBidi"/>
              <w:i w:val="0"/>
              <w:iCs w:val="0"/>
              <w:noProof/>
              <w:sz w:val="22"/>
              <w:szCs w:val="22"/>
              <w:lang w:eastAsia="hr-HR"/>
            </w:rPr>
          </w:pPr>
          <w:hyperlink w:anchor="_Toc4156083" w:history="1">
            <w:r w:rsidR="0012408D" w:rsidRPr="00063C24">
              <w:rPr>
                <w:rStyle w:val="Hyperlink"/>
                <w:noProof/>
                <w14:scene3d>
                  <w14:camera w14:prst="orthographicFront"/>
                  <w14:lightRig w14:rig="threePt" w14:dir="t">
                    <w14:rot w14:lat="0" w14:lon="0" w14:rev="0"/>
                  </w14:lightRig>
                </w14:scene3d>
              </w:rPr>
              <w:t>4.4.1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Energetska potrošnja Grada Zagreba – Referentni inventar</w:t>
            </w:r>
            <w:r w:rsidR="0012408D">
              <w:rPr>
                <w:noProof/>
                <w:webHidden/>
              </w:rPr>
              <w:tab/>
            </w:r>
            <w:r w:rsidR="0012408D">
              <w:rPr>
                <w:noProof/>
                <w:webHidden/>
              </w:rPr>
              <w:fldChar w:fldCharType="begin"/>
            </w:r>
            <w:r w:rsidR="0012408D">
              <w:rPr>
                <w:noProof/>
                <w:webHidden/>
              </w:rPr>
              <w:instrText xml:space="preserve"> PAGEREF _Toc4156083 \h </w:instrText>
            </w:r>
            <w:r w:rsidR="0012408D">
              <w:rPr>
                <w:noProof/>
                <w:webHidden/>
              </w:rPr>
            </w:r>
            <w:r w:rsidR="0012408D">
              <w:rPr>
                <w:noProof/>
                <w:webHidden/>
              </w:rPr>
              <w:fldChar w:fldCharType="separate"/>
            </w:r>
            <w:r w:rsidR="0012408D">
              <w:rPr>
                <w:noProof/>
                <w:webHidden/>
              </w:rPr>
              <w:t>30</w:t>
            </w:r>
            <w:r w:rsidR="0012408D">
              <w:rPr>
                <w:noProof/>
                <w:webHidden/>
              </w:rPr>
              <w:fldChar w:fldCharType="end"/>
            </w:r>
          </w:hyperlink>
        </w:p>
        <w:p w14:paraId="26B96F1F" w14:textId="4AB7C748" w:rsidR="0012408D" w:rsidRDefault="00DF5A17">
          <w:pPr>
            <w:pStyle w:val="TOC3"/>
            <w:rPr>
              <w:rFonts w:asciiTheme="minorHAnsi" w:eastAsiaTheme="minorEastAsia" w:hAnsiTheme="minorHAnsi" w:cstheme="minorBidi"/>
              <w:i w:val="0"/>
              <w:iCs w:val="0"/>
              <w:noProof/>
              <w:sz w:val="22"/>
              <w:szCs w:val="22"/>
              <w:lang w:eastAsia="hr-HR"/>
            </w:rPr>
          </w:pPr>
          <w:hyperlink w:anchor="_Toc4156084" w:history="1">
            <w:r w:rsidR="0012408D" w:rsidRPr="00063C24">
              <w:rPr>
                <w:rStyle w:val="Hyperlink"/>
                <w:noProof/>
                <w14:scene3d>
                  <w14:camera w14:prst="orthographicFront"/>
                  <w14:lightRig w14:rig="threePt" w14:dir="t">
                    <w14:rot w14:lat="0" w14:lon="0" w14:rev="0"/>
                  </w14:lightRig>
                </w14:scene3d>
              </w:rPr>
              <w:t>4.4.2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Emisije CO</w:t>
            </w:r>
            <w:r w:rsidR="0012408D" w:rsidRPr="00063C24">
              <w:rPr>
                <w:rStyle w:val="Hyperlink"/>
                <w:noProof/>
                <w:vertAlign w:val="subscript"/>
              </w:rPr>
              <w:t>2</w:t>
            </w:r>
            <w:r w:rsidR="0012408D" w:rsidRPr="00063C24">
              <w:rPr>
                <w:rStyle w:val="Hyperlink"/>
                <w:noProof/>
              </w:rPr>
              <w:t xml:space="preserve"> Grada Zagreba - Referentni inventar</w:t>
            </w:r>
            <w:r w:rsidR="0012408D">
              <w:rPr>
                <w:noProof/>
                <w:webHidden/>
              </w:rPr>
              <w:tab/>
            </w:r>
            <w:r w:rsidR="0012408D">
              <w:rPr>
                <w:noProof/>
                <w:webHidden/>
              </w:rPr>
              <w:fldChar w:fldCharType="begin"/>
            </w:r>
            <w:r w:rsidR="0012408D">
              <w:rPr>
                <w:noProof/>
                <w:webHidden/>
              </w:rPr>
              <w:instrText xml:space="preserve"> PAGEREF _Toc4156084 \h </w:instrText>
            </w:r>
            <w:r w:rsidR="0012408D">
              <w:rPr>
                <w:noProof/>
                <w:webHidden/>
              </w:rPr>
            </w:r>
            <w:r w:rsidR="0012408D">
              <w:rPr>
                <w:noProof/>
                <w:webHidden/>
              </w:rPr>
              <w:fldChar w:fldCharType="separate"/>
            </w:r>
            <w:r w:rsidR="0012408D">
              <w:rPr>
                <w:noProof/>
                <w:webHidden/>
              </w:rPr>
              <w:t>32</w:t>
            </w:r>
            <w:r w:rsidR="0012408D">
              <w:rPr>
                <w:noProof/>
                <w:webHidden/>
              </w:rPr>
              <w:fldChar w:fldCharType="end"/>
            </w:r>
          </w:hyperlink>
        </w:p>
        <w:p w14:paraId="32E8CB95" w14:textId="53AC778C" w:rsidR="0012408D" w:rsidRDefault="00DF5A17">
          <w:pPr>
            <w:pStyle w:val="TOC2"/>
            <w:rPr>
              <w:rFonts w:asciiTheme="minorHAnsi" w:eastAsiaTheme="minorEastAsia" w:hAnsiTheme="minorHAnsi" w:cstheme="minorBidi"/>
              <w:smallCaps w:val="0"/>
              <w:noProof/>
              <w:sz w:val="22"/>
              <w:szCs w:val="22"/>
              <w:lang w:eastAsia="hr-HR"/>
            </w:rPr>
          </w:pPr>
          <w:hyperlink w:anchor="_Toc4156085" w:history="1">
            <w:r w:rsidR="0012408D" w:rsidRPr="00063C24">
              <w:rPr>
                <w:rStyle w:val="Hyperlink"/>
                <w:noProof/>
              </w:rPr>
              <w:t>4.5</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Zaključak</w:t>
            </w:r>
            <w:r w:rsidR="0012408D">
              <w:rPr>
                <w:noProof/>
                <w:webHidden/>
              </w:rPr>
              <w:tab/>
            </w:r>
            <w:r w:rsidR="0012408D">
              <w:rPr>
                <w:noProof/>
                <w:webHidden/>
              </w:rPr>
              <w:fldChar w:fldCharType="begin"/>
            </w:r>
            <w:r w:rsidR="0012408D">
              <w:rPr>
                <w:noProof/>
                <w:webHidden/>
              </w:rPr>
              <w:instrText xml:space="preserve"> PAGEREF _Toc4156085 \h </w:instrText>
            </w:r>
            <w:r w:rsidR="0012408D">
              <w:rPr>
                <w:noProof/>
                <w:webHidden/>
              </w:rPr>
            </w:r>
            <w:r w:rsidR="0012408D">
              <w:rPr>
                <w:noProof/>
                <w:webHidden/>
              </w:rPr>
              <w:fldChar w:fldCharType="separate"/>
            </w:r>
            <w:r w:rsidR="0012408D">
              <w:rPr>
                <w:noProof/>
                <w:webHidden/>
              </w:rPr>
              <w:t>34</w:t>
            </w:r>
            <w:r w:rsidR="0012408D">
              <w:rPr>
                <w:noProof/>
                <w:webHidden/>
              </w:rPr>
              <w:fldChar w:fldCharType="end"/>
            </w:r>
          </w:hyperlink>
        </w:p>
        <w:p w14:paraId="27D6EC5F" w14:textId="177911E1" w:rsidR="0012408D" w:rsidRDefault="00DF5A17">
          <w:pPr>
            <w:pStyle w:val="TOC1"/>
            <w:rPr>
              <w:rFonts w:asciiTheme="minorHAnsi" w:eastAsiaTheme="minorEastAsia" w:hAnsiTheme="minorHAnsi" w:cstheme="minorBidi"/>
              <w:b w:val="0"/>
              <w:bCs w:val="0"/>
              <w:caps w:val="0"/>
              <w:szCs w:val="22"/>
              <w:lang w:eastAsia="hr-HR"/>
            </w:rPr>
          </w:pPr>
          <w:hyperlink w:anchor="_Toc4156086" w:history="1">
            <w:r w:rsidR="0012408D" w:rsidRPr="00063C24">
              <w:rPr>
                <w:rStyle w:val="Hyperlink"/>
              </w:rPr>
              <w:t>5.</w:t>
            </w:r>
            <w:r w:rsidR="0012408D">
              <w:rPr>
                <w:rFonts w:asciiTheme="minorHAnsi" w:eastAsiaTheme="minorEastAsia" w:hAnsiTheme="minorHAnsi" w:cstheme="minorBidi"/>
                <w:b w:val="0"/>
                <w:bCs w:val="0"/>
                <w:caps w:val="0"/>
                <w:szCs w:val="22"/>
                <w:lang w:eastAsia="hr-HR"/>
              </w:rPr>
              <w:tab/>
            </w:r>
            <w:r w:rsidR="0012408D" w:rsidRPr="00063C24">
              <w:rPr>
                <w:rStyle w:val="Hyperlink"/>
              </w:rPr>
              <w:t>KONTROLNI INVENTAR EMISIJA CO</w:t>
            </w:r>
            <w:r w:rsidR="0012408D" w:rsidRPr="00063C24">
              <w:rPr>
                <w:rStyle w:val="Hyperlink"/>
                <w:vertAlign w:val="subscript"/>
              </w:rPr>
              <w:t>2</w:t>
            </w:r>
            <w:r w:rsidR="0012408D" w:rsidRPr="00063C24">
              <w:rPr>
                <w:rStyle w:val="Hyperlink"/>
              </w:rPr>
              <w:t xml:space="preserve"> - </w:t>
            </w:r>
            <w:r w:rsidR="0012408D" w:rsidRPr="00063C24">
              <w:rPr>
                <w:rStyle w:val="Hyperlink"/>
                <w:i/>
                <w:iCs/>
              </w:rPr>
              <w:t>Monitorning emission inventory</w:t>
            </w:r>
            <w:r w:rsidR="0012408D" w:rsidRPr="00063C24">
              <w:rPr>
                <w:rStyle w:val="Hyperlink"/>
              </w:rPr>
              <w:t xml:space="preserve"> (MEI) 2015. godine</w:t>
            </w:r>
            <w:r w:rsidR="0012408D">
              <w:rPr>
                <w:webHidden/>
              </w:rPr>
              <w:tab/>
            </w:r>
            <w:r w:rsidR="0012408D">
              <w:rPr>
                <w:webHidden/>
              </w:rPr>
              <w:fldChar w:fldCharType="begin"/>
            </w:r>
            <w:r w:rsidR="0012408D">
              <w:rPr>
                <w:webHidden/>
              </w:rPr>
              <w:instrText xml:space="preserve"> PAGEREF _Toc4156086 \h </w:instrText>
            </w:r>
            <w:r w:rsidR="0012408D">
              <w:rPr>
                <w:webHidden/>
              </w:rPr>
            </w:r>
            <w:r w:rsidR="0012408D">
              <w:rPr>
                <w:webHidden/>
              </w:rPr>
              <w:fldChar w:fldCharType="separate"/>
            </w:r>
            <w:r w:rsidR="0012408D">
              <w:rPr>
                <w:webHidden/>
              </w:rPr>
              <w:t>35</w:t>
            </w:r>
            <w:r w:rsidR="0012408D">
              <w:rPr>
                <w:webHidden/>
              </w:rPr>
              <w:fldChar w:fldCharType="end"/>
            </w:r>
          </w:hyperlink>
        </w:p>
        <w:p w14:paraId="7B36B8CC" w14:textId="527E700B" w:rsidR="0012408D" w:rsidRDefault="00DF5A17">
          <w:pPr>
            <w:pStyle w:val="TOC2"/>
            <w:rPr>
              <w:rFonts w:asciiTheme="minorHAnsi" w:eastAsiaTheme="minorEastAsia" w:hAnsiTheme="minorHAnsi" w:cstheme="minorBidi"/>
              <w:smallCaps w:val="0"/>
              <w:noProof/>
              <w:sz w:val="22"/>
              <w:szCs w:val="22"/>
              <w:lang w:eastAsia="hr-HR"/>
            </w:rPr>
          </w:pPr>
          <w:hyperlink w:anchor="_Toc4156087" w:history="1">
            <w:r w:rsidR="0012408D" w:rsidRPr="00063C24">
              <w:rPr>
                <w:rStyle w:val="Hyperlink"/>
                <w:noProof/>
              </w:rPr>
              <w:t>5.1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Kontrolni inventar emisija CO</w:t>
            </w:r>
            <w:r w:rsidR="0012408D" w:rsidRPr="00063C24">
              <w:rPr>
                <w:rStyle w:val="Hyperlink"/>
                <w:noProof/>
                <w:vertAlign w:val="subscript"/>
              </w:rPr>
              <w:t>2</w:t>
            </w:r>
            <w:r w:rsidR="0012408D" w:rsidRPr="00063C24">
              <w:rPr>
                <w:rStyle w:val="Hyperlink"/>
                <w:noProof/>
              </w:rPr>
              <w:t xml:space="preserve"> iz sektora zgradarstva Grada Zagreba za 2015. godinu</w:t>
            </w:r>
            <w:r w:rsidR="0012408D">
              <w:rPr>
                <w:noProof/>
                <w:webHidden/>
              </w:rPr>
              <w:tab/>
            </w:r>
            <w:r w:rsidR="0012408D">
              <w:rPr>
                <w:noProof/>
                <w:webHidden/>
              </w:rPr>
              <w:fldChar w:fldCharType="begin"/>
            </w:r>
            <w:r w:rsidR="0012408D">
              <w:rPr>
                <w:noProof/>
                <w:webHidden/>
              </w:rPr>
              <w:instrText xml:space="preserve"> PAGEREF _Toc4156087 \h </w:instrText>
            </w:r>
            <w:r w:rsidR="0012408D">
              <w:rPr>
                <w:noProof/>
                <w:webHidden/>
              </w:rPr>
            </w:r>
            <w:r w:rsidR="0012408D">
              <w:rPr>
                <w:noProof/>
                <w:webHidden/>
              </w:rPr>
              <w:fldChar w:fldCharType="separate"/>
            </w:r>
            <w:r w:rsidR="0012408D">
              <w:rPr>
                <w:noProof/>
                <w:webHidden/>
              </w:rPr>
              <w:t>36</w:t>
            </w:r>
            <w:r w:rsidR="0012408D">
              <w:rPr>
                <w:noProof/>
                <w:webHidden/>
              </w:rPr>
              <w:fldChar w:fldCharType="end"/>
            </w:r>
          </w:hyperlink>
        </w:p>
        <w:p w14:paraId="7D5C6477" w14:textId="2FE65750" w:rsidR="0012408D" w:rsidRDefault="00DF5A17">
          <w:pPr>
            <w:pStyle w:val="TOC2"/>
            <w:rPr>
              <w:rFonts w:asciiTheme="minorHAnsi" w:eastAsiaTheme="minorEastAsia" w:hAnsiTheme="minorHAnsi" w:cstheme="minorBidi"/>
              <w:smallCaps w:val="0"/>
              <w:noProof/>
              <w:sz w:val="22"/>
              <w:szCs w:val="22"/>
              <w:lang w:eastAsia="hr-HR"/>
            </w:rPr>
          </w:pPr>
          <w:hyperlink w:anchor="_Toc4156088" w:history="1">
            <w:r w:rsidR="0012408D" w:rsidRPr="00063C24">
              <w:rPr>
                <w:rStyle w:val="Hyperlink"/>
                <w:noProof/>
              </w:rPr>
              <w:t>5.2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Kontrolni inventar emisija CO</w:t>
            </w:r>
            <w:r w:rsidR="0012408D" w:rsidRPr="00063C24">
              <w:rPr>
                <w:rStyle w:val="Hyperlink"/>
                <w:noProof/>
                <w:vertAlign w:val="subscript"/>
              </w:rPr>
              <w:t>2</w:t>
            </w:r>
            <w:r w:rsidR="0012408D" w:rsidRPr="00063C24">
              <w:rPr>
                <w:rStyle w:val="Hyperlink"/>
                <w:noProof/>
              </w:rPr>
              <w:t xml:space="preserve"> iz sektora prometa za 2015. godinu</w:t>
            </w:r>
            <w:r w:rsidR="0012408D">
              <w:rPr>
                <w:noProof/>
                <w:webHidden/>
              </w:rPr>
              <w:tab/>
            </w:r>
            <w:r w:rsidR="0012408D">
              <w:rPr>
                <w:noProof/>
                <w:webHidden/>
              </w:rPr>
              <w:fldChar w:fldCharType="begin"/>
            </w:r>
            <w:r w:rsidR="0012408D">
              <w:rPr>
                <w:noProof/>
                <w:webHidden/>
              </w:rPr>
              <w:instrText xml:space="preserve"> PAGEREF _Toc4156088 \h </w:instrText>
            </w:r>
            <w:r w:rsidR="0012408D">
              <w:rPr>
                <w:noProof/>
                <w:webHidden/>
              </w:rPr>
            </w:r>
            <w:r w:rsidR="0012408D">
              <w:rPr>
                <w:noProof/>
                <w:webHidden/>
              </w:rPr>
              <w:fldChar w:fldCharType="separate"/>
            </w:r>
            <w:r w:rsidR="0012408D">
              <w:rPr>
                <w:noProof/>
                <w:webHidden/>
              </w:rPr>
              <w:t>39</w:t>
            </w:r>
            <w:r w:rsidR="0012408D">
              <w:rPr>
                <w:noProof/>
                <w:webHidden/>
              </w:rPr>
              <w:fldChar w:fldCharType="end"/>
            </w:r>
          </w:hyperlink>
        </w:p>
        <w:p w14:paraId="5C871AE5" w14:textId="6B256130" w:rsidR="0012408D" w:rsidRDefault="00DF5A17">
          <w:pPr>
            <w:pStyle w:val="TOC2"/>
            <w:rPr>
              <w:rFonts w:asciiTheme="minorHAnsi" w:eastAsiaTheme="minorEastAsia" w:hAnsiTheme="minorHAnsi" w:cstheme="minorBidi"/>
              <w:smallCaps w:val="0"/>
              <w:noProof/>
              <w:sz w:val="22"/>
              <w:szCs w:val="22"/>
              <w:lang w:eastAsia="hr-HR"/>
            </w:rPr>
          </w:pPr>
          <w:hyperlink w:anchor="_Toc4156089" w:history="1">
            <w:r w:rsidR="0012408D" w:rsidRPr="00063C24">
              <w:rPr>
                <w:rStyle w:val="Hyperlink"/>
                <w:noProof/>
              </w:rPr>
              <w:t>5.3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Kontrolni inventar emisija CO</w:t>
            </w:r>
            <w:r w:rsidR="0012408D" w:rsidRPr="00063C24">
              <w:rPr>
                <w:rStyle w:val="Hyperlink"/>
                <w:noProof/>
                <w:vertAlign w:val="subscript"/>
              </w:rPr>
              <w:t>2</w:t>
            </w:r>
            <w:r w:rsidR="0012408D" w:rsidRPr="00063C24">
              <w:rPr>
                <w:rStyle w:val="Hyperlink"/>
                <w:noProof/>
              </w:rPr>
              <w:t xml:space="preserve"> iz sektora javne rasvjete Grada Zagreba u 2015. godini</w:t>
            </w:r>
            <w:r w:rsidR="0012408D">
              <w:rPr>
                <w:noProof/>
                <w:webHidden/>
              </w:rPr>
              <w:tab/>
            </w:r>
            <w:r w:rsidR="0012408D">
              <w:rPr>
                <w:noProof/>
                <w:webHidden/>
              </w:rPr>
              <w:fldChar w:fldCharType="begin"/>
            </w:r>
            <w:r w:rsidR="0012408D">
              <w:rPr>
                <w:noProof/>
                <w:webHidden/>
              </w:rPr>
              <w:instrText xml:space="preserve"> PAGEREF _Toc4156089 \h </w:instrText>
            </w:r>
            <w:r w:rsidR="0012408D">
              <w:rPr>
                <w:noProof/>
                <w:webHidden/>
              </w:rPr>
            </w:r>
            <w:r w:rsidR="0012408D">
              <w:rPr>
                <w:noProof/>
                <w:webHidden/>
              </w:rPr>
              <w:fldChar w:fldCharType="separate"/>
            </w:r>
            <w:r w:rsidR="0012408D">
              <w:rPr>
                <w:noProof/>
                <w:webHidden/>
              </w:rPr>
              <w:t>40</w:t>
            </w:r>
            <w:r w:rsidR="0012408D">
              <w:rPr>
                <w:noProof/>
                <w:webHidden/>
              </w:rPr>
              <w:fldChar w:fldCharType="end"/>
            </w:r>
          </w:hyperlink>
        </w:p>
        <w:p w14:paraId="461FB229" w14:textId="028ED561" w:rsidR="0012408D" w:rsidRDefault="00DF5A17">
          <w:pPr>
            <w:pStyle w:val="TOC2"/>
            <w:rPr>
              <w:rFonts w:asciiTheme="minorHAnsi" w:eastAsiaTheme="minorEastAsia" w:hAnsiTheme="minorHAnsi" w:cstheme="minorBidi"/>
              <w:smallCaps w:val="0"/>
              <w:noProof/>
              <w:sz w:val="22"/>
              <w:szCs w:val="22"/>
              <w:lang w:eastAsia="hr-HR"/>
            </w:rPr>
          </w:pPr>
          <w:hyperlink w:anchor="_Toc4156090" w:history="1">
            <w:r w:rsidR="0012408D" w:rsidRPr="00063C24">
              <w:rPr>
                <w:rStyle w:val="Hyperlink"/>
                <w:noProof/>
              </w:rPr>
              <w:t>5.4</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Ukupni Kontrolni inventar emisija CO</w:t>
            </w:r>
            <w:r w:rsidR="0012408D" w:rsidRPr="00063C24">
              <w:rPr>
                <w:rStyle w:val="Hyperlink"/>
                <w:noProof/>
                <w:vertAlign w:val="subscript"/>
              </w:rPr>
              <w:t>2</w:t>
            </w:r>
            <w:r w:rsidR="0012408D" w:rsidRPr="00063C24">
              <w:rPr>
                <w:rStyle w:val="Hyperlink"/>
                <w:noProof/>
              </w:rPr>
              <w:t xml:space="preserve"> Grada Zagreba</w:t>
            </w:r>
            <w:r w:rsidR="0012408D">
              <w:rPr>
                <w:noProof/>
                <w:webHidden/>
              </w:rPr>
              <w:tab/>
            </w:r>
            <w:r w:rsidR="0012408D">
              <w:rPr>
                <w:noProof/>
                <w:webHidden/>
              </w:rPr>
              <w:fldChar w:fldCharType="begin"/>
            </w:r>
            <w:r w:rsidR="0012408D">
              <w:rPr>
                <w:noProof/>
                <w:webHidden/>
              </w:rPr>
              <w:instrText xml:space="preserve"> PAGEREF _Toc4156090 \h </w:instrText>
            </w:r>
            <w:r w:rsidR="0012408D">
              <w:rPr>
                <w:noProof/>
                <w:webHidden/>
              </w:rPr>
            </w:r>
            <w:r w:rsidR="0012408D">
              <w:rPr>
                <w:noProof/>
                <w:webHidden/>
              </w:rPr>
              <w:fldChar w:fldCharType="separate"/>
            </w:r>
            <w:r w:rsidR="0012408D">
              <w:rPr>
                <w:noProof/>
                <w:webHidden/>
              </w:rPr>
              <w:t>41</w:t>
            </w:r>
            <w:r w:rsidR="0012408D">
              <w:rPr>
                <w:noProof/>
                <w:webHidden/>
              </w:rPr>
              <w:fldChar w:fldCharType="end"/>
            </w:r>
          </w:hyperlink>
        </w:p>
        <w:p w14:paraId="4902A91C" w14:textId="270ABF7B" w:rsidR="0012408D" w:rsidRDefault="00DF5A17">
          <w:pPr>
            <w:pStyle w:val="TOC3"/>
            <w:rPr>
              <w:rFonts w:asciiTheme="minorHAnsi" w:eastAsiaTheme="minorEastAsia" w:hAnsiTheme="minorHAnsi" w:cstheme="minorBidi"/>
              <w:i w:val="0"/>
              <w:iCs w:val="0"/>
              <w:noProof/>
              <w:sz w:val="22"/>
              <w:szCs w:val="22"/>
              <w:lang w:eastAsia="hr-HR"/>
            </w:rPr>
          </w:pPr>
          <w:hyperlink w:anchor="_Toc4156091" w:history="1">
            <w:r w:rsidR="0012408D" w:rsidRPr="00063C24">
              <w:rPr>
                <w:rStyle w:val="Hyperlink"/>
                <w:noProof/>
                <w14:scene3d>
                  <w14:camera w14:prst="orthographicFront"/>
                  <w14:lightRig w14:rig="threePt" w14:dir="t">
                    <w14:rot w14:lat="0" w14:lon="0" w14:rev="0"/>
                  </w14:lightRig>
                </w14:scene3d>
              </w:rPr>
              <w:t>5.4.1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Energetska potrošnja Grada Zagreba – Kontrolni inventar</w:t>
            </w:r>
            <w:r w:rsidR="0012408D">
              <w:rPr>
                <w:noProof/>
                <w:webHidden/>
              </w:rPr>
              <w:tab/>
            </w:r>
            <w:r w:rsidR="0012408D">
              <w:rPr>
                <w:noProof/>
                <w:webHidden/>
              </w:rPr>
              <w:fldChar w:fldCharType="begin"/>
            </w:r>
            <w:r w:rsidR="0012408D">
              <w:rPr>
                <w:noProof/>
                <w:webHidden/>
              </w:rPr>
              <w:instrText xml:space="preserve"> PAGEREF _Toc4156091 \h </w:instrText>
            </w:r>
            <w:r w:rsidR="0012408D">
              <w:rPr>
                <w:noProof/>
                <w:webHidden/>
              </w:rPr>
            </w:r>
            <w:r w:rsidR="0012408D">
              <w:rPr>
                <w:noProof/>
                <w:webHidden/>
              </w:rPr>
              <w:fldChar w:fldCharType="separate"/>
            </w:r>
            <w:r w:rsidR="0012408D">
              <w:rPr>
                <w:noProof/>
                <w:webHidden/>
              </w:rPr>
              <w:t>41</w:t>
            </w:r>
            <w:r w:rsidR="0012408D">
              <w:rPr>
                <w:noProof/>
                <w:webHidden/>
              </w:rPr>
              <w:fldChar w:fldCharType="end"/>
            </w:r>
          </w:hyperlink>
        </w:p>
        <w:p w14:paraId="061E6553" w14:textId="3E41F219" w:rsidR="0012408D" w:rsidRDefault="00DF5A17">
          <w:pPr>
            <w:pStyle w:val="TOC3"/>
            <w:rPr>
              <w:rFonts w:asciiTheme="minorHAnsi" w:eastAsiaTheme="minorEastAsia" w:hAnsiTheme="minorHAnsi" w:cstheme="minorBidi"/>
              <w:i w:val="0"/>
              <w:iCs w:val="0"/>
              <w:noProof/>
              <w:sz w:val="22"/>
              <w:szCs w:val="22"/>
              <w:lang w:eastAsia="hr-HR"/>
            </w:rPr>
          </w:pPr>
          <w:hyperlink w:anchor="_Toc4156092" w:history="1">
            <w:r w:rsidR="0012408D" w:rsidRPr="00063C24">
              <w:rPr>
                <w:rStyle w:val="Hyperlink"/>
                <w:noProof/>
                <w14:scene3d>
                  <w14:camera w14:prst="orthographicFront"/>
                  <w14:lightRig w14:rig="threePt" w14:dir="t">
                    <w14:rot w14:lat="0" w14:lon="0" w14:rev="0"/>
                  </w14:lightRig>
                </w14:scene3d>
              </w:rPr>
              <w:t>5.4.2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Emisije CO</w:t>
            </w:r>
            <w:r w:rsidR="0012408D" w:rsidRPr="00063C24">
              <w:rPr>
                <w:rStyle w:val="Hyperlink"/>
                <w:noProof/>
                <w:vertAlign w:val="subscript"/>
              </w:rPr>
              <w:t>2</w:t>
            </w:r>
            <w:r w:rsidR="0012408D" w:rsidRPr="00063C24">
              <w:rPr>
                <w:rStyle w:val="Hyperlink"/>
                <w:noProof/>
              </w:rPr>
              <w:t xml:space="preserve"> Grada Zagreba – Kontrolni inventar</w:t>
            </w:r>
            <w:r w:rsidR="0012408D">
              <w:rPr>
                <w:noProof/>
                <w:webHidden/>
              </w:rPr>
              <w:tab/>
            </w:r>
            <w:r w:rsidR="0012408D">
              <w:rPr>
                <w:noProof/>
                <w:webHidden/>
              </w:rPr>
              <w:fldChar w:fldCharType="begin"/>
            </w:r>
            <w:r w:rsidR="0012408D">
              <w:rPr>
                <w:noProof/>
                <w:webHidden/>
              </w:rPr>
              <w:instrText xml:space="preserve"> PAGEREF _Toc4156092 \h </w:instrText>
            </w:r>
            <w:r w:rsidR="0012408D">
              <w:rPr>
                <w:noProof/>
                <w:webHidden/>
              </w:rPr>
            </w:r>
            <w:r w:rsidR="0012408D">
              <w:rPr>
                <w:noProof/>
                <w:webHidden/>
              </w:rPr>
              <w:fldChar w:fldCharType="separate"/>
            </w:r>
            <w:r w:rsidR="0012408D">
              <w:rPr>
                <w:noProof/>
                <w:webHidden/>
              </w:rPr>
              <w:t>43</w:t>
            </w:r>
            <w:r w:rsidR="0012408D">
              <w:rPr>
                <w:noProof/>
                <w:webHidden/>
              </w:rPr>
              <w:fldChar w:fldCharType="end"/>
            </w:r>
          </w:hyperlink>
        </w:p>
        <w:p w14:paraId="5721E5EF" w14:textId="52A1EFB0" w:rsidR="0012408D" w:rsidRDefault="00DF5A17">
          <w:pPr>
            <w:pStyle w:val="TOC1"/>
            <w:rPr>
              <w:rFonts w:asciiTheme="minorHAnsi" w:eastAsiaTheme="minorEastAsia" w:hAnsiTheme="minorHAnsi" w:cstheme="minorBidi"/>
              <w:b w:val="0"/>
              <w:bCs w:val="0"/>
              <w:caps w:val="0"/>
              <w:szCs w:val="22"/>
              <w:lang w:eastAsia="hr-HR"/>
            </w:rPr>
          </w:pPr>
          <w:hyperlink w:anchor="_Toc4156093" w:history="1">
            <w:r w:rsidR="0012408D" w:rsidRPr="00063C24">
              <w:rPr>
                <w:rStyle w:val="Hyperlink"/>
              </w:rPr>
              <w:t>6.</w:t>
            </w:r>
            <w:r w:rsidR="0012408D">
              <w:rPr>
                <w:rFonts w:asciiTheme="minorHAnsi" w:eastAsiaTheme="minorEastAsia" w:hAnsiTheme="minorHAnsi" w:cstheme="minorBidi"/>
                <w:b w:val="0"/>
                <w:bCs w:val="0"/>
                <w:caps w:val="0"/>
                <w:szCs w:val="22"/>
                <w:lang w:eastAsia="hr-HR"/>
              </w:rPr>
              <w:tab/>
            </w:r>
            <w:r w:rsidR="0012408D" w:rsidRPr="00063C24">
              <w:rPr>
                <w:rStyle w:val="Hyperlink"/>
              </w:rPr>
              <w:t>Usporedba Referentnog i Kontrolnog inventara</w:t>
            </w:r>
            <w:r w:rsidR="0012408D">
              <w:rPr>
                <w:webHidden/>
              </w:rPr>
              <w:tab/>
            </w:r>
            <w:r w:rsidR="0012408D">
              <w:rPr>
                <w:webHidden/>
              </w:rPr>
              <w:fldChar w:fldCharType="begin"/>
            </w:r>
            <w:r w:rsidR="0012408D">
              <w:rPr>
                <w:webHidden/>
              </w:rPr>
              <w:instrText xml:space="preserve"> PAGEREF _Toc4156093 \h </w:instrText>
            </w:r>
            <w:r w:rsidR="0012408D">
              <w:rPr>
                <w:webHidden/>
              </w:rPr>
            </w:r>
            <w:r w:rsidR="0012408D">
              <w:rPr>
                <w:webHidden/>
              </w:rPr>
              <w:fldChar w:fldCharType="separate"/>
            </w:r>
            <w:r w:rsidR="0012408D">
              <w:rPr>
                <w:webHidden/>
              </w:rPr>
              <w:t>45</w:t>
            </w:r>
            <w:r w:rsidR="0012408D">
              <w:rPr>
                <w:webHidden/>
              </w:rPr>
              <w:fldChar w:fldCharType="end"/>
            </w:r>
          </w:hyperlink>
        </w:p>
        <w:p w14:paraId="4A7EF849" w14:textId="648FCCDF" w:rsidR="0012408D" w:rsidRDefault="00DF5A17">
          <w:pPr>
            <w:pStyle w:val="TOC2"/>
            <w:rPr>
              <w:rFonts w:asciiTheme="minorHAnsi" w:eastAsiaTheme="minorEastAsia" w:hAnsiTheme="minorHAnsi" w:cstheme="minorBidi"/>
              <w:smallCaps w:val="0"/>
              <w:noProof/>
              <w:sz w:val="22"/>
              <w:szCs w:val="22"/>
              <w:lang w:eastAsia="hr-HR"/>
            </w:rPr>
          </w:pPr>
          <w:hyperlink w:anchor="_Toc4156094" w:history="1">
            <w:r w:rsidR="0012408D" w:rsidRPr="00063C24">
              <w:rPr>
                <w:rStyle w:val="Hyperlink"/>
                <w:noProof/>
              </w:rPr>
              <w:t>6.1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Indikatori usporedbe referentnog i Kontrolnog inventara emisije CO</w:t>
            </w:r>
            <w:r w:rsidR="0012408D" w:rsidRPr="00063C24">
              <w:rPr>
                <w:rStyle w:val="Hyperlink"/>
                <w:noProof/>
                <w:vertAlign w:val="subscript"/>
              </w:rPr>
              <w:t>2</w:t>
            </w:r>
            <w:r w:rsidR="0012408D">
              <w:rPr>
                <w:noProof/>
                <w:webHidden/>
              </w:rPr>
              <w:tab/>
            </w:r>
            <w:r w:rsidR="0012408D">
              <w:rPr>
                <w:noProof/>
                <w:webHidden/>
              </w:rPr>
              <w:fldChar w:fldCharType="begin"/>
            </w:r>
            <w:r w:rsidR="0012408D">
              <w:rPr>
                <w:noProof/>
                <w:webHidden/>
              </w:rPr>
              <w:instrText xml:space="preserve"> PAGEREF _Toc4156094 \h </w:instrText>
            </w:r>
            <w:r w:rsidR="0012408D">
              <w:rPr>
                <w:noProof/>
                <w:webHidden/>
              </w:rPr>
            </w:r>
            <w:r w:rsidR="0012408D">
              <w:rPr>
                <w:noProof/>
                <w:webHidden/>
              </w:rPr>
              <w:fldChar w:fldCharType="separate"/>
            </w:r>
            <w:r w:rsidR="0012408D">
              <w:rPr>
                <w:noProof/>
                <w:webHidden/>
              </w:rPr>
              <w:t>48</w:t>
            </w:r>
            <w:r w:rsidR="0012408D">
              <w:rPr>
                <w:noProof/>
                <w:webHidden/>
              </w:rPr>
              <w:fldChar w:fldCharType="end"/>
            </w:r>
          </w:hyperlink>
        </w:p>
        <w:p w14:paraId="0407E908" w14:textId="2F161361" w:rsidR="0012408D" w:rsidRDefault="00DF5A17">
          <w:pPr>
            <w:pStyle w:val="TOC2"/>
            <w:rPr>
              <w:rFonts w:asciiTheme="minorHAnsi" w:eastAsiaTheme="minorEastAsia" w:hAnsiTheme="minorHAnsi" w:cstheme="minorBidi"/>
              <w:smallCaps w:val="0"/>
              <w:noProof/>
              <w:sz w:val="22"/>
              <w:szCs w:val="22"/>
              <w:lang w:eastAsia="hr-HR"/>
            </w:rPr>
          </w:pPr>
          <w:hyperlink w:anchor="_Toc4156095" w:history="1">
            <w:r w:rsidR="0012408D" w:rsidRPr="00063C24">
              <w:rPr>
                <w:rStyle w:val="Hyperlink"/>
                <w:noProof/>
              </w:rPr>
              <w:t>6.2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Analiza uspješnosti i zaključak</w:t>
            </w:r>
            <w:r w:rsidR="0012408D">
              <w:rPr>
                <w:noProof/>
                <w:webHidden/>
              </w:rPr>
              <w:tab/>
            </w:r>
            <w:r w:rsidR="0012408D">
              <w:rPr>
                <w:noProof/>
                <w:webHidden/>
              </w:rPr>
              <w:fldChar w:fldCharType="begin"/>
            </w:r>
            <w:r w:rsidR="0012408D">
              <w:rPr>
                <w:noProof/>
                <w:webHidden/>
              </w:rPr>
              <w:instrText xml:space="preserve"> PAGEREF _Toc4156095 \h </w:instrText>
            </w:r>
            <w:r w:rsidR="0012408D">
              <w:rPr>
                <w:noProof/>
                <w:webHidden/>
              </w:rPr>
            </w:r>
            <w:r w:rsidR="0012408D">
              <w:rPr>
                <w:noProof/>
                <w:webHidden/>
              </w:rPr>
              <w:fldChar w:fldCharType="separate"/>
            </w:r>
            <w:r w:rsidR="0012408D">
              <w:rPr>
                <w:noProof/>
                <w:webHidden/>
              </w:rPr>
              <w:t>52</w:t>
            </w:r>
            <w:r w:rsidR="0012408D">
              <w:rPr>
                <w:noProof/>
                <w:webHidden/>
              </w:rPr>
              <w:fldChar w:fldCharType="end"/>
            </w:r>
          </w:hyperlink>
        </w:p>
        <w:p w14:paraId="3E838996" w14:textId="0F55D9FD" w:rsidR="0012408D" w:rsidRDefault="00DF5A17">
          <w:pPr>
            <w:pStyle w:val="TOC1"/>
            <w:rPr>
              <w:rFonts w:asciiTheme="minorHAnsi" w:eastAsiaTheme="minorEastAsia" w:hAnsiTheme="minorHAnsi" w:cstheme="minorBidi"/>
              <w:b w:val="0"/>
              <w:bCs w:val="0"/>
              <w:caps w:val="0"/>
              <w:szCs w:val="22"/>
              <w:lang w:eastAsia="hr-HR"/>
            </w:rPr>
          </w:pPr>
          <w:hyperlink w:anchor="_Toc4156096" w:history="1">
            <w:r w:rsidR="0012408D" w:rsidRPr="00063C24">
              <w:rPr>
                <w:rStyle w:val="Hyperlink"/>
              </w:rPr>
              <w:t>7.</w:t>
            </w:r>
            <w:r w:rsidR="0012408D">
              <w:rPr>
                <w:rFonts w:asciiTheme="minorHAnsi" w:eastAsiaTheme="minorEastAsia" w:hAnsiTheme="minorHAnsi" w:cstheme="minorBidi"/>
                <w:b w:val="0"/>
                <w:bCs w:val="0"/>
                <w:caps w:val="0"/>
                <w:szCs w:val="22"/>
                <w:lang w:eastAsia="hr-HR"/>
              </w:rPr>
              <w:tab/>
            </w:r>
            <w:r w:rsidR="0012408D" w:rsidRPr="00063C24">
              <w:rPr>
                <w:rStyle w:val="Hyperlink"/>
              </w:rPr>
              <w:t>UBLAŽAVANJE UČINAKA KLIMATSKIH PROMJENA (engl. Mitigation) - Plan prioritetnih mjera za ublažavanje učinaka klimatskih promjena</w:t>
            </w:r>
            <w:r w:rsidR="0012408D">
              <w:rPr>
                <w:webHidden/>
              </w:rPr>
              <w:tab/>
            </w:r>
            <w:r w:rsidR="0012408D">
              <w:rPr>
                <w:webHidden/>
              </w:rPr>
              <w:fldChar w:fldCharType="begin"/>
            </w:r>
            <w:r w:rsidR="0012408D">
              <w:rPr>
                <w:webHidden/>
              </w:rPr>
              <w:instrText xml:space="preserve"> PAGEREF _Toc4156096 \h </w:instrText>
            </w:r>
            <w:r w:rsidR="0012408D">
              <w:rPr>
                <w:webHidden/>
              </w:rPr>
            </w:r>
            <w:r w:rsidR="0012408D">
              <w:rPr>
                <w:webHidden/>
              </w:rPr>
              <w:fldChar w:fldCharType="separate"/>
            </w:r>
            <w:r w:rsidR="0012408D">
              <w:rPr>
                <w:webHidden/>
              </w:rPr>
              <w:t>55</w:t>
            </w:r>
            <w:r w:rsidR="0012408D">
              <w:rPr>
                <w:webHidden/>
              </w:rPr>
              <w:fldChar w:fldCharType="end"/>
            </w:r>
          </w:hyperlink>
        </w:p>
        <w:p w14:paraId="57420360" w14:textId="52EB570E" w:rsidR="0012408D" w:rsidRDefault="00DF5A17">
          <w:pPr>
            <w:pStyle w:val="TOC2"/>
            <w:rPr>
              <w:rFonts w:asciiTheme="minorHAnsi" w:eastAsiaTheme="minorEastAsia" w:hAnsiTheme="minorHAnsi" w:cstheme="minorBidi"/>
              <w:smallCaps w:val="0"/>
              <w:noProof/>
              <w:sz w:val="22"/>
              <w:szCs w:val="22"/>
              <w:lang w:eastAsia="hr-HR"/>
            </w:rPr>
          </w:pPr>
          <w:hyperlink w:anchor="_Toc4156097" w:history="1">
            <w:r w:rsidR="0012408D" w:rsidRPr="00063C24">
              <w:rPr>
                <w:rStyle w:val="Hyperlink"/>
                <w:noProof/>
              </w:rPr>
              <w:t>7.1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Mjere za smanjenje emisije CO</w:t>
            </w:r>
            <w:r w:rsidR="0012408D" w:rsidRPr="00063C24">
              <w:rPr>
                <w:rStyle w:val="Hyperlink"/>
                <w:noProof/>
                <w:vertAlign w:val="subscript"/>
              </w:rPr>
              <w:t>2</w:t>
            </w:r>
            <w:r w:rsidR="0012408D" w:rsidRPr="00063C24">
              <w:rPr>
                <w:rStyle w:val="Hyperlink"/>
                <w:noProof/>
              </w:rPr>
              <w:t xml:space="preserve"> iz sektora zgradarstva Grada Zagreba</w:t>
            </w:r>
            <w:r w:rsidR="0012408D">
              <w:rPr>
                <w:noProof/>
                <w:webHidden/>
              </w:rPr>
              <w:tab/>
            </w:r>
            <w:r w:rsidR="0012408D">
              <w:rPr>
                <w:noProof/>
                <w:webHidden/>
              </w:rPr>
              <w:fldChar w:fldCharType="begin"/>
            </w:r>
            <w:r w:rsidR="0012408D">
              <w:rPr>
                <w:noProof/>
                <w:webHidden/>
              </w:rPr>
              <w:instrText xml:space="preserve"> PAGEREF _Toc4156097 \h </w:instrText>
            </w:r>
            <w:r w:rsidR="0012408D">
              <w:rPr>
                <w:noProof/>
                <w:webHidden/>
              </w:rPr>
            </w:r>
            <w:r w:rsidR="0012408D">
              <w:rPr>
                <w:noProof/>
                <w:webHidden/>
              </w:rPr>
              <w:fldChar w:fldCharType="separate"/>
            </w:r>
            <w:r w:rsidR="0012408D">
              <w:rPr>
                <w:noProof/>
                <w:webHidden/>
              </w:rPr>
              <w:t>55</w:t>
            </w:r>
            <w:r w:rsidR="0012408D">
              <w:rPr>
                <w:noProof/>
                <w:webHidden/>
              </w:rPr>
              <w:fldChar w:fldCharType="end"/>
            </w:r>
          </w:hyperlink>
        </w:p>
        <w:p w14:paraId="1A886972" w14:textId="33AF73C0" w:rsidR="0012408D" w:rsidRDefault="00DF5A17">
          <w:pPr>
            <w:pStyle w:val="TOC3"/>
            <w:rPr>
              <w:rFonts w:asciiTheme="minorHAnsi" w:eastAsiaTheme="minorEastAsia" w:hAnsiTheme="minorHAnsi" w:cstheme="minorBidi"/>
              <w:i w:val="0"/>
              <w:iCs w:val="0"/>
              <w:noProof/>
              <w:sz w:val="22"/>
              <w:szCs w:val="22"/>
              <w:lang w:eastAsia="hr-HR"/>
            </w:rPr>
          </w:pPr>
          <w:hyperlink w:anchor="_Toc4156098" w:history="1">
            <w:r w:rsidR="0012408D" w:rsidRPr="00063C24">
              <w:rPr>
                <w:rStyle w:val="Hyperlink"/>
                <w:rFonts w:eastAsia="Calibri"/>
                <w:noProof/>
                <w14:scene3d>
                  <w14:camera w14:prst="orthographicFront"/>
                  <w14:lightRig w14:rig="threePt" w14:dir="t">
                    <w14:rot w14:lat="0" w14:lon="0" w14:rev="0"/>
                  </w14:lightRig>
                </w14:scene3d>
              </w:rPr>
              <w:t>7.1.1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lang w:eastAsia="hr-HR"/>
              </w:rPr>
              <w:t>Promocija, obrazovanje i promjena ponašanja</w:t>
            </w:r>
            <w:r w:rsidR="0012408D">
              <w:rPr>
                <w:noProof/>
                <w:webHidden/>
              </w:rPr>
              <w:tab/>
            </w:r>
            <w:r w:rsidR="0012408D">
              <w:rPr>
                <w:noProof/>
                <w:webHidden/>
              </w:rPr>
              <w:fldChar w:fldCharType="begin"/>
            </w:r>
            <w:r w:rsidR="0012408D">
              <w:rPr>
                <w:noProof/>
                <w:webHidden/>
              </w:rPr>
              <w:instrText xml:space="preserve"> PAGEREF _Toc4156098 \h </w:instrText>
            </w:r>
            <w:r w:rsidR="0012408D">
              <w:rPr>
                <w:noProof/>
                <w:webHidden/>
              </w:rPr>
            </w:r>
            <w:r w:rsidR="0012408D">
              <w:rPr>
                <w:noProof/>
                <w:webHidden/>
              </w:rPr>
              <w:fldChar w:fldCharType="separate"/>
            </w:r>
            <w:r w:rsidR="0012408D">
              <w:rPr>
                <w:noProof/>
                <w:webHidden/>
              </w:rPr>
              <w:t>56</w:t>
            </w:r>
            <w:r w:rsidR="0012408D">
              <w:rPr>
                <w:noProof/>
                <w:webHidden/>
              </w:rPr>
              <w:fldChar w:fldCharType="end"/>
            </w:r>
          </w:hyperlink>
        </w:p>
        <w:p w14:paraId="7E41FFA5" w14:textId="3EA16A98" w:rsidR="0012408D" w:rsidRDefault="00DF5A17">
          <w:pPr>
            <w:pStyle w:val="TOC3"/>
            <w:rPr>
              <w:rFonts w:asciiTheme="minorHAnsi" w:eastAsiaTheme="minorEastAsia" w:hAnsiTheme="minorHAnsi" w:cstheme="minorBidi"/>
              <w:i w:val="0"/>
              <w:iCs w:val="0"/>
              <w:noProof/>
              <w:sz w:val="22"/>
              <w:szCs w:val="22"/>
              <w:lang w:eastAsia="hr-HR"/>
            </w:rPr>
          </w:pPr>
          <w:hyperlink w:anchor="_Toc4156099" w:history="1">
            <w:r w:rsidR="0012408D" w:rsidRPr="00063C24">
              <w:rPr>
                <w:rStyle w:val="Hyperlink"/>
                <w:noProof/>
                <w14:scene3d>
                  <w14:camera w14:prst="orthographicFront"/>
                  <w14:lightRig w14:rig="threePt" w14:dir="t">
                    <w14:rot w14:lat="0" w14:lon="0" w14:rev="0"/>
                  </w14:lightRig>
                </w14:scene3d>
              </w:rPr>
              <w:t>7.1.2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Zgradarstvo</w:t>
            </w:r>
            <w:r w:rsidR="0012408D">
              <w:rPr>
                <w:noProof/>
                <w:webHidden/>
              </w:rPr>
              <w:tab/>
            </w:r>
            <w:r w:rsidR="0012408D">
              <w:rPr>
                <w:noProof/>
                <w:webHidden/>
              </w:rPr>
              <w:fldChar w:fldCharType="begin"/>
            </w:r>
            <w:r w:rsidR="0012408D">
              <w:rPr>
                <w:noProof/>
                <w:webHidden/>
              </w:rPr>
              <w:instrText xml:space="preserve"> PAGEREF _Toc4156099 \h </w:instrText>
            </w:r>
            <w:r w:rsidR="0012408D">
              <w:rPr>
                <w:noProof/>
                <w:webHidden/>
              </w:rPr>
            </w:r>
            <w:r w:rsidR="0012408D">
              <w:rPr>
                <w:noProof/>
                <w:webHidden/>
              </w:rPr>
              <w:fldChar w:fldCharType="separate"/>
            </w:r>
            <w:r w:rsidR="0012408D">
              <w:rPr>
                <w:noProof/>
                <w:webHidden/>
              </w:rPr>
              <w:t>60</w:t>
            </w:r>
            <w:r w:rsidR="0012408D">
              <w:rPr>
                <w:noProof/>
                <w:webHidden/>
              </w:rPr>
              <w:fldChar w:fldCharType="end"/>
            </w:r>
          </w:hyperlink>
        </w:p>
        <w:p w14:paraId="44F956DA" w14:textId="0A150E63" w:rsidR="0012408D" w:rsidRDefault="00DF5A17">
          <w:pPr>
            <w:pStyle w:val="TOC2"/>
            <w:rPr>
              <w:rFonts w:asciiTheme="minorHAnsi" w:eastAsiaTheme="minorEastAsia" w:hAnsiTheme="minorHAnsi" w:cstheme="minorBidi"/>
              <w:smallCaps w:val="0"/>
              <w:noProof/>
              <w:sz w:val="22"/>
              <w:szCs w:val="22"/>
              <w:lang w:eastAsia="hr-HR"/>
            </w:rPr>
          </w:pPr>
          <w:hyperlink w:anchor="_Toc4156100" w:history="1">
            <w:r w:rsidR="0012408D" w:rsidRPr="00063C24">
              <w:rPr>
                <w:rStyle w:val="Hyperlink"/>
                <w:noProof/>
              </w:rPr>
              <w:t>7.2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Promet</w:t>
            </w:r>
            <w:r w:rsidR="0012408D">
              <w:rPr>
                <w:noProof/>
                <w:webHidden/>
              </w:rPr>
              <w:tab/>
            </w:r>
            <w:r w:rsidR="0012408D">
              <w:rPr>
                <w:noProof/>
                <w:webHidden/>
              </w:rPr>
              <w:fldChar w:fldCharType="begin"/>
            </w:r>
            <w:r w:rsidR="0012408D">
              <w:rPr>
                <w:noProof/>
                <w:webHidden/>
              </w:rPr>
              <w:instrText xml:space="preserve"> PAGEREF _Toc4156100 \h </w:instrText>
            </w:r>
            <w:r w:rsidR="0012408D">
              <w:rPr>
                <w:noProof/>
                <w:webHidden/>
              </w:rPr>
            </w:r>
            <w:r w:rsidR="0012408D">
              <w:rPr>
                <w:noProof/>
                <w:webHidden/>
              </w:rPr>
              <w:fldChar w:fldCharType="separate"/>
            </w:r>
            <w:r w:rsidR="0012408D">
              <w:rPr>
                <w:noProof/>
                <w:webHidden/>
              </w:rPr>
              <w:t>71</w:t>
            </w:r>
            <w:r w:rsidR="0012408D">
              <w:rPr>
                <w:noProof/>
                <w:webHidden/>
              </w:rPr>
              <w:fldChar w:fldCharType="end"/>
            </w:r>
          </w:hyperlink>
        </w:p>
        <w:p w14:paraId="2C85B10E" w14:textId="5DCCA8E6" w:rsidR="0012408D" w:rsidRDefault="00DF5A17">
          <w:pPr>
            <w:pStyle w:val="TOC3"/>
            <w:rPr>
              <w:rFonts w:asciiTheme="minorHAnsi" w:eastAsiaTheme="minorEastAsia" w:hAnsiTheme="minorHAnsi" w:cstheme="minorBidi"/>
              <w:i w:val="0"/>
              <w:iCs w:val="0"/>
              <w:noProof/>
              <w:sz w:val="22"/>
              <w:szCs w:val="22"/>
              <w:lang w:eastAsia="hr-HR"/>
            </w:rPr>
          </w:pPr>
          <w:hyperlink w:anchor="_Toc4156101" w:history="1">
            <w:r w:rsidR="0012408D" w:rsidRPr="00063C24">
              <w:rPr>
                <w:rStyle w:val="Hyperlink"/>
                <w:noProof/>
                <w14:scene3d>
                  <w14:camera w14:prst="orthographicFront"/>
                  <w14:lightRig w14:rig="threePt" w14:dir="t">
                    <w14:rot w14:lat="0" w14:lon="0" w14:rev="0"/>
                  </w14:lightRig>
                </w14:scene3d>
              </w:rPr>
              <w:t>7.2.1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Javni prijevoz</w:t>
            </w:r>
            <w:r w:rsidR="0012408D">
              <w:rPr>
                <w:noProof/>
                <w:webHidden/>
              </w:rPr>
              <w:tab/>
            </w:r>
            <w:r w:rsidR="0012408D">
              <w:rPr>
                <w:noProof/>
                <w:webHidden/>
              </w:rPr>
              <w:fldChar w:fldCharType="begin"/>
            </w:r>
            <w:r w:rsidR="0012408D">
              <w:rPr>
                <w:noProof/>
                <w:webHidden/>
              </w:rPr>
              <w:instrText xml:space="preserve"> PAGEREF _Toc4156101 \h </w:instrText>
            </w:r>
            <w:r w:rsidR="0012408D">
              <w:rPr>
                <w:noProof/>
                <w:webHidden/>
              </w:rPr>
            </w:r>
            <w:r w:rsidR="0012408D">
              <w:rPr>
                <w:noProof/>
                <w:webHidden/>
              </w:rPr>
              <w:fldChar w:fldCharType="separate"/>
            </w:r>
            <w:r w:rsidR="0012408D">
              <w:rPr>
                <w:noProof/>
                <w:webHidden/>
              </w:rPr>
              <w:t>71</w:t>
            </w:r>
            <w:r w:rsidR="0012408D">
              <w:rPr>
                <w:noProof/>
                <w:webHidden/>
              </w:rPr>
              <w:fldChar w:fldCharType="end"/>
            </w:r>
          </w:hyperlink>
        </w:p>
        <w:p w14:paraId="1FE620FB" w14:textId="65DB0E83" w:rsidR="0012408D" w:rsidRDefault="00DF5A17">
          <w:pPr>
            <w:pStyle w:val="TOC3"/>
            <w:rPr>
              <w:rFonts w:asciiTheme="minorHAnsi" w:eastAsiaTheme="minorEastAsia" w:hAnsiTheme="minorHAnsi" w:cstheme="minorBidi"/>
              <w:i w:val="0"/>
              <w:iCs w:val="0"/>
              <w:noProof/>
              <w:sz w:val="22"/>
              <w:szCs w:val="22"/>
              <w:lang w:eastAsia="hr-HR"/>
            </w:rPr>
          </w:pPr>
          <w:hyperlink w:anchor="_Toc4156102" w:history="1">
            <w:r w:rsidR="0012408D" w:rsidRPr="00063C24">
              <w:rPr>
                <w:rStyle w:val="Hyperlink"/>
                <w:noProof/>
                <w14:scene3d>
                  <w14:camera w14:prst="orthographicFront"/>
                  <w14:lightRig w14:rig="threePt" w14:dir="t">
                    <w14:rot w14:lat="0" w14:lon="0" w14:rev="0"/>
                  </w14:lightRig>
                </w14:scene3d>
              </w:rPr>
              <w:t>7.2.2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Vozni park u vlasništvu Grada</w:t>
            </w:r>
            <w:r w:rsidR="0012408D">
              <w:rPr>
                <w:noProof/>
                <w:webHidden/>
              </w:rPr>
              <w:tab/>
            </w:r>
            <w:r w:rsidR="0012408D">
              <w:rPr>
                <w:noProof/>
                <w:webHidden/>
              </w:rPr>
              <w:fldChar w:fldCharType="begin"/>
            </w:r>
            <w:r w:rsidR="0012408D">
              <w:rPr>
                <w:noProof/>
                <w:webHidden/>
              </w:rPr>
              <w:instrText xml:space="preserve"> PAGEREF _Toc4156102 \h </w:instrText>
            </w:r>
            <w:r w:rsidR="0012408D">
              <w:rPr>
                <w:noProof/>
                <w:webHidden/>
              </w:rPr>
            </w:r>
            <w:r w:rsidR="0012408D">
              <w:rPr>
                <w:noProof/>
                <w:webHidden/>
              </w:rPr>
              <w:fldChar w:fldCharType="separate"/>
            </w:r>
            <w:r w:rsidR="0012408D">
              <w:rPr>
                <w:noProof/>
                <w:webHidden/>
              </w:rPr>
              <w:t>80</w:t>
            </w:r>
            <w:r w:rsidR="0012408D">
              <w:rPr>
                <w:noProof/>
                <w:webHidden/>
              </w:rPr>
              <w:fldChar w:fldCharType="end"/>
            </w:r>
          </w:hyperlink>
        </w:p>
        <w:p w14:paraId="5A8C0E2E" w14:textId="6FBC410B" w:rsidR="0012408D" w:rsidRDefault="00DF5A17">
          <w:pPr>
            <w:pStyle w:val="TOC3"/>
            <w:rPr>
              <w:rFonts w:asciiTheme="minorHAnsi" w:eastAsiaTheme="minorEastAsia" w:hAnsiTheme="minorHAnsi" w:cstheme="minorBidi"/>
              <w:i w:val="0"/>
              <w:iCs w:val="0"/>
              <w:noProof/>
              <w:sz w:val="22"/>
              <w:szCs w:val="22"/>
              <w:lang w:eastAsia="hr-HR"/>
            </w:rPr>
          </w:pPr>
          <w:hyperlink w:anchor="_Toc4156103" w:history="1">
            <w:r w:rsidR="0012408D" w:rsidRPr="00063C24">
              <w:rPr>
                <w:rStyle w:val="Hyperlink"/>
                <w:noProof/>
                <w14:scene3d>
                  <w14:camera w14:prst="orthographicFront"/>
                  <w14:lightRig w14:rig="threePt" w14:dir="t">
                    <w14:rot w14:lat="0" w14:lon="0" w14:rev="0"/>
                  </w14:lightRig>
                </w14:scene3d>
              </w:rPr>
              <w:t>7.2.3</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Osobna i komercijalna vozila</w:t>
            </w:r>
            <w:r w:rsidR="0012408D">
              <w:rPr>
                <w:noProof/>
                <w:webHidden/>
              </w:rPr>
              <w:tab/>
            </w:r>
            <w:r w:rsidR="0012408D">
              <w:rPr>
                <w:noProof/>
                <w:webHidden/>
              </w:rPr>
              <w:fldChar w:fldCharType="begin"/>
            </w:r>
            <w:r w:rsidR="0012408D">
              <w:rPr>
                <w:noProof/>
                <w:webHidden/>
              </w:rPr>
              <w:instrText xml:space="preserve"> PAGEREF _Toc4156103 \h </w:instrText>
            </w:r>
            <w:r w:rsidR="0012408D">
              <w:rPr>
                <w:noProof/>
                <w:webHidden/>
              </w:rPr>
            </w:r>
            <w:r w:rsidR="0012408D">
              <w:rPr>
                <w:noProof/>
                <w:webHidden/>
              </w:rPr>
              <w:fldChar w:fldCharType="separate"/>
            </w:r>
            <w:r w:rsidR="0012408D">
              <w:rPr>
                <w:noProof/>
                <w:webHidden/>
              </w:rPr>
              <w:t>83</w:t>
            </w:r>
            <w:r w:rsidR="0012408D">
              <w:rPr>
                <w:noProof/>
                <w:webHidden/>
              </w:rPr>
              <w:fldChar w:fldCharType="end"/>
            </w:r>
          </w:hyperlink>
        </w:p>
        <w:p w14:paraId="4A08E21D" w14:textId="0F14143D" w:rsidR="0012408D" w:rsidRDefault="00DF5A17">
          <w:pPr>
            <w:pStyle w:val="TOC3"/>
            <w:rPr>
              <w:rFonts w:asciiTheme="minorHAnsi" w:eastAsiaTheme="minorEastAsia" w:hAnsiTheme="minorHAnsi" w:cstheme="minorBidi"/>
              <w:i w:val="0"/>
              <w:iCs w:val="0"/>
              <w:noProof/>
              <w:sz w:val="22"/>
              <w:szCs w:val="22"/>
              <w:lang w:eastAsia="hr-HR"/>
            </w:rPr>
          </w:pPr>
          <w:hyperlink w:anchor="_Toc4156104" w:history="1">
            <w:r w:rsidR="0012408D" w:rsidRPr="00063C24">
              <w:rPr>
                <w:rStyle w:val="Hyperlink"/>
                <w:noProof/>
                <w14:scene3d>
                  <w14:camera w14:prst="orthographicFront"/>
                  <w14:lightRig w14:rig="threePt" w14:dir="t">
                    <w14:rot w14:lat="0" w14:lon="0" w14:rev="0"/>
                  </w14:lightRig>
                </w14:scene3d>
              </w:rPr>
              <w:t>7.2.4</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Biciklistički i pješački promet</w:t>
            </w:r>
            <w:r w:rsidR="0012408D">
              <w:rPr>
                <w:noProof/>
                <w:webHidden/>
              </w:rPr>
              <w:tab/>
            </w:r>
            <w:r w:rsidR="0012408D">
              <w:rPr>
                <w:noProof/>
                <w:webHidden/>
              </w:rPr>
              <w:fldChar w:fldCharType="begin"/>
            </w:r>
            <w:r w:rsidR="0012408D">
              <w:rPr>
                <w:noProof/>
                <w:webHidden/>
              </w:rPr>
              <w:instrText xml:space="preserve"> PAGEREF _Toc4156104 \h </w:instrText>
            </w:r>
            <w:r w:rsidR="0012408D">
              <w:rPr>
                <w:noProof/>
                <w:webHidden/>
              </w:rPr>
            </w:r>
            <w:r w:rsidR="0012408D">
              <w:rPr>
                <w:noProof/>
                <w:webHidden/>
              </w:rPr>
              <w:fldChar w:fldCharType="separate"/>
            </w:r>
            <w:r w:rsidR="0012408D">
              <w:rPr>
                <w:noProof/>
                <w:webHidden/>
              </w:rPr>
              <w:t>85</w:t>
            </w:r>
            <w:r w:rsidR="0012408D">
              <w:rPr>
                <w:noProof/>
                <w:webHidden/>
              </w:rPr>
              <w:fldChar w:fldCharType="end"/>
            </w:r>
          </w:hyperlink>
        </w:p>
        <w:p w14:paraId="51D73F7C" w14:textId="51031F43" w:rsidR="0012408D" w:rsidRDefault="00DF5A17">
          <w:pPr>
            <w:pStyle w:val="TOC2"/>
            <w:rPr>
              <w:rFonts w:asciiTheme="minorHAnsi" w:eastAsiaTheme="minorEastAsia" w:hAnsiTheme="minorHAnsi" w:cstheme="minorBidi"/>
              <w:smallCaps w:val="0"/>
              <w:noProof/>
              <w:sz w:val="22"/>
              <w:szCs w:val="22"/>
              <w:lang w:eastAsia="hr-HR"/>
            </w:rPr>
          </w:pPr>
          <w:hyperlink w:anchor="_Toc4156105" w:history="1">
            <w:r w:rsidR="0012408D" w:rsidRPr="00063C24">
              <w:rPr>
                <w:rStyle w:val="Hyperlink"/>
                <w:noProof/>
              </w:rPr>
              <w:t>7.3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Mjere smanjenja emisija CO2 iz sektora javne rasvjete Grada Zagreba</w:t>
            </w:r>
            <w:r w:rsidR="0012408D">
              <w:rPr>
                <w:noProof/>
                <w:webHidden/>
              </w:rPr>
              <w:tab/>
            </w:r>
            <w:r w:rsidR="0012408D">
              <w:rPr>
                <w:noProof/>
                <w:webHidden/>
              </w:rPr>
              <w:fldChar w:fldCharType="begin"/>
            </w:r>
            <w:r w:rsidR="0012408D">
              <w:rPr>
                <w:noProof/>
                <w:webHidden/>
              </w:rPr>
              <w:instrText xml:space="preserve"> PAGEREF _Toc4156105 \h </w:instrText>
            </w:r>
            <w:r w:rsidR="0012408D">
              <w:rPr>
                <w:noProof/>
                <w:webHidden/>
              </w:rPr>
            </w:r>
            <w:r w:rsidR="0012408D">
              <w:rPr>
                <w:noProof/>
                <w:webHidden/>
              </w:rPr>
              <w:fldChar w:fldCharType="separate"/>
            </w:r>
            <w:r w:rsidR="0012408D">
              <w:rPr>
                <w:noProof/>
                <w:webHidden/>
              </w:rPr>
              <w:t>87</w:t>
            </w:r>
            <w:r w:rsidR="0012408D">
              <w:rPr>
                <w:noProof/>
                <w:webHidden/>
              </w:rPr>
              <w:fldChar w:fldCharType="end"/>
            </w:r>
          </w:hyperlink>
        </w:p>
        <w:p w14:paraId="49AB66CA" w14:textId="1FDEC0FF" w:rsidR="0012408D" w:rsidRDefault="00DF5A17">
          <w:pPr>
            <w:pStyle w:val="TOC2"/>
            <w:rPr>
              <w:rFonts w:asciiTheme="minorHAnsi" w:eastAsiaTheme="minorEastAsia" w:hAnsiTheme="minorHAnsi" w:cstheme="minorBidi"/>
              <w:smallCaps w:val="0"/>
              <w:noProof/>
              <w:sz w:val="22"/>
              <w:szCs w:val="22"/>
              <w:lang w:eastAsia="hr-HR"/>
            </w:rPr>
          </w:pPr>
          <w:hyperlink w:anchor="_Toc4156106" w:history="1">
            <w:r w:rsidR="0012408D" w:rsidRPr="00063C24">
              <w:rPr>
                <w:rStyle w:val="Hyperlink"/>
                <w:noProof/>
              </w:rPr>
              <w:t>7.4</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Mjere smanjenja emisija CO</w:t>
            </w:r>
            <w:r w:rsidR="0012408D" w:rsidRPr="00063C24">
              <w:rPr>
                <w:rStyle w:val="Hyperlink"/>
                <w:noProof/>
                <w:vertAlign w:val="subscript"/>
              </w:rPr>
              <w:t>2</w:t>
            </w:r>
            <w:r w:rsidR="0012408D" w:rsidRPr="00063C24">
              <w:rPr>
                <w:rStyle w:val="Hyperlink"/>
                <w:noProof/>
              </w:rPr>
              <w:t xml:space="preserve"> iz centralnog toplinskog sustava</w:t>
            </w:r>
            <w:r w:rsidR="0012408D">
              <w:rPr>
                <w:noProof/>
                <w:webHidden/>
              </w:rPr>
              <w:tab/>
            </w:r>
            <w:r w:rsidR="0012408D">
              <w:rPr>
                <w:noProof/>
                <w:webHidden/>
              </w:rPr>
              <w:fldChar w:fldCharType="begin"/>
            </w:r>
            <w:r w:rsidR="0012408D">
              <w:rPr>
                <w:noProof/>
                <w:webHidden/>
              </w:rPr>
              <w:instrText xml:space="preserve"> PAGEREF _Toc4156106 \h </w:instrText>
            </w:r>
            <w:r w:rsidR="0012408D">
              <w:rPr>
                <w:noProof/>
                <w:webHidden/>
              </w:rPr>
            </w:r>
            <w:r w:rsidR="0012408D">
              <w:rPr>
                <w:noProof/>
                <w:webHidden/>
              </w:rPr>
              <w:fldChar w:fldCharType="separate"/>
            </w:r>
            <w:r w:rsidR="0012408D">
              <w:rPr>
                <w:noProof/>
                <w:webHidden/>
              </w:rPr>
              <w:t>88</w:t>
            </w:r>
            <w:r w:rsidR="0012408D">
              <w:rPr>
                <w:noProof/>
                <w:webHidden/>
              </w:rPr>
              <w:fldChar w:fldCharType="end"/>
            </w:r>
          </w:hyperlink>
        </w:p>
        <w:p w14:paraId="4F933F0E" w14:textId="01315982" w:rsidR="0012408D" w:rsidRDefault="00DF5A17">
          <w:pPr>
            <w:pStyle w:val="TOC1"/>
            <w:rPr>
              <w:rFonts w:asciiTheme="minorHAnsi" w:eastAsiaTheme="minorEastAsia" w:hAnsiTheme="minorHAnsi" w:cstheme="minorBidi"/>
              <w:b w:val="0"/>
              <w:bCs w:val="0"/>
              <w:caps w:val="0"/>
              <w:szCs w:val="22"/>
              <w:lang w:eastAsia="hr-HR"/>
            </w:rPr>
          </w:pPr>
          <w:hyperlink w:anchor="_Toc4156107" w:history="1">
            <w:r w:rsidR="0012408D" w:rsidRPr="00063C24">
              <w:rPr>
                <w:rStyle w:val="Hyperlink"/>
              </w:rPr>
              <w:t>8.</w:t>
            </w:r>
            <w:r w:rsidR="0012408D">
              <w:rPr>
                <w:rFonts w:asciiTheme="minorHAnsi" w:eastAsiaTheme="minorEastAsia" w:hAnsiTheme="minorHAnsi" w:cstheme="minorBidi"/>
                <w:b w:val="0"/>
                <w:bCs w:val="0"/>
                <w:caps w:val="0"/>
                <w:szCs w:val="22"/>
                <w:lang w:eastAsia="hr-HR"/>
              </w:rPr>
              <w:tab/>
            </w:r>
            <w:r w:rsidR="0012408D" w:rsidRPr="00063C24">
              <w:rPr>
                <w:rStyle w:val="Hyperlink"/>
              </w:rPr>
              <w:t xml:space="preserve">PRILAGODBA KLIMATSKIM PROMJENAMA (engl. </w:t>
            </w:r>
            <w:r w:rsidR="0012408D" w:rsidRPr="00063C24">
              <w:rPr>
                <w:rStyle w:val="Hyperlink"/>
                <w:i/>
                <w:iCs/>
              </w:rPr>
              <w:t>Adaptation</w:t>
            </w:r>
            <w:r w:rsidR="0012408D" w:rsidRPr="00063C24">
              <w:rPr>
                <w:rStyle w:val="Hyperlink"/>
              </w:rPr>
              <w:t>) - Plan prioritetnih mjera za prilagodbu klimatskim promjenama</w:t>
            </w:r>
            <w:r w:rsidR="0012408D">
              <w:rPr>
                <w:webHidden/>
              </w:rPr>
              <w:tab/>
            </w:r>
            <w:r w:rsidR="0012408D">
              <w:rPr>
                <w:webHidden/>
              </w:rPr>
              <w:fldChar w:fldCharType="begin"/>
            </w:r>
            <w:r w:rsidR="0012408D">
              <w:rPr>
                <w:webHidden/>
              </w:rPr>
              <w:instrText xml:space="preserve"> PAGEREF _Toc4156107 \h </w:instrText>
            </w:r>
            <w:r w:rsidR="0012408D">
              <w:rPr>
                <w:webHidden/>
              </w:rPr>
            </w:r>
            <w:r w:rsidR="0012408D">
              <w:rPr>
                <w:webHidden/>
              </w:rPr>
              <w:fldChar w:fldCharType="separate"/>
            </w:r>
            <w:r w:rsidR="0012408D">
              <w:rPr>
                <w:webHidden/>
              </w:rPr>
              <w:t>90</w:t>
            </w:r>
            <w:r w:rsidR="0012408D">
              <w:rPr>
                <w:webHidden/>
              </w:rPr>
              <w:fldChar w:fldCharType="end"/>
            </w:r>
          </w:hyperlink>
        </w:p>
        <w:p w14:paraId="5EE6D699" w14:textId="73E66556" w:rsidR="0012408D" w:rsidRDefault="00DF5A17">
          <w:pPr>
            <w:pStyle w:val="TOC2"/>
            <w:rPr>
              <w:rFonts w:asciiTheme="minorHAnsi" w:eastAsiaTheme="minorEastAsia" w:hAnsiTheme="minorHAnsi" w:cstheme="minorBidi"/>
              <w:smallCaps w:val="0"/>
              <w:noProof/>
              <w:sz w:val="22"/>
              <w:szCs w:val="22"/>
              <w:lang w:eastAsia="hr-HR"/>
            </w:rPr>
          </w:pPr>
          <w:hyperlink w:anchor="_Toc4156108" w:history="1">
            <w:r w:rsidR="0012408D" w:rsidRPr="00063C24">
              <w:rPr>
                <w:rStyle w:val="Hyperlink"/>
                <w:rFonts w:cstheme="minorHAnsi"/>
                <w:noProof/>
              </w:rPr>
              <w:t>8.1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Mjere prilagodbe klimatskim promjenama iz sektora zgradarstva</w:t>
            </w:r>
            <w:r w:rsidR="0012408D">
              <w:rPr>
                <w:noProof/>
                <w:webHidden/>
              </w:rPr>
              <w:tab/>
            </w:r>
            <w:r w:rsidR="0012408D">
              <w:rPr>
                <w:noProof/>
                <w:webHidden/>
              </w:rPr>
              <w:fldChar w:fldCharType="begin"/>
            </w:r>
            <w:r w:rsidR="0012408D">
              <w:rPr>
                <w:noProof/>
                <w:webHidden/>
              </w:rPr>
              <w:instrText xml:space="preserve"> PAGEREF _Toc4156108 \h </w:instrText>
            </w:r>
            <w:r w:rsidR="0012408D">
              <w:rPr>
                <w:noProof/>
                <w:webHidden/>
              </w:rPr>
            </w:r>
            <w:r w:rsidR="0012408D">
              <w:rPr>
                <w:noProof/>
                <w:webHidden/>
              </w:rPr>
              <w:fldChar w:fldCharType="separate"/>
            </w:r>
            <w:r w:rsidR="0012408D">
              <w:rPr>
                <w:noProof/>
                <w:webHidden/>
              </w:rPr>
              <w:t>90</w:t>
            </w:r>
            <w:r w:rsidR="0012408D">
              <w:rPr>
                <w:noProof/>
                <w:webHidden/>
              </w:rPr>
              <w:fldChar w:fldCharType="end"/>
            </w:r>
          </w:hyperlink>
        </w:p>
        <w:p w14:paraId="58C3959B" w14:textId="33902022" w:rsidR="0012408D" w:rsidRDefault="00DF5A17">
          <w:pPr>
            <w:pStyle w:val="TOC2"/>
            <w:rPr>
              <w:rFonts w:asciiTheme="minorHAnsi" w:eastAsiaTheme="minorEastAsia" w:hAnsiTheme="minorHAnsi" w:cstheme="minorBidi"/>
              <w:smallCaps w:val="0"/>
              <w:noProof/>
              <w:sz w:val="22"/>
              <w:szCs w:val="22"/>
              <w:lang w:eastAsia="hr-HR"/>
            </w:rPr>
          </w:pPr>
          <w:hyperlink w:anchor="_Toc4156109" w:history="1">
            <w:r w:rsidR="0012408D" w:rsidRPr="00063C24">
              <w:rPr>
                <w:rStyle w:val="Hyperlink"/>
                <w:noProof/>
              </w:rPr>
              <w:t>8.2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Prometna infrastruktura</w:t>
            </w:r>
            <w:r w:rsidR="0012408D">
              <w:rPr>
                <w:noProof/>
                <w:webHidden/>
              </w:rPr>
              <w:tab/>
            </w:r>
            <w:r w:rsidR="0012408D">
              <w:rPr>
                <w:noProof/>
                <w:webHidden/>
              </w:rPr>
              <w:fldChar w:fldCharType="begin"/>
            </w:r>
            <w:r w:rsidR="0012408D">
              <w:rPr>
                <w:noProof/>
                <w:webHidden/>
              </w:rPr>
              <w:instrText xml:space="preserve"> PAGEREF _Toc4156109 \h </w:instrText>
            </w:r>
            <w:r w:rsidR="0012408D">
              <w:rPr>
                <w:noProof/>
                <w:webHidden/>
              </w:rPr>
            </w:r>
            <w:r w:rsidR="0012408D">
              <w:rPr>
                <w:noProof/>
                <w:webHidden/>
              </w:rPr>
              <w:fldChar w:fldCharType="separate"/>
            </w:r>
            <w:r w:rsidR="0012408D">
              <w:rPr>
                <w:noProof/>
                <w:webHidden/>
              </w:rPr>
              <w:t>94</w:t>
            </w:r>
            <w:r w:rsidR="0012408D">
              <w:rPr>
                <w:noProof/>
                <w:webHidden/>
              </w:rPr>
              <w:fldChar w:fldCharType="end"/>
            </w:r>
          </w:hyperlink>
        </w:p>
        <w:p w14:paraId="624F35F8" w14:textId="0C13ACBB" w:rsidR="0012408D" w:rsidRDefault="00DF5A17">
          <w:pPr>
            <w:pStyle w:val="TOC2"/>
            <w:rPr>
              <w:rFonts w:asciiTheme="minorHAnsi" w:eastAsiaTheme="minorEastAsia" w:hAnsiTheme="minorHAnsi" w:cstheme="minorBidi"/>
              <w:smallCaps w:val="0"/>
              <w:noProof/>
              <w:sz w:val="22"/>
              <w:szCs w:val="22"/>
              <w:lang w:eastAsia="hr-HR"/>
            </w:rPr>
          </w:pPr>
          <w:hyperlink w:anchor="_Toc4156110" w:history="1">
            <w:r w:rsidR="0012408D" w:rsidRPr="00063C24">
              <w:rPr>
                <w:rStyle w:val="Hyperlink"/>
                <w:noProof/>
              </w:rPr>
              <w:t>8.3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Energetski sektor</w:t>
            </w:r>
            <w:r w:rsidR="0012408D">
              <w:rPr>
                <w:noProof/>
                <w:webHidden/>
              </w:rPr>
              <w:tab/>
            </w:r>
            <w:r w:rsidR="0012408D">
              <w:rPr>
                <w:noProof/>
                <w:webHidden/>
              </w:rPr>
              <w:fldChar w:fldCharType="begin"/>
            </w:r>
            <w:r w:rsidR="0012408D">
              <w:rPr>
                <w:noProof/>
                <w:webHidden/>
              </w:rPr>
              <w:instrText xml:space="preserve"> PAGEREF _Toc4156110 \h </w:instrText>
            </w:r>
            <w:r w:rsidR="0012408D">
              <w:rPr>
                <w:noProof/>
                <w:webHidden/>
              </w:rPr>
            </w:r>
            <w:r w:rsidR="0012408D">
              <w:rPr>
                <w:noProof/>
                <w:webHidden/>
              </w:rPr>
              <w:fldChar w:fldCharType="separate"/>
            </w:r>
            <w:r w:rsidR="0012408D">
              <w:rPr>
                <w:noProof/>
                <w:webHidden/>
              </w:rPr>
              <w:t>98</w:t>
            </w:r>
            <w:r w:rsidR="0012408D">
              <w:rPr>
                <w:noProof/>
                <w:webHidden/>
              </w:rPr>
              <w:fldChar w:fldCharType="end"/>
            </w:r>
          </w:hyperlink>
        </w:p>
        <w:p w14:paraId="13D6630F" w14:textId="068810BD" w:rsidR="0012408D" w:rsidRDefault="00DF5A17">
          <w:pPr>
            <w:pStyle w:val="TOC2"/>
            <w:rPr>
              <w:rFonts w:asciiTheme="minorHAnsi" w:eastAsiaTheme="minorEastAsia" w:hAnsiTheme="minorHAnsi" w:cstheme="minorBidi"/>
              <w:smallCaps w:val="0"/>
              <w:noProof/>
              <w:sz w:val="22"/>
              <w:szCs w:val="22"/>
              <w:lang w:eastAsia="hr-HR"/>
            </w:rPr>
          </w:pPr>
          <w:hyperlink w:anchor="_Toc4156111" w:history="1">
            <w:r w:rsidR="0012408D" w:rsidRPr="00063C24">
              <w:rPr>
                <w:rStyle w:val="Hyperlink"/>
                <w:noProof/>
              </w:rPr>
              <w:t>8.4</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Upravljanje vodama</w:t>
            </w:r>
            <w:r w:rsidR="0012408D">
              <w:rPr>
                <w:noProof/>
                <w:webHidden/>
              </w:rPr>
              <w:tab/>
            </w:r>
            <w:r w:rsidR="0012408D">
              <w:rPr>
                <w:noProof/>
                <w:webHidden/>
              </w:rPr>
              <w:fldChar w:fldCharType="begin"/>
            </w:r>
            <w:r w:rsidR="0012408D">
              <w:rPr>
                <w:noProof/>
                <w:webHidden/>
              </w:rPr>
              <w:instrText xml:space="preserve"> PAGEREF _Toc4156111 \h </w:instrText>
            </w:r>
            <w:r w:rsidR="0012408D">
              <w:rPr>
                <w:noProof/>
                <w:webHidden/>
              </w:rPr>
            </w:r>
            <w:r w:rsidR="0012408D">
              <w:rPr>
                <w:noProof/>
                <w:webHidden/>
              </w:rPr>
              <w:fldChar w:fldCharType="separate"/>
            </w:r>
            <w:r w:rsidR="0012408D">
              <w:rPr>
                <w:noProof/>
                <w:webHidden/>
              </w:rPr>
              <w:t>99</w:t>
            </w:r>
            <w:r w:rsidR="0012408D">
              <w:rPr>
                <w:noProof/>
                <w:webHidden/>
              </w:rPr>
              <w:fldChar w:fldCharType="end"/>
            </w:r>
          </w:hyperlink>
        </w:p>
        <w:p w14:paraId="22A2E282" w14:textId="11A82119" w:rsidR="0012408D" w:rsidRDefault="00DF5A17">
          <w:pPr>
            <w:pStyle w:val="TOC2"/>
            <w:rPr>
              <w:rFonts w:asciiTheme="minorHAnsi" w:eastAsiaTheme="minorEastAsia" w:hAnsiTheme="minorHAnsi" w:cstheme="minorBidi"/>
              <w:smallCaps w:val="0"/>
              <w:noProof/>
              <w:sz w:val="22"/>
              <w:szCs w:val="22"/>
              <w:lang w:eastAsia="hr-HR"/>
            </w:rPr>
          </w:pPr>
          <w:hyperlink w:anchor="_Toc4156112" w:history="1">
            <w:r w:rsidR="0012408D" w:rsidRPr="00063C24">
              <w:rPr>
                <w:rStyle w:val="Hyperlink"/>
                <w:noProof/>
              </w:rPr>
              <w:t>8.5</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Prostorno planiranje i upravljanje zemljištem</w:t>
            </w:r>
            <w:r w:rsidR="0012408D">
              <w:rPr>
                <w:noProof/>
                <w:webHidden/>
              </w:rPr>
              <w:tab/>
            </w:r>
            <w:r w:rsidR="0012408D">
              <w:rPr>
                <w:noProof/>
                <w:webHidden/>
              </w:rPr>
              <w:fldChar w:fldCharType="begin"/>
            </w:r>
            <w:r w:rsidR="0012408D">
              <w:rPr>
                <w:noProof/>
                <w:webHidden/>
              </w:rPr>
              <w:instrText xml:space="preserve"> PAGEREF _Toc4156112 \h </w:instrText>
            </w:r>
            <w:r w:rsidR="0012408D">
              <w:rPr>
                <w:noProof/>
                <w:webHidden/>
              </w:rPr>
            </w:r>
            <w:r w:rsidR="0012408D">
              <w:rPr>
                <w:noProof/>
                <w:webHidden/>
              </w:rPr>
              <w:fldChar w:fldCharType="separate"/>
            </w:r>
            <w:r w:rsidR="0012408D">
              <w:rPr>
                <w:noProof/>
                <w:webHidden/>
              </w:rPr>
              <w:t>111</w:t>
            </w:r>
            <w:r w:rsidR="0012408D">
              <w:rPr>
                <w:noProof/>
                <w:webHidden/>
              </w:rPr>
              <w:fldChar w:fldCharType="end"/>
            </w:r>
          </w:hyperlink>
        </w:p>
        <w:p w14:paraId="5DD86792" w14:textId="67F03CEF" w:rsidR="0012408D" w:rsidRDefault="00DF5A17">
          <w:pPr>
            <w:pStyle w:val="TOC2"/>
            <w:rPr>
              <w:rFonts w:asciiTheme="minorHAnsi" w:eastAsiaTheme="minorEastAsia" w:hAnsiTheme="minorHAnsi" w:cstheme="minorBidi"/>
              <w:smallCaps w:val="0"/>
              <w:noProof/>
              <w:sz w:val="22"/>
              <w:szCs w:val="22"/>
              <w:lang w:eastAsia="hr-HR"/>
            </w:rPr>
          </w:pPr>
          <w:hyperlink w:anchor="_Toc4156113" w:history="1">
            <w:r w:rsidR="0012408D" w:rsidRPr="00063C24">
              <w:rPr>
                <w:rStyle w:val="Hyperlink"/>
                <w:noProof/>
              </w:rPr>
              <w:t>8.6</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Okoliš i bioraznolikost</w:t>
            </w:r>
            <w:r w:rsidR="0012408D">
              <w:rPr>
                <w:noProof/>
                <w:webHidden/>
              </w:rPr>
              <w:tab/>
            </w:r>
            <w:r w:rsidR="0012408D">
              <w:rPr>
                <w:noProof/>
                <w:webHidden/>
              </w:rPr>
              <w:fldChar w:fldCharType="begin"/>
            </w:r>
            <w:r w:rsidR="0012408D">
              <w:rPr>
                <w:noProof/>
                <w:webHidden/>
              </w:rPr>
              <w:instrText xml:space="preserve"> PAGEREF _Toc4156113 \h </w:instrText>
            </w:r>
            <w:r w:rsidR="0012408D">
              <w:rPr>
                <w:noProof/>
                <w:webHidden/>
              </w:rPr>
            </w:r>
            <w:r w:rsidR="0012408D">
              <w:rPr>
                <w:noProof/>
                <w:webHidden/>
              </w:rPr>
              <w:fldChar w:fldCharType="separate"/>
            </w:r>
            <w:r w:rsidR="0012408D">
              <w:rPr>
                <w:noProof/>
                <w:webHidden/>
              </w:rPr>
              <w:t>114</w:t>
            </w:r>
            <w:r w:rsidR="0012408D">
              <w:rPr>
                <w:noProof/>
                <w:webHidden/>
              </w:rPr>
              <w:fldChar w:fldCharType="end"/>
            </w:r>
          </w:hyperlink>
        </w:p>
        <w:p w14:paraId="520A3DC8" w14:textId="65485681" w:rsidR="0012408D" w:rsidRDefault="00DF5A17">
          <w:pPr>
            <w:pStyle w:val="TOC2"/>
            <w:rPr>
              <w:rFonts w:asciiTheme="minorHAnsi" w:eastAsiaTheme="minorEastAsia" w:hAnsiTheme="minorHAnsi" w:cstheme="minorBidi"/>
              <w:smallCaps w:val="0"/>
              <w:noProof/>
              <w:sz w:val="22"/>
              <w:szCs w:val="22"/>
              <w:lang w:eastAsia="hr-HR"/>
            </w:rPr>
          </w:pPr>
          <w:hyperlink w:anchor="_Toc4156114" w:history="1">
            <w:r w:rsidR="0012408D" w:rsidRPr="00063C24">
              <w:rPr>
                <w:rStyle w:val="Hyperlink"/>
                <w:noProof/>
              </w:rPr>
              <w:t>8.7</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Poljoprivreda i šumarstvo</w:t>
            </w:r>
            <w:r w:rsidR="0012408D">
              <w:rPr>
                <w:noProof/>
                <w:webHidden/>
              </w:rPr>
              <w:tab/>
            </w:r>
            <w:r w:rsidR="0012408D">
              <w:rPr>
                <w:noProof/>
                <w:webHidden/>
              </w:rPr>
              <w:fldChar w:fldCharType="begin"/>
            </w:r>
            <w:r w:rsidR="0012408D">
              <w:rPr>
                <w:noProof/>
                <w:webHidden/>
              </w:rPr>
              <w:instrText xml:space="preserve"> PAGEREF _Toc4156114 \h </w:instrText>
            </w:r>
            <w:r w:rsidR="0012408D">
              <w:rPr>
                <w:noProof/>
                <w:webHidden/>
              </w:rPr>
            </w:r>
            <w:r w:rsidR="0012408D">
              <w:rPr>
                <w:noProof/>
                <w:webHidden/>
              </w:rPr>
              <w:fldChar w:fldCharType="separate"/>
            </w:r>
            <w:r w:rsidR="0012408D">
              <w:rPr>
                <w:noProof/>
                <w:webHidden/>
              </w:rPr>
              <w:t>117</w:t>
            </w:r>
            <w:r w:rsidR="0012408D">
              <w:rPr>
                <w:noProof/>
                <w:webHidden/>
              </w:rPr>
              <w:fldChar w:fldCharType="end"/>
            </w:r>
          </w:hyperlink>
        </w:p>
        <w:p w14:paraId="6DF0F127" w14:textId="2DDAE8D0" w:rsidR="0012408D" w:rsidRDefault="00DF5A17">
          <w:pPr>
            <w:pStyle w:val="TOC2"/>
            <w:rPr>
              <w:rFonts w:asciiTheme="minorHAnsi" w:eastAsiaTheme="minorEastAsia" w:hAnsiTheme="minorHAnsi" w:cstheme="minorBidi"/>
              <w:smallCaps w:val="0"/>
              <w:noProof/>
              <w:sz w:val="22"/>
              <w:szCs w:val="22"/>
              <w:lang w:eastAsia="hr-HR"/>
            </w:rPr>
          </w:pPr>
          <w:hyperlink w:anchor="_Toc4156115" w:history="1">
            <w:r w:rsidR="0012408D" w:rsidRPr="00063C24">
              <w:rPr>
                <w:rStyle w:val="Hyperlink"/>
                <w:noProof/>
              </w:rPr>
              <w:t>8.8</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Zdravstveni sektor</w:t>
            </w:r>
            <w:r w:rsidR="0012408D">
              <w:rPr>
                <w:noProof/>
                <w:webHidden/>
              </w:rPr>
              <w:tab/>
            </w:r>
            <w:r w:rsidR="0012408D">
              <w:rPr>
                <w:noProof/>
                <w:webHidden/>
              </w:rPr>
              <w:fldChar w:fldCharType="begin"/>
            </w:r>
            <w:r w:rsidR="0012408D">
              <w:rPr>
                <w:noProof/>
                <w:webHidden/>
              </w:rPr>
              <w:instrText xml:space="preserve"> PAGEREF _Toc4156115 \h </w:instrText>
            </w:r>
            <w:r w:rsidR="0012408D">
              <w:rPr>
                <w:noProof/>
                <w:webHidden/>
              </w:rPr>
            </w:r>
            <w:r w:rsidR="0012408D">
              <w:rPr>
                <w:noProof/>
                <w:webHidden/>
              </w:rPr>
              <w:fldChar w:fldCharType="separate"/>
            </w:r>
            <w:r w:rsidR="0012408D">
              <w:rPr>
                <w:noProof/>
                <w:webHidden/>
              </w:rPr>
              <w:t>119</w:t>
            </w:r>
            <w:r w:rsidR="0012408D">
              <w:rPr>
                <w:noProof/>
                <w:webHidden/>
              </w:rPr>
              <w:fldChar w:fldCharType="end"/>
            </w:r>
          </w:hyperlink>
        </w:p>
        <w:p w14:paraId="4F605AA8" w14:textId="196B03FF" w:rsidR="0012408D" w:rsidRDefault="00DF5A17">
          <w:pPr>
            <w:pStyle w:val="TOC2"/>
            <w:rPr>
              <w:rFonts w:asciiTheme="minorHAnsi" w:eastAsiaTheme="minorEastAsia" w:hAnsiTheme="minorHAnsi" w:cstheme="minorBidi"/>
              <w:smallCaps w:val="0"/>
              <w:noProof/>
              <w:sz w:val="22"/>
              <w:szCs w:val="22"/>
              <w:lang w:eastAsia="hr-HR"/>
            </w:rPr>
          </w:pPr>
          <w:hyperlink w:anchor="_Toc4156116" w:history="1">
            <w:r w:rsidR="0012408D" w:rsidRPr="00063C24">
              <w:rPr>
                <w:rStyle w:val="Hyperlink"/>
                <w:noProof/>
              </w:rPr>
              <w:t>8.9</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Civilna zaštita i krizna stanja</w:t>
            </w:r>
            <w:r w:rsidR="0012408D">
              <w:rPr>
                <w:noProof/>
                <w:webHidden/>
              </w:rPr>
              <w:tab/>
            </w:r>
            <w:r w:rsidR="0012408D">
              <w:rPr>
                <w:noProof/>
                <w:webHidden/>
              </w:rPr>
              <w:fldChar w:fldCharType="begin"/>
            </w:r>
            <w:r w:rsidR="0012408D">
              <w:rPr>
                <w:noProof/>
                <w:webHidden/>
              </w:rPr>
              <w:instrText xml:space="preserve"> PAGEREF _Toc4156116 \h </w:instrText>
            </w:r>
            <w:r w:rsidR="0012408D">
              <w:rPr>
                <w:noProof/>
                <w:webHidden/>
              </w:rPr>
            </w:r>
            <w:r w:rsidR="0012408D">
              <w:rPr>
                <w:noProof/>
                <w:webHidden/>
              </w:rPr>
              <w:fldChar w:fldCharType="separate"/>
            </w:r>
            <w:r w:rsidR="0012408D">
              <w:rPr>
                <w:noProof/>
                <w:webHidden/>
              </w:rPr>
              <w:t>123</w:t>
            </w:r>
            <w:r w:rsidR="0012408D">
              <w:rPr>
                <w:noProof/>
                <w:webHidden/>
              </w:rPr>
              <w:fldChar w:fldCharType="end"/>
            </w:r>
          </w:hyperlink>
        </w:p>
        <w:p w14:paraId="3E82B1AD" w14:textId="518BB73C" w:rsidR="0012408D" w:rsidRDefault="00DF5A17">
          <w:pPr>
            <w:pStyle w:val="TOC2"/>
            <w:rPr>
              <w:rFonts w:asciiTheme="minorHAnsi" w:eastAsiaTheme="minorEastAsia" w:hAnsiTheme="minorHAnsi" w:cstheme="minorBidi"/>
              <w:smallCaps w:val="0"/>
              <w:noProof/>
              <w:sz w:val="22"/>
              <w:szCs w:val="22"/>
              <w:lang w:eastAsia="hr-HR"/>
            </w:rPr>
          </w:pPr>
          <w:hyperlink w:anchor="_Toc4156117" w:history="1">
            <w:r w:rsidR="0012408D" w:rsidRPr="00063C24">
              <w:rPr>
                <w:rStyle w:val="Hyperlink"/>
                <w:noProof/>
              </w:rPr>
              <w:t>8.10</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Gospodarstvo i turizam</w:t>
            </w:r>
            <w:r w:rsidR="0012408D">
              <w:rPr>
                <w:noProof/>
                <w:webHidden/>
              </w:rPr>
              <w:tab/>
            </w:r>
            <w:r w:rsidR="0012408D">
              <w:rPr>
                <w:noProof/>
                <w:webHidden/>
              </w:rPr>
              <w:fldChar w:fldCharType="begin"/>
            </w:r>
            <w:r w:rsidR="0012408D">
              <w:rPr>
                <w:noProof/>
                <w:webHidden/>
              </w:rPr>
              <w:instrText xml:space="preserve"> PAGEREF _Toc4156117 \h </w:instrText>
            </w:r>
            <w:r w:rsidR="0012408D">
              <w:rPr>
                <w:noProof/>
                <w:webHidden/>
              </w:rPr>
            </w:r>
            <w:r w:rsidR="0012408D">
              <w:rPr>
                <w:noProof/>
                <w:webHidden/>
              </w:rPr>
              <w:fldChar w:fldCharType="separate"/>
            </w:r>
            <w:r w:rsidR="0012408D">
              <w:rPr>
                <w:noProof/>
                <w:webHidden/>
              </w:rPr>
              <w:t>125</w:t>
            </w:r>
            <w:r w:rsidR="0012408D">
              <w:rPr>
                <w:noProof/>
                <w:webHidden/>
              </w:rPr>
              <w:fldChar w:fldCharType="end"/>
            </w:r>
          </w:hyperlink>
        </w:p>
        <w:p w14:paraId="36E7211A" w14:textId="41B666F1" w:rsidR="0012408D" w:rsidRDefault="00DF5A17">
          <w:pPr>
            <w:pStyle w:val="TOC2"/>
            <w:rPr>
              <w:rFonts w:asciiTheme="minorHAnsi" w:eastAsiaTheme="minorEastAsia" w:hAnsiTheme="minorHAnsi" w:cstheme="minorBidi"/>
              <w:smallCaps w:val="0"/>
              <w:noProof/>
              <w:sz w:val="22"/>
              <w:szCs w:val="22"/>
              <w:lang w:eastAsia="hr-HR"/>
            </w:rPr>
          </w:pPr>
          <w:hyperlink w:anchor="_Toc4156118" w:history="1">
            <w:r w:rsidR="0012408D" w:rsidRPr="00063C24">
              <w:rPr>
                <w:rStyle w:val="Hyperlink"/>
                <w:noProof/>
              </w:rPr>
              <w:t>8.11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Ostalo</w:t>
            </w:r>
            <w:r w:rsidR="0012408D">
              <w:rPr>
                <w:noProof/>
                <w:webHidden/>
              </w:rPr>
              <w:tab/>
            </w:r>
            <w:r w:rsidR="0012408D">
              <w:rPr>
                <w:noProof/>
                <w:webHidden/>
              </w:rPr>
              <w:fldChar w:fldCharType="begin"/>
            </w:r>
            <w:r w:rsidR="0012408D">
              <w:rPr>
                <w:noProof/>
                <w:webHidden/>
              </w:rPr>
              <w:instrText xml:space="preserve"> PAGEREF _Toc4156118 \h </w:instrText>
            </w:r>
            <w:r w:rsidR="0012408D">
              <w:rPr>
                <w:noProof/>
                <w:webHidden/>
              </w:rPr>
            </w:r>
            <w:r w:rsidR="0012408D">
              <w:rPr>
                <w:noProof/>
                <w:webHidden/>
              </w:rPr>
              <w:fldChar w:fldCharType="separate"/>
            </w:r>
            <w:r w:rsidR="0012408D">
              <w:rPr>
                <w:noProof/>
                <w:webHidden/>
              </w:rPr>
              <w:t>127</w:t>
            </w:r>
            <w:r w:rsidR="0012408D">
              <w:rPr>
                <w:noProof/>
                <w:webHidden/>
              </w:rPr>
              <w:fldChar w:fldCharType="end"/>
            </w:r>
          </w:hyperlink>
        </w:p>
        <w:p w14:paraId="5BEDA175" w14:textId="3D80E59E" w:rsidR="0012408D" w:rsidRDefault="00DF5A17">
          <w:pPr>
            <w:pStyle w:val="TOC1"/>
            <w:rPr>
              <w:rFonts w:asciiTheme="minorHAnsi" w:eastAsiaTheme="minorEastAsia" w:hAnsiTheme="minorHAnsi" w:cstheme="minorBidi"/>
              <w:b w:val="0"/>
              <w:bCs w:val="0"/>
              <w:caps w:val="0"/>
              <w:szCs w:val="22"/>
              <w:lang w:eastAsia="hr-HR"/>
            </w:rPr>
          </w:pPr>
          <w:hyperlink w:anchor="_Toc4156119" w:history="1">
            <w:r w:rsidR="0012408D" w:rsidRPr="00063C24">
              <w:rPr>
                <w:rStyle w:val="Hyperlink"/>
                <w:lang w:eastAsia="hr-HR"/>
              </w:rPr>
              <w:t>9.</w:t>
            </w:r>
            <w:r w:rsidR="0012408D">
              <w:rPr>
                <w:rFonts w:asciiTheme="minorHAnsi" w:eastAsiaTheme="minorEastAsia" w:hAnsiTheme="minorHAnsi" w:cstheme="minorBidi"/>
                <w:b w:val="0"/>
                <w:bCs w:val="0"/>
                <w:caps w:val="0"/>
                <w:szCs w:val="22"/>
                <w:lang w:eastAsia="hr-HR"/>
              </w:rPr>
              <w:tab/>
            </w:r>
            <w:r w:rsidR="0012408D" w:rsidRPr="00063C24">
              <w:rPr>
                <w:rStyle w:val="Hyperlink"/>
                <w:lang w:eastAsia="hr-HR"/>
              </w:rPr>
              <w:t>PROCJENA SMANJENJA EMISIJA CO</w:t>
            </w:r>
            <w:r w:rsidR="0012408D" w:rsidRPr="00063C24">
              <w:rPr>
                <w:rStyle w:val="Hyperlink"/>
                <w:vertAlign w:val="subscript"/>
                <w:lang w:eastAsia="hr-HR"/>
              </w:rPr>
              <w:t>2</w:t>
            </w:r>
            <w:r w:rsidR="0012408D" w:rsidRPr="00063C24">
              <w:rPr>
                <w:rStyle w:val="Hyperlink"/>
                <w:lang w:eastAsia="hr-HR"/>
              </w:rPr>
              <w:t xml:space="preserve"> ZA IDENTIFICIRANE MJERE DO 2030. GODINE</w:t>
            </w:r>
            <w:r w:rsidR="0012408D">
              <w:rPr>
                <w:webHidden/>
              </w:rPr>
              <w:tab/>
            </w:r>
            <w:r w:rsidR="0012408D">
              <w:rPr>
                <w:webHidden/>
              </w:rPr>
              <w:fldChar w:fldCharType="begin"/>
            </w:r>
            <w:r w:rsidR="0012408D">
              <w:rPr>
                <w:webHidden/>
              </w:rPr>
              <w:instrText xml:space="preserve"> PAGEREF _Toc4156119 \h </w:instrText>
            </w:r>
            <w:r w:rsidR="0012408D">
              <w:rPr>
                <w:webHidden/>
              </w:rPr>
            </w:r>
            <w:r w:rsidR="0012408D">
              <w:rPr>
                <w:webHidden/>
              </w:rPr>
              <w:fldChar w:fldCharType="separate"/>
            </w:r>
            <w:r w:rsidR="0012408D">
              <w:rPr>
                <w:webHidden/>
              </w:rPr>
              <w:t>129</w:t>
            </w:r>
            <w:r w:rsidR="0012408D">
              <w:rPr>
                <w:webHidden/>
              </w:rPr>
              <w:fldChar w:fldCharType="end"/>
            </w:r>
          </w:hyperlink>
        </w:p>
        <w:p w14:paraId="4657FC7D" w14:textId="6DE02F8D" w:rsidR="0012408D" w:rsidRDefault="00DF5A17">
          <w:pPr>
            <w:pStyle w:val="TOC2"/>
            <w:rPr>
              <w:rFonts w:asciiTheme="minorHAnsi" w:eastAsiaTheme="minorEastAsia" w:hAnsiTheme="minorHAnsi" w:cstheme="minorBidi"/>
              <w:smallCaps w:val="0"/>
              <w:noProof/>
              <w:sz w:val="22"/>
              <w:szCs w:val="22"/>
              <w:lang w:eastAsia="hr-HR"/>
            </w:rPr>
          </w:pPr>
          <w:hyperlink w:anchor="_Toc4156120" w:history="1">
            <w:r w:rsidR="0012408D" w:rsidRPr="00063C24">
              <w:rPr>
                <w:rStyle w:val="Hyperlink"/>
                <w:noProof/>
              </w:rPr>
              <w:t>9.1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Uvodna razmatranja</w:t>
            </w:r>
            <w:r w:rsidR="0012408D">
              <w:rPr>
                <w:noProof/>
                <w:webHidden/>
              </w:rPr>
              <w:tab/>
            </w:r>
            <w:r w:rsidR="0012408D">
              <w:rPr>
                <w:noProof/>
                <w:webHidden/>
              </w:rPr>
              <w:fldChar w:fldCharType="begin"/>
            </w:r>
            <w:r w:rsidR="0012408D">
              <w:rPr>
                <w:noProof/>
                <w:webHidden/>
              </w:rPr>
              <w:instrText xml:space="preserve"> PAGEREF _Toc4156120 \h </w:instrText>
            </w:r>
            <w:r w:rsidR="0012408D">
              <w:rPr>
                <w:noProof/>
                <w:webHidden/>
              </w:rPr>
            </w:r>
            <w:r w:rsidR="0012408D">
              <w:rPr>
                <w:noProof/>
                <w:webHidden/>
              </w:rPr>
              <w:fldChar w:fldCharType="separate"/>
            </w:r>
            <w:r w:rsidR="0012408D">
              <w:rPr>
                <w:noProof/>
                <w:webHidden/>
              </w:rPr>
              <w:t>129</w:t>
            </w:r>
            <w:r w:rsidR="0012408D">
              <w:rPr>
                <w:noProof/>
                <w:webHidden/>
              </w:rPr>
              <w:fldChar w:fldCharType="end"/>
            </w:r>
          </w:hyperlink>
        </w:p>
        <w:p w14:paraId="387E3255" w14:textId="4EB9B3D4" w:rsidR="0012408D" w:rsidRDefault="00DF5A17">
          <w:pPr>
            <w:pStyle w:val="TOC2"/>
            <w:rPr>
              <w:rFonts w:asciiTheme="minorHAnsi" w:eastAsiaTheme="minorEastAsia" w:hAnsiTheme="minorHAnsi" w:cstheme="minorBidi"/>
              <w:smallCaps w:val="0"/>
              <w:noProof/>
              <w:sz w:val="22"/>
              <w:szCs w:val="22"/>
              <w:lang w:eastAsia="hr-HR"/>
            </w:rPr>
          </w:pPr>
          <w:hyperlink w:anchor="_Toc4156121" w:history="1">
            <w:r w:rsidR="0012408D" w:rsidRPr="00063C24">
              <w:rPr>
                <w:rStyle w:val="Hyperlink"/>
                <w:noProof/>
              </w:rPr>
              <w:t>9.2</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Ukupne projekcije emisije CO</w:t>
            </w:r>
            <w:r w:rsidR="0012408D" w:rsidRPr="00063C24">
              <w:rPr>
                <w:rStyle w:val="Hyperlink"/>
                <w:noProof/>
                <w:vertAlign w:val="subscript"/>
              </w:rPr>
              <w:t>2</w:t>
            </w:r>
            <w:r w:rsidR="0012408D">
              <w:rPr>
                <w:noProof/>
                <w:webHidden/>
              </w:rPr>
              <w:tab/>
            </w:r>
            <w:r w:rsidR="0012408D">
              <w:rPr>
                <w:noProof/>
                <w:webHidden/>
              </w:rPr>
              <w:fldChar w:fldCharType="begin"/>
            </w:r>
            <w:r w:rsidR="0012408D">
              <w:rPr>
                <w:noProof/>
                <w:webHidden/>
              </w:rPr>
              <w:instrText xml:space="preserve"> PAGEREF _Toc4156121 \h </w:instrText>
            </w:r>
            <w:r w:rsidR="0012408D">
              <w:rPr>
                <w:noProof/>
                <w:webHidden/>
              </w:rPr>
            </w:r>
            <w:r w:rsidR="0012408D">
              <w:rPr>
                <w:noProof/>
                <w:webHidden/>
              </w:rPr>
              <w:fldChar w:fldCharType="separate"/>
            </w:r>
            <w:r w:rsidR="0012408D">
              <w:rPr>
                <w:noProof/>
                <w:webHidden/>
              </w:rPr>
              <w:t>129</w:t>
            </w:r>
            <w:r w:rsidR="0012408D">
              <w:rPr>
                <w:noProof/>
                <w:webHidden/>
              </w:rPr>
              <w:fldChar w:fldCharType="end"/>
            </w:r>
          </w:hyperlink>
        </w:p>
        <w:p w14:paraId="5C5DC86F" w14:textId="19FD6591" w:rsidR="0012408D" w:rsidRDefault="00DF5A17">
          <w:pPr>
            <w:pStyle w:val="TOC2"/>
            <w:rPr>
              <w:rFonts w:asciiTheme="minorHAnsi" w:eastAsiaTheme="minorEastAsia" w:hAnsiTheme="minorHAnsi" w:cstheme="minorBidi"/>
              <w:smallCaps w:val="0"/>
              <w:noProof/>
              <w:sz w:val="22"/>
              <w:szCs w:val="22"/>
              <w:lang w:eastAsia="hr-HR"/>
            </w:rPr>
          </w:pPr>
          <w:hyperlink w:anchor="_Toc4156122" w:history="1">
            <w:r w:rsidR="0012408D" w:rsidRPr="00063C24">
              <w:rPr>
                <w:rStyle w:val="Hyperlink"/>
                <w:noProof/>
              </w:rPr>
              <w:t>9.3</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Zaključak</w:t>
            </w:r>
            <w:r w:rsidR="0012408D">
              <w:rPr>
                <w:noProof/>
                <w:webHidden/>
              </w:rPr>
              <w:tab/>
            </w:r>
            <w:r w:rsidR="0012408D">
              <w:rPr>
                <w:noProof/>
                <w:webHidden/>
              </w:rPr>
              <w:fldChar w:fldCharType="begin"/>
            </w:r>
            <w:r w:rsidR="0012408D">
              <w:rPr>
                <w:noProof/>
                <w:webHidden/>
              </w:rPr>
              <w:instrText xml:space="preserve"> PAGEREF _Toc4156122 \h </w:instrText>
            </w:r>
            <w:r w:rsidR="0012408D">
              <w:rPr>
                <w:noProof/>
                <w:webHidden/>
              </w:rPr>
            </w:r>
            <w:r w:rsidR="0012408D">
              <w:rPr>
                <w:noProof/>
                <w:webHidden/>
              </w:rPr>
              <w:fldChar w:fldCharType="separate"/>
            </w:r>
            <w:r w:rsidR="0012408D">
              <w:rPr>
                <w:noProof/>
                <w:webHidden/>
              </w:rPr>
              <w:t>132</w:t>
            </w:r>
            <w:r w:rsidR="0012408D">
              <w:rPr>
                <w:noProof/>
                <w:webHidden/>
              </w:rPr>
              <w:fldChar w:fldCharType="end"/>
            </w:r>
          </w:hyperlink>
        </w:p>
        <w:p w14:paraId="14DF3733" w14:textId="729EF6C0" w:rsidR="0012408D" w:rsidRDefault="00DF5A17">
          <w:pPr>
            <w:pStyle w:val="TOC1"/>
            <w:rPr>
              <w:rFonts w:asciiTheme="minorHAnsi" w:eastAsiaTheme="minorEastAsia" w:hAnsiTheme="minorHAnsi" w:cstheme="minorBidi"/>
              <w:b w:val="0"/>
              <w:bCs w:val="0"/>
              <w:caps w:val="0"/>
              <w:szCs w:val="22"/>
              <w:lang w:eastAsia="hr-HR"/>
            </w:rPr>
          </w:pPr>
          <w:hyperlink w:anchor="_Toc4156123" w:history="1">
            <w:r w:rsidR="0012408D" w:rsidRPr="00063C24">
              <w:rPr>
                <w:rStyle w:val="Hyperlink"/>
              </w:rPr>
              <w:t>10.</w:t>
            </w:r>
            <w:r w:rsidR="0012408D">
              <w:rPr>
                <w:rFonts w:asciiTheme="minorHAnsi" w:eastAsiaTheme="minorEastAsia" w:hAnsiTheme="minorHAnsi" w:cstheme="minorBidi"/>
                <w:b w:val="0"/>
                <w:bCs w:val="0"/>
                <w:caps w:val="0"/>
                <w:szCs w:val="22"/>
                <w:lang w:eastAsia="hr-HR"/>
              </w:rPr>
              <w:tab/>
            </w:r>
            <w:r w:rsidR="0012408D" w:rsidRPr="00063C24">
              <w:rPr>
                <w:rStyle w:val="Hyperlink"/>
              </w:rPr>
              <w:t>MEHANIZMI FINANCIRANJA PROVEDBE AKCIJSKOG PLANA ENERGETSKI ODRŽIVOG RAZVITKA i KLIMATSKIH PROMJENA</w:t>
            </w:r>
            <w:r w:rsidR="0012408D">
              <w:rPr>
                <w:webHidden/>
              </w:rPr>
              <w:tab/>
            </w:r>
            <w:r w:rsidR="0012408D">
              <w:rPr>
                <w:webHidden/>
              </w:rPr>
              <w:fldChar w:fldCharType="begin"/>
            </w:r>
            <w:r w:rsidR="0012408D">
              <w:rPr>
                <w:webHidden/>
              </w:rPr>
              <w:instrText xml:space="preserve"> PAGEREF _Toc4156123 \h </w:instrText>
            </w:r>
            <w:r w:rsidR="0012408D">
              <w:rPr>
                <w:webHidden/>
              </w:rPr>
            </w:r>
            <w:r w:rsidR="0012408D">
              <w:rPr>
                <w:webHidden/>
              </w:rPr>
              <w:fldChar w:fldCharType="separate"/>
            </w:r>
            <w:r w:rsidR="0012408D">
              <w:rPr>
                <w:webHidden/>
              </w:rPr>
              <w:t>133</w:t>
            </w:r>
            <w:r w:rsidR="0012408D">
              <w:rPr>
                <w:webHidden/>
              </w:rPr>
              <w:fldChar w:fldCharType="end"/>
            </w:r>
          </w:hyperlink>
        </w:p>
        <w:p w14:paraId="52555015" w14:textId="69B1DEBF" w:rsidR="0012408D" w:rsidRDefault="00DF5A17">
          <w:pPr>
            <w:pStyle w:val="TOC2"/>
            <w:rPr>
              <w:rFonts w:asciiTheme="minorHAnsi" w:eastAsiaTheme="minorEastAsia" w:hAnsiTheme="minorHAnsi" w:cstheme="minorBidi"/>
              <w:smallCaps w:val="0"/>
              <w:noProof/>
              <w:sz w:val="22"/>
              <w:szCs w:val="22"/>
              <w:lang w:eastAsia="hr-HR"/>
            </w:rPr>
          </w:pPr>
          <w:hyperlink w:anchor="_Toc4156124" w:history="1">
            <w:r w:rsidR="0012408D" w:rsidRPr="00063C24">
              <w:rPr>
                <w:rStyle w:val="Hyperlink"/>
                <w:noProof/>
              </w:rPr>
              <w:t>10.1</w:t>
            </w:r>
            <w:r w:rsidR="0012408D">
              <w:rPr>
                <w:rFonts w:asciiTheme="minorHAnsi" w:eastAsiaTheme="minorEastAsia" w:hAnsiTheme="minorHAnsi" w:cstheme="minorBidi"/>
                <w:smallCaps w:val="0"/>
                <w:noProof/>
                <w:sz w:val="22"/>
                <w:szCs w:val="22"/>
                <w:lang w:eastAsia="hr-HR"/>
              </w:rPr>
              <w:tab/>
            </w:r>
            <w:r w:rsidR="0012408D" w:rsidRPr="00063C24">
              <w:rPr>
                <w:rStyle w:val="Hyperlink"/>
                <w:noProof/>
              </w:rPr>
              <w:t>Pregled mogućih izvora sredstava</w:t>
            </w:r>
            <w:r w:rsidR="0012408D">
              <w:rPr>
                <w:noProof/>
                <w:webHidden/>
              </w:rPr>
              <w:tab/>
            </w:r>
            <w:r w:rsidR="0012408D">
              <w:rPr>
                <w:noProof/>
                <w:webHidden/>
              </w:rPr>
              <w:fldChar w:fldCharType="begin"/>
            </w:r>
            <w:r w:rsidR="0012408D">
              <w:rPr>
                <w:noProof/>
                <w:webHidden/>
              </w:rPr>
              <w:instrText xml:space="preserve"> PAGEREF _Toc4156124 \h </w:instrText>
            </w:r>
            <w:r w:rsidR="0012408D">
              <w:rPr>
                <w:noProof/>
                <w:webHidden/>
              </w:rPr>
            </w:r>
            <w:r w:rsidR="0012408D">
              <w:rPr>
                <w:noProof/>
                <w:webHidden/>
              </w:rPr>
              <w:fldChar w:fldCharType="separate"/>
            </w:r>
            <w:r w:rsidR="0012408D">
              <w:rPr>
                <w:noProof/>
                <w:webHidden/>
              </w:rPr>
              <w:t>133</w:t>
            </w:r>
            <w:r w:rsidR="0012408D">
              <w:rPr>
                <w:noProof/>
                <w:webHidden/>
              </w:rPr>
              <w:fldChar w:fldCharType="end"/>
            </w:r>
          </w:hyperlink>
        </w:p>
        <w:p w14:paraId="2DEE0415" w14:textId="46763937" w:rsidR="0012408D" w:rsidRDefault="00DF5A17">
          <w:pPr>
            <w:pStyle w:val="TOC3"/>
            <w:rPr>
              <w:rFonts w:asciiTheme="minorHAnsi" w:eastAsiaTheme="minorEastAsia" w:hAnsiTheme="minorHAnsi" w:cstheme="minorBidi"/>
              <w:i w:val="0"/>
              <w:iCs w:val="0"/>
              <w:noProof/>
              <w:sz w:val="22"/>
              <w:szCs w:val="22"/>
              <w:lang w:eastAsia="hr-HR"/>
            </w:rPr>
          </w:pPr>
          <w:hyperlink w:anchor="_Toc4156125" w:history="1">
            <w:r w:rsidR="0012408D" w:rsidRPr="00063C24">
              <w:rPr>
                <w:rStyle w:val="Hyperlink"/>
                <w:noProof/>
                <w14:scene3d>
                  <w14:camera w14:prst="orthographicFront"/>
                  <w14:lightRig w14:rig="threePt" w14:dir="t">
                    <w14:rot w14:lat="0" w14:lon="0" w14:rev="0"/>
                  </w14:lightRig>
                </w14:scene3d>
              </w:rPr>
              <w:t>10.1.1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Nacionalni programi energetske obnove u sektoru zgradarstva</w:t>
            </w:r>
            <w:r w:rsidR="0012408D">
              <w:rPr>
                <w:noProof/>
                <w:webHidden/>
              </w:rPr>
              <w:tab/>
            </w:r>
            <w:r w:rsidR="0012408D">
              <w:rPr>
                <w:noProof/>
                <w:webHidden/>
              </w:rPr>
              <w:fldChar w:fldCharType="begin"/>
            </w:r>
            <w:r w:rsidR="0012408D">
              <w:rPr>
                <w:noProof/>
                <w:webHidden/>
              </w:rPr>
              <w:instrText xml:space="preserve"> PAGEREF _Toc4156125 \h </w:instrText>
            </w:r>
            <w:r w:rsidR="0012408D">
              <w:rPr>
                <w:noProof/>
                <w:webHidden/>
              </w:rPr>
            </w:r>
            <w:r w:rsidR="0012408D">
              <w:rPr>
                <w:noProof/>
                <w:webHidden/>
              </w:rPr>
              <w:fldChar w:fldCharType="separate"/>
            </w:r>
            <w:r w:rsidR="0012408D">
              <w:rPr>
                <w:noProof/>
                <w:webHidden/>
              </w:rPr>
              <w:t>134</w:t>
            </w:r>
            <w:r w:rsidR="0012408D">
              <w:rPr>
                <w:noProof/>
                <w:webHidden/>
              </w:rPr>
              <w:fldChar w:fldCharType="end"/>
            </w:r>
          </w:hyperlink>
        </w:p>
        <w:p w14:paraId="1F1F53ED" w14:textId="39460464" w:rsidR="0012408D" w:rsidRDefault="00DF5A17">
          <w:pPr>
            <w:pStyle w:val="TOC3"/>
            <w:rPr>
              <w:rFonts w:asciiTheme="minorHAnsi" w:eastAsiaTheme="minorEastAsia" w:hAnsiTheme="minorHAnsi" w:cstheme="minorBidi"/>
              <w:i w:val="0"/>
              <w:iCs w:val="0"/>
              <w:noProof/>
              <w:sz w:val="22"/>
              <w:szCs w:val="22"/>
              <w:lang w:eastAsia="hr-HR"/>
            </w:rPr>
          </w:pPr>
          <w:hyperlink w:anchor="_Toc4156126" w:history="1">
            <w:r w:rsidR="0012408D" w:rsidRPr="00063C24">
              <w:rPr>
                <w:rStyle w:val="Hyperlink"/>
                <w:noProof/>
                <w14:scene3d>
                  <w14:camera w14:prst="orthographicFront"/>
                  <w14:lightRig w14:rig="threePt" w14:dir="t">
                    <w14:rot w14:lat="0" w14:lon="0" w14:rev="0"/>
                  </w14:lightRig>
                </w14:scene3d>
              </w:rPr>
              <w:t>10.1.2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Europski Strukturni i investicijski (ESI) fondovi</w:t>
            </w:r>
            <w:r w:rsidR="0012408D">
              <w:rPr>
                <w:noProof/>
                <w:webHidden/>
              </w:rPr>
              <w:tab/>
            </w:r>
            <w:r w:rsidR="0012408D">
              <w:rPr>
                <w:noProof/>
                <w:webHidden/>
              </w:rPr>
              <w:fldChar w:fldCharType="begin"/>
            </w:r>
            <w:r w:rsidR="0012408D">
              <w:rPr>
                <w:noProof/>
                <w:webHidden/>
              </w:rPr>
              <w:instrText xml:space="preserve"> PAGEREF _Toc4156126 \h </w:instrText>
            </w:r>
            <w:r w:rsidR="0012408D">
              <w:rPr>
                <w:noProof/>
                <w:webHidden/>
              </w:rPr>
            </w:r>
            <w:r w:rsidR="0012408D">
              <w:rPr>
                <w:noProof/>
                <w:webHidden/>
              </w:rPr>
              <w:fldChar w:fldCharType="separate"/>
            </w:r>
            <w:r w:rsidR="0012408D">
              <w:rPr>
                <w:noProof/>
                <w:webHidden/>
              </w:rPr>
              <w:t>136</w:t>
            </w:r>
            <w:r w:rsidR="0012408D">
              <w:rPr>
                <w:noProof/>
                <w:webHidden/>
              </w:rPr>
              <w:fldChar w:fldCharType="end"/>
            </w:r>
          </w:hyperlink>
        </w:p>
        <w:p w14:paraId="0FE36AB7" w14:textId="5CC55950" w:rsidR="0012408D" w:rsidRDefault="00DF5A17">
          <w:pPr>
            <w:pStyle w:val="TOC3"/>
            <w:rPr>
              <w:rFonts w:asciiTheme="minorHAnsi" w:eastAsiaTheme="minorEastAsia" w:hAnsiTheme="minorHAnsi" w:cstheme="minorBidi"/>
              <w:i w:val="0"/>
              <w:iCs w:val="0"/>
              <w:noProof/>
              <w:sz w:val="22"/>
              <w:szCs w:val="22"/>
              <w:lang w:eastAsia="hr-HR"/>
            </w:rPr>
          </w:pPr>
          <w:hyperlink w:anchor="_Toc4156127" w:history="1">
            <w:r w:rsidR="0012408D" w:rsidRPr="00063C24">
              <w:rPr>
                <w:rStyle w:val="Hyperlink"/>
                <w:noProof/>
                <w14:scene3d>
                  <w14:camera w14:prst="orthographicFront"/>
                  <w14:lightRig w14:rig="threePt" w14:dir="t">
                    <w14:rot w14:lat="0" w14:lon="0" w14:rev="0"/>
                  </w14:lightRig>
                </w14:scene3d>
              </w:rPr>
              <w:t>10.1.3</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Europski fond za strateška ulaganja (EFSU)</w:t>
            </w:r>
            <w:r w:rsidR="0012408D">
              <w:rPr>
                <w:noProof/>
                <w:webHidden/>
              </w:rPr>
              <w:tab/>
            </w:r>
            <w:r w:rsidR="0012408D">
              <w:rPr>
                <w:noProof/>
                <w:webHidden/>
              </w:rPr>
              <w:fldChar w:fldCharType="begin"/>
            </w:r>
            <w:r w:rsidR="0012408D">
              <w:rPr>
                <w:noProof/>
                <w:webHidden/>
              </w:rPr>
              <w:instrText xml:space="preserve"> PAGEREF _Toc4156127 \h </w:instrText>
            </w:r>
            <w:r w:rsidR="0012408D">
              <w:rPr>
                <w:noProof/>
                <w:webHidden/>
              </w:rPr>
            </w:r>
            <w:r w:rsidR="0012408D">
              <w:rPr>
                <w:noProof/>
                <w:webHidden/>
              </w:rPr>
              <w:fldChar w:fldCharType="separate"/>
            </w:r>
            <w:r w:rsidR="0012408D">
              <w:rPr>
                <w:noProof/>
                <w:webHidden/>
              </w:rPr>
              <w:t>138</w:t>
            </w:r>
            <w:r w:rsidR="0012408D">
              <w:rPr>
                <w:noProof/>
                <w:webHidden/>
              </w:rPr>
              <w:fldChar w:fldCharType="end"/>
            </w:r>
          </w:hyperlink>
        </w:p>
        <w:p w14:paraId="2281AA20" w14:textId="73B520FD" w:rsidR="0012408D" w:rsidRDefault="00DF5A17">
          <w:pPr>
            <w:pStyle w:val="TOC3"/>
            <w:rPr>
              <w:rFonts w:asciiTheme="minorHAnsi" w:eastAsiaTheme="minorEastAsia" w:hAnsiTheme="minorHAnsi" w:cstheme="minorBidi"/>
              <w:i w:val="0"/>
              <w:iCs w:val="0"/>
              <w:noProof/>
              <w:sz w:val="22"/>
              <w:szCs w:val="22"/>
              <w:lang w:eastAsia="hr-HR"/>
            </w:rPr>
          </w:pPr>
          <w:hyperlink w:anchor="_Toc4156128" w:history="1">
            <w:r w:rsidR="0012408D" w:rsidRPr="00063C24">
              <w:rPr>
                <w:rStyle w:val="Hyperlink"/>
                <w:noProof/>
                <w14:scene3d>
                  <w14:camera w14:prst="orthographicFront"/>
                  <w14:lightRig w14:rig="threePt" w14:dir="t">
                    <w14:rot w14:lat="0" w14:lon="0" w14:rev="0"/>
                  </w14:lightRig>
                </w14:scene3d>
              </w:rPr>
              <w:t>10.1.4</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Hrvatska banka za obnovu i razvitak (HBOR)</w:t>
            </w:r>
            <w:r w:rsidR="0012408D">
              <w:rPr>
                <w:noProof/>
                <w:webHidden/>
              </w:rPr>
              <w:tab/>
            </w:r>
            <w:r w:rsidR="0012408D">
              <w:rPr>
                <w:noProof/>
                <w:webHidden/>
              </w:rPr>
              <w:fldChar w:fldCharType="begin"/>
            </w:r>
            <w:r w:rsidR="0012408D">
              <w:rPr>
                <w:noProof/>
                <w:webHidden/>
              </w:rPr>
              <w:instrText xml:space="preserve"> PAGEREF _Toc4156128 \h </w:instrText>
            </w:r>
            <w:r w:rsidR="0012408D">
              <w:rPr>
                <w:noProof/>
                <w:webHidden/>
              </w:rPr>
            </w:r>
            <w:r w:rsidR="0012408D">
              <w:rPr>
                <w:noProof/>
                <w:webHidden/>
              </w:rPr>
              <w:fldChar w:fldCharType="separate"/>
            </w:r>
            <w:r w:rsidR="0012408D">
              <w:rPr>
                <w:noProof/>
                <w:webHidden/>
              </w:rPr>
              <w:t>138</w:t>
            </w:r>
            <w:r w:rsidR="0012408D">
              <w:rPr>
                <w:noProof/>
                <w:webHidden/>
              </w:rPr>
              <w:fldChar w:fldCharType="end"/>
            </w:r>
          </w:hyperlink>
        </w:p>
        <w:p w14:paraId="63685794" w14:textId="2FC12043" w:rsidR="0012408D" w:rsidRDefault="00DF5A17">
          <w:pPr>
            <w:pStyle w:val="TOC3"/>
            <w:rPr>
              <w:rFonts w:asciiTheme="minorHAnsi" w:eastAsiaTheme="minorEastAsia" w:hAnsiTheme="minorHAnsi" w:cstheme="minorBidi"/>
              <w:i w:val="0"/>
              <w:iCs w:val="0"/>
              <w:noProof/>
              <w:sz w:val="22"/>
              <w:szCs w:val="22"/>
              <w:lang w:eastAsia="hr-HR"/>
            </w:rPr>
          </w:pPr>
          <w:hyperlink w:anchor="_Toc4156129" w:history="1">
            <w:r w:rsidR="0012408D" w:rsidRPr="00063C24">
              <w:rPr>
                <w:rStyle w:val="Hyperlink"/>
                <w:noProof/>
                <w14:scene3d>
                  <w14:camera w14:prst="orthographicFront"/>
                  <w14:lightRig w14:rig="threePt" w14:dir="t">
                    <w14:rot w14:lat="0" w14:lon="0" w14:rev="0"/>
                  </w14:lightRig>
                </w14:scene3d>
              </w:rPr>
              <w:t>10.1.5</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Europska investicijska banka (EIB)</w:t>
            </w:r>
            <w:r w:rsidR="0012408D">
              <w:rPr>
                <w:noProof/>
                <w:webHidden/>
              </w:rPr>
              <w:tab/>
            </w:r>
            <w:r w:rsidR="0012408D">
              <w:rPr>
                <w:noProof/>
                <w:webHidden/>
              </w:rPr>
              <w:fldChar w:fldCharType="begin"/>
            </w:r>
            <w:r w:rsidR="0012408D">
              <w:rPr>
                <w:noProof/>
                <w:webHidden/>
              </w:rPr>
              <w:instrText xml:space="preserve"> PAGEREF _Toc4156129 \h </w:instrText>
            </w:r>
            <w:r w:rsidR="0012408D">
              <w:rPr>
                <w:noProof/>
                <w:webHidden/>
              </w:rPr>
            </w:r>
            <w:r w:rsidR="0012408D">
              <w:rPr>
                <w:noProof/>
                <w:webHidden/>
              </w:rPr>
              <w:fldChar w:fldCharType="separate"/>
            </w:r>
            <w:r w:rsidR="0012408D">
              <w:rPr>
                <w:noProof/>
                <w:webHidden/>
              </w:rPr>
              <w:t>139</w:t>
            </w:r>
            <w:r w:rsidR="0012408D">
              <w:rPr>
                <w:noProof/>
                <w:webHidden/>
              </w:rPr>
              <w:fldChar w:fldCharType="end"/>
            </w:r>
          </w:hyperlink>
        </w:p>
        <w:p w14:paraId="34F4AD52" w14:textId="7DF8A60F" w:rsidR="0012408D" w:rsidRDefault="00DF5A17">
          <w:pPr>
            <w:pStyle w:val="TOC3"/>
            <w:rPr>
              <w:rFonts w:asciiTheme="minorHAnsi" w:eastAsiaTheme="minorEastAsia" w:hAnsiTheme="minorHAnsi" w:cstheme="minorBidi"/>
              <w:i w:val="0"/>
              <w:iCs w:val="0"/>
              <w:noProof/>
              <w:sz w:val="22"/>
              <w:szCs w:val="22"/>
              <w:lang w:eastAsia="hr-HR"/>
            </w:rPr>
          </w:pPr>
          <w:hyperlink w:anchor="_Toc4156130" w:history="1">
            <w:r w:rsidR="0012408D" w:rsidRPr="00063C24">
              <w:rPr>
                <w:rStyle w:val="Hyperlink"/>
                <w:noProof/>
                <w14:scene3d>
                  <w14:camera w14:prst="orthographicFront"/>
                  <w14:lightRig w14:rig="threePt" w14:dir="t">
                    <w14:rot w14:lat="0" w14:lon="0" w14:rev="0"/>
                  </w14:lightRig>
                </w14:scene3d>
              </w:rPr>
              <w:t>10.1.6</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Europska banka za obnovu i razvoj (EBRD)</w:t>
            </w:r>
            <w:r w:rsidR="0012408D">
              <w:rPr>
                <w:noProof/>
                <w:webHidden/>
              </w:rPr>
              <w:tab/>
            </w:r>
            <w:r w:rsidR="0012408D">
              <w:rPr>
                <w:noProof/>
                <w:webHidden/>
              </w:rPr>
              <w:fldChar w:fldCharType="begin"/>
            </w:r>
            <w:r w:rsidR="0012408D">
              <w:rPr>
                <w:noProof/>
                <w:webHidden/>
              </w:rPr>
              <w:instrText xml:space="preserve"> PAGEREF _Toc4156130 \h </w:instrText>
            </w:r>
            <w:r w:rsidR="0012408D">
              <w:rPr>
                <w:noProof/>
                <w:webHidden/>
              </w:rPr>
            </w:r>
            <w:r w:rsidR="0012408D">
              <w:rPr>
                <w:noProof/>
                <w:webHidden/>
              </w:rPr>
              <w:fldChar w:fldCharType="separate"/>
            </w:r>
            <w:r w:rsidR="0012408D">
              <w:rPr>
                <w:noProof/>
                <w:webHidden/>
              </w:rPr>
              <w:t>140</w:t>
            </w:r>
            <w:r w:rsidR="0012408D">
              <w:rPr>
                <w:noProof/>
                <w:webHidden/>
              </w:rPr>
              <w:fldChar w:fldCharType="end"/>
            </w:r>
          </w:hyperlink>
        </w:p>
        <w:p w14:paraId="29A9F37D" w14:textId="17E95EC2" w:rsidR="0012408D" w:rsidRDefault="00DF5A17">
          <w:pPr>
            <w:pStyle w:val="TOC3"/>
            <w:rPr>
              <w:rFonts w:asciiTheme="minorHAnsi" w:eastAsiaTheme="minorEastAsia" w:hAnsiTheme="minorHAnsi" w:cstheme="minorBidi"/>
              <w:i w:val="0"/>
              <w:iCs w:val="0"/>
              <w:noProof/>
              <w:sz w:val="22"/>
              <w:szCs w:val="22"/>
              <w:lang w:eastAsia="hr-HR"/>
            </w:rPr>
          </w:pPr>
          <w:hyperlink w:anchor="_Toc4156131" w:history="1">
            <w:r w:rsidR="0012408D" w:rsidRPr="00063C24">
              <w:rPr>
                <w:rStyle w:val="Hyperlink"/>
                <w:noProof/>
                <w14:scene3d>
                  <w14:camera w14:prst="orthographicFront"/>
                  <w14:lightRig w14:rig="threePt" w14:dir="t">
                    <w14:rot w14:lat="0" w14:lon="0" w14:rev="0"/>
                  </w14:lightRig>
                </w14:scene3d>
              </w:rPr>
              <w:t>10.1.7</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Europski fond za energetsku učinkovitost (EEEF)</w:t>
            </w:r>
            <w:r w:rsidR="0012408D">
              <w:rPr>
                <w:noProof/>
                <w:webHidden/>
              </w:rPr>
              <w:tab/>
            </w:r>
            <w:r w:rsidR="0012408D">
              <w:rPr>
                <w:noProof/>
                <w:webHidden/>
              </w:rPr>
              <w:fldChar w:fldCharType="begin"/>
            </w:r>
            <w:r w:rsidR="0012408D">
              <w:rPr>
                <w:noProof/>
                <w:webHidden/>
              </w:rPr>
              <w:instrText xml:space="preserve"> PAGEREF _Toc4156131 \h </w:instrText>
            </w:r>
            <w:r w:rsidR="0012408D">
              <w:rPr>
                <w:noProof/>
                <w:webHidden/>
              </w:rPr>
            </w:r>
            <w:r w:rsidR="0012408D">
              <w:rPr>
                <w:noProof/>
                <w:webHidden/>
              </w:rPr>
              <w:fldChar w:fldCharType="separate"/>
            </w:r>
            <w:r w:rsidR="0012408D">
              <w:rPr>
                <w:noProof/>
                <w:webHidden/>
              </w:rPr>
              <w:t>140</w:t>
            </w:r>
            <w:r w:rsidR="0012408D">
              <w:rPr>
                <w:noProof/>
                <w:webHidden/>
              </w:rPr>
              <w:fldChar w:fldCharType="end"/>
            </w:r>
          </w:hyperlink>
        </w:p>
        <w:p w14:paraId="77EECDEF" w14:textId="0C59D502" w:rsidR="0012408D" w:rsidRDefault="00DF5A17">
          <w:pPr>
            <w:pStyle w:val="TOC3"/>
            <w:rPr>
              <w:rFonts w:asciiTheme="minorHAnsi" w:eastAsiaTheme="minorEastAsia" w:hAnsiTheme="minorHAnsi" w:cstheme="minorBidi"/>
              <w:i w:val="0"/>
              <w:iCs w:val="0"/>
              <w:noProof/>
              <w:sz w:val="22"/>
              <w:szCs w:val="22"/>
              <w:lang w:eastAsia="hr-HR"/>
            </w:rPr>
          </w:pPr>
          <w:hyperlink w:anchor="_Toc4156132" w:history="1">
            <w:r w:rsidR="0012408D" w:rsidRPr="00063C24">
              <w:rPr>
                <w:rStyle w:val="Hyperlink"/>
                <w:noProof/>
                <w14:scene3d>
                  <w14:camera w14:prst="orthographicFront"/>
                  <w14:lightRig w14:rig="threePt" w14:dir="t">
                    <w14:rot w14:lat="0" w14:lon="0" w14:rev="0"/>
                  </w14:lightRig>
                </w14:scene3d>
              </w:rPr>
              <w:t>10.1.8</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Program financijske podrške projektima obnovljive energije za Zapadni Balkan II (WeBSEFF II)</w:t>
            </w:r>
            <w:r w:rsidR="0012408D">
              <w:rPr>
                <w:noProof/>
                <w:webHidden/>
              </w:rPr>
              <w:tab/>
            </w:r>
            <w:r w:rsidR="0012408D">
              <w:rPr>
                <w:noProof/>
                <w:webHidden/>
              </w:rPr>
              <w:fldChar w:fldCharType="begin"/>
            </w:r>
            <w:r w:rsidR="0012408D">
              <w:rPr>
                <w:noProof/>
                <w:webHidden/>
              </w:rPr>
              <w:instrText xml:space="preserve"> PAGEREF _Toc4156132 \h </w:instrText>
            </w:r>
            <w:r w:rsidR="0012408D">
              <w:rPr>
                <w:noProof/>
                <w:webHidden/>
              </w:rPr>
            </w:r>
            <w:r w:rsidR="0012408D">
              <w:rPr>
                <w:noProof/>
                <w:webHidden/>
              </w:rPr>
              <w:fldChar w:fldCharType="separate"/>
            </w:r>
            <w:r w:rsidR="0012408D">
              <w:rPr>
                <w:noProof/>
                <w:webHidden/>
              </w:rPr>
              <w:t>141</w:t>
            </w:r>
            <w:r w:rsidR="0012408D">
              <w:rPr>
                <w:noProof/>
                <w:webHidden/>
              </w:rPr>
              <w:fldChar w:fldCharType="end"/>
            </w:r>
          </w:hyperlink>
        </w:p>
        <w:p w14:paraId="1F5F4DA0" w14:textId="2728BBBC" w:rsidR="0012408D" w:rsidRDefault="00DF5A17">
          <w:pPr>
            <w:pStyle w:val="TOC3"/>
            <w:rPr>
              <w:rFonts w:asciiTheme="minorHAnsi" w:eastAsiaTheme="minorEastAsia" w:hAnsiTheme="minorHAnsi" w:cstheme="minorBidi"/>
              <w:i w:val="0"/>
              <w:iCs w:val="0"/>
              <w:noProof/>
              <w:sz w:val="22"/>
              <w:szCs w:val="22"/>
              <w:lang w:eastAsia="hr-HR"/>
            </w:rPr>
          </w:pPr>
          <w:hyperlink w:anchor="_Toc4156133" w:history="1">
            <w:r w:rsidR="0012408D" w:rsidRPr="00063C24">
              <w:rPr>
                <w:rStyle w:val="Hyperlink"/>
                <w:noProof/>
                <w14:scene3d>
                  <w14:camera w14:prst="orthographicFront"/>
                  <w14:lightRig w14:rig="threePt" w14:dir="t">
                    <w14:rot w14:lat="0" w14:lon="0" w14:rev="0"/>
                  </w14:lightRig>
                </w14:scene3d>
              </w:rPr>
              <w:t>10.1.9</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Programi i posebni instrumenti potpore Europske unije</w:t>
            </w:r>
            <w:r w:rsidR="0012408D">
              <w:rPr>
                <w:noProof/>
                <w:webHidden/>
              </w:rPr>
              <w:tab/>
            </w:r>
            <w:r w:rsidR="0012408D">
              <w:rPr>
                <w:noProof/>
                <w:webHidden/>
              </w:rPr>
              <w:fldChar w:fldCharType="begin"/>
            </w:r>
            <w:r w:rsidR="0012408D">
              <w:rPr>
                <w:noProof/>
                <w:webHidden/>
              </w:rPr>
              <w:instrText xml:space="preserve"> PAGEREF _Toc4156133 \h </w:instrText>
            </w:r>
            <w:r w:rsidR="0012408D">
              <w:rPr>
                <w:noProof/>
                <w:webHidden/>
              </w:rPr>
            </w:r>
            <w:r w:rsidR="0012408D">
              <w:rPr>
                <w:noProof/>
                <w:webHidden/>
              </w:rPr>
              <w:fldChar w:fldCharType="separate"/>
            </w:r>
            <w:r w:rsidR="0012408D">
              <w:rPr>
                <w:noProof/>
                <w:webHidden/>
              </w:rPr>
              <w:t>141</w:t>
            </w:r>
            <w:r w:rsidR="0012408D">
              <w:rPr>
                <w:noProof/>
                <w:webHidden/>
              </w:rPr>
              <w:fldChar w:fldCharType="end"/>
            </w:r>
          </w:hyperlink>
        </w:p>
        <w:p w14:paraId="2631BA16" w14:textId="0A0DB1A6" w:rsidR="0012408D" w:rsidRDefault="00DF5A17">
          <w:pPr>
            <w:pStyle w:val="TOC3"/>
            <w:rPr>
              <w:rFonts w:asciiTheme="minorHAnsi" w:eastAsiaTheme="minorEastAsia" w:hAnsiTheme="minorHAnsi" w:cstheme="minorBidi"/>
              <w:i w:val="0"/>
              <w:iCs w:val="0"/>
              <w:noProof/>
              <w:sz w:val="22"/>
              <w:szCs w:val="22"/>
              <w:lang w:eastAsia="hr-HR"/>
            </w:rPr>
          </w:pPr>
          <w:hyperlink w:anchor="_Toc4156134" w:history="1">
            <w:r w:rsidR="0012408D" w:rsidRPr="00063C24">
              <w:rPr>
                <w:rStyle w:val="Hyperlink"/>
                <w:noProof/>
                <w14:scene3d>
                  <w14:camera w14:prst="orthographicFront"/>
                  <w14:lightRig w14:rig="threePt" w14:dir="t">
                    <w14:rot w14:lat="0" w14:lon="0" w14:rev="0"/>
                  </w14:lightRig>
                </w14:scene3d>
              </w:rPr>
              <w:t>10.1.10</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European Economic Area (EEA) and Norway Grants (hrv. Darovnice članica Europske Ekonomske Zone i Norveške)</w:t>
            </w:r>
            <w:r w:rsidR="0012408D">
              <w:rPr>
                <w:noProof/>
                <w:webHidden/>
              </w:rPr>
              <w:tab/>
            </w:r>
            <w:r w:rsidR="0012408D">
              <w:rPr>
                <w:noProof/>
                <w:webHidden/>
              </w:rPr>
              <w:fldChar w:fldCharType="begin"/>
            </w:r>
            <w:r w:rsidR="0012408D">
              <w:rPr>
                <w:noProof/>
                <w:webHidden/>
              </w:rPr>
              <w:instrText xml:space="preserve"> PAGEREF _Toc4156134 \h </w:instrText>
            </w:r>
            <w:r w:rsidR="0012408D">
              <w:rPr>
                <w:noProof/>
                <w:webHidden/>
              </w:rPr>
            </w:r>
            <w:r w:rsidR="0012408D">
              <w:rPr>
                <w:noProof/>
                <w:webHidden/>
              </w:rPr>
              <w:fldChar w:fldCharType="separate"/>
            </w:r>
            <w:r w:rsidR="0012408D">
              <w:rPr>
                <w:noProof/>
                <w:webHidden/>
              </w:rPr>
              <w:t>144</w:t>
            </w:r>
            <w:r w:rsidR="0012408D">
              <w:rPr>
                <w:noProof/>
                <w:webHidden/>
              </w:rPr>
              <w:fldChar w:fldCharType="end"/>
            </w:r>
          </w:hyperlink>
        </w:p>
        <w:p w14:paraId="5CBC91FE" w14:textId="167E834F" w:rsidR="0012408D" w:rsidRDefault="00DF5A17">
          <w:pPr>
            <w:pStyle w:val="TOC3"/>
            <w:rPr>
              <w:rFonts w:asciiTheme="minorHAnsi" w:eastAsiaTheme="minorEastAsia" w:hAnsiTheme="minorHAnsi" w:cstheme="minorBidi"/>
              <w:i w:val="0"/>
              <w:iCs w:val="0"/>
              <w:noProof/>
              <w:sz w:val="22"/>
              <w:szCs w:val="22"/>
              <w:lang w:eastAsia="hr-HR"/>
            </w:rPr>
          </w:pPr>
          <w:hyperlink w:anchor="_Toc4156135" w:history="1">
            <w:r w:rsidR="0012408D" w:rsidRPr="00063C24">
              <w:rPr>
                <w:rStyle w:val="Hyperlink"/>
                <w:noProof/>
                <w14:scene3d>
                  <w14:camera w14:prst="orthographicFront"/>
                  <w14:lightRig w14:rig="threePt" w14:dir="t">
                    <w14:rot w14:lat="0" w14:lon="0" w14:rev="0"/>
                  </w14:lightRig>
                </w14:scene3d>
              </w:rPr>
              <w:t>10.1.11</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ESCO model</w:t>
            </w:r>
            <w:r w:rsidR="0012408D">
              <w:rPr>
                <w:noProof/>
                <w:webHidden/>
              </w:rPr>
              <w:tab/>
            </w:r>
            <w:r w:rsidR="0012408D">
              <w:rPr>
                <w:noProof/>
                <w:webHidden/>
              </w:rPr>
              <w:fldChar w:fldCharType="begin"/>
            </w:r>
            <w:r w:rsidR="0012408D">
              <w:rPr>
                <w:noProof/>
                <w:webHidden/>
              </w:rPr>
              <w:instrText xml:space="preserve"> PAGEREF _Toc4156135 \h </w:instrText>
            </w:r>
            <w:r w:rsidR="0012408D">
              <w:rPr>
                <w:noProof/>
                <w:webHidden/>
              </w:rPr>
            </w:r>
            <w:r w:rsidR="0012408D">
              <w:rPr>
                <w:noProof/>
                <w:webHidden/>
              </w:rPr>
              <w:fldChar w:fldCharType="separate"/>
            </w:r>
            <w:r w:rsidR="0012408D">
              <w:rPr>
                <w:noProof/>
                <w:webHidden/>
              </w:rPr>
              <w:t>144</w:t>
            </w:r>
            <w:r w:rsidR="0012408D">
              <w:rPr>
                <w:noProof/>
                <w:webHidden/>
              </w:rPr>
              <w:fldChar w:fldCharType="end"/>
            </w:r>
          </w:hyperlink>
        </w:p>
        <w:p w14:paraId="4939995C" w14:textId="5D984B94" w:rsidR="0012408D" w:rsidRDefault="00DF5A17">
          <w:pPr>
            <w:pStyle w:val="TOC3"/>
            <w:rPr>
              <w:rFonts w:asciiTheme="minorHAnsi" w:eastAsiaTheme="minorEastAsia" w:hAnsiTheme="minorHAnsi" w:cstheme="minorBidi"/>
              <w:i w:val="0"/>
              <w:iCs w:val="0"/>
              <w:noProof/>
              <w:sz w:val="22"/>
              <w:szCs w:val="22"/>
              <w:lang w:eastAsia="hr-HR"/>
            </w:rPr>
          </w:pPr>
          <w:hyperlink w:anchor="_Toc4156136" w:history="1">
            <w:r w:rsidR="0012408D" w:rsidRPr="00063C24">
              <w:rPr>
                <w:rStyle w:val="Hyperlink"/>
                <w:noProof/>
                <w14:scene3d>
                  <w14:camera w14:prst="orthographicFront"/>
                  <w14:lightRig w14:rig="threePt" w14:dir="t">
                    <w14:rot w14:lat="0" w14:lon="0" w14:rev="0"/>
                  </w14:lightRig>
                </w14:scene3d>
              </w:rPr>
              <w:t>10.1.12</w:t>
            </w:r>
            <w:r w:rsidR="0012408D">
              <w:rPr>
                <w:rFonts w:asciiTheme="minorHAnsi" w:eastAsiaTheme="minorEastAsia" w:hAnsiTheme="minorHAnsi" w:cstheme="minorBidi"/>
                <w:i w:val="0"/>
                <w:iCs w:val="0"/>
                <w:noProof/>
                <w:sz w:val="22"/>
                <w:szCs w:val="22"/>
                <w:lang w:eastAsia="hr-HR"/>
              </w:rPr>
              <w:tab/>
            </w:r>
            <w:r w:rsidR="0012408D" w:rsidRPr="00063C24">
              <w:rPr>
                <w:rStyle w:val="Hyperlink"/>
                <w:noProof/>
              </w:rPr>
              <w:t>Javno-privatno partnerstvo</w:t>
            </w:r>
            <w:r w:rsidR="0012408D">
              <w:rPr>
                <w:noProof/>
                <w:webHidden/>
              </w:rPr>
              <w:tab/>
            </w:r>
            <w:r w:rsidR="0012408D">
              <w:rPr>
                <w:noProof/>
                <w:webHidden/>
              </w:rPr>
              <w:fldChar w:fldCharType="begin"/>
            </w:r>
            <w:r w:rsidR="0012408D">
              <w:rPr>
                <w:noProof/>
                <w:webHidden/>
              </w:rPr>
              <w:instrText xml:space="preserve"> PAGEREF _Toc4156136 \h </w:instrText>
            </w:r>
            <w:r w:rsidR="0012408D">
              <w:rPr>
                <w:noProof/>
                <w:webHidden/>
              </w:rPr>
            </w:r>
            <w:r w:rsidR="0012408D">
              <w:rPr>
                <w:noProof/>
                <w:webHidden/>
              </w:rPr>
              <w:fldChar w:fldCharType="separate"/>
            </w:r>
            <w:r w:rsidR="0012408D">
              <w:rPr>
                <w:noProof/>
                <w:webHidden/>
              </w:rPr>
              <w:t>145</w:t>
            </w:r>
            <w:r w:rsidR="0012408D">
              <w:rPr>
                <w:noProof/>
                <w:webHidden/>
              </w:rPr>
              <w:fldChar w:fldCharType="end"/>
            </w:r>
          </w:hyperlink>
        </w:p>
        <w:p w14:paraId="41BD4154" w14:textId="43228913" w:rsidR="0012408D" w:rsidRDefault="00DF5A17">
          <w:pPr>
            <w:pStyle w:val="TOC1"/>
            <w:rPr>
              <w:rFonts w:asciiTheme="minorHAnsi" w:eastAsiaTheme="minorEastAsia" w:hAnsiTheme="minorHAnsi" w:cstheme="minorBidi"/>
              <w:b w:val="0"/>
              <w:bCs w:val="0"/>
              <w:caps w:val="0"/>
              <w:szCs w:val="22"/>
              <w:lang w:eastAsia="hr-HR"/>
            </w:rPr>
          </w:pPr>
          <w:hyperlink w:anchor="_Toc4156137" w:history="1">
            <w:r w:rsidR="0012408D" w:rsidRPr="00063C24">
              <w:rPr>
                <w:rStyle w:val="Hyperlink"/>
              </w:rPr>
              <w:t>11.</w:t>
            </w:r>
            <w:r w:rsidR="0012408D">
              <w:rPr>
                <w:rFonts w:asciiTheme="minorHAnsi" w:eastAsiaTheme="minorEastAsia" w:hAnsiTheme="minorHAnsi" w:cstheme="minorBidi"/>
                <w:b w:val="0"/>
                <w:bCs w:val="0"/>
                <w:caps w:val="0"/>
                <w:szCs w:val="22"/>
                <w:lang w:eastAsia="hr-HR"/>
              </w:rPr>
              <w:tab/>
            </w:r>
            <w:r w:rsidR="0012408D" w:rsidRPr="00063C24">
              <w:rPr>
                <w:rStyle w:val="Hyperlink"/>
              </w:rPr>
              <w:t>ZAKLJUČCI I PREPORUKE</w:t>
            </w:r>
            <w:r w:rsidR="0012408D">
              <w:rPr>
                <w:webHidden/>
              </w:rPr>
              <w:tab/>
            </w:r>
            <w:r w:rsidR="0012408D">
              <w:rPr>
                <w:webHidden/>
              </w:rPr>
              <w:fldChar w:fldCharType="begin"/>
            </w:r>
            <w:r w:rsidR="0012408D">
              <w:rPr>
                <w:webHidden/>
              </w:rPr>
              <w:instrText xml:space="preserve"> PAGEREF _Toc4156137 \h </w:instrText>
            </w:r>
            <w:r w:rsidR="0012408D">
              <w:rPr>
                <w:webHidden/>
              </w:rPr>
            </w:r>
            <w:r w:rsidR="0012408D">
              <w:rPr>
                <w:webHidden/>
              </w:rPr>
              <w:fldChar w:fldCharType="separate"/>
            </w:r>
            <w:r w:rsidR="0012408D">
              <w:rPr>
                <w:webHidden/>
              </w:rPr>
              <w:t>147</w:t>
            </w:r>
            <w:r w:rsidR="0012408D">
              <w:rPr>
                <w:webHidden/>
              </w:rPr>
              <w:fldChar w:fldCharType="end"/>
            </w:r>
          </w:hyperlink>
        </w:p>
        <w:p w14:paraId="1480045E" w14:textId="4A48A7B4" w:rsidR="0012408D" w:rsidRDefault="00DF5A17">
          <w:pPr>
            <w:pStyle w:val="TOC1"/>
            <w:rPr>
              <w:rFonts w:asciiTheme="minorHAnsi" w:eastAsiaTheme="minorEastAsia" w:hAnsiTheme="minorHAnsi" w:cstheme="minorBidi"/>
              <w:b w:val="0"/>
              <w:bCs w:val="0"/>
              <w:caps w:val="0"/>
              <w:szCs w:val="22"/>
              <w:lang w:eastAsia="hr-HR"/>
            </w:rPr>
          </w:pPr>
          <w:hyperlink w:anchor="_Toc4156138" w:history="1">
            <w:r w:rsidR="0012408D" w:rsidRPr="00063C24">
              <w:rPr>
                <w:rStyle w:val="Hyperlink"/>
              </w:rPr>
              <w:t>12.</w:t>
            </w:r>
            <w:r w:rsidR="0012408D">
              <w:rPr>
                <w:rFonts w:asciiTheme="minorHAnsi" w:eastAsiaTheme="minorEastAsia" w:hAnsiTheme="minorHAnsi" w:cstheme="minorBidi"/>
                <w:b w:val="0"/>
                <w:bCs w:val="0"/>
                <w:caps w:val="0"/>
                <w:szCs w:val="22"/>
                <w:lang w:eastAsia="hr-HR"/>
              </w:rPr>
              <w:tab/>
            </w:r>
            <w:r w:rsidR="0012408D" w:rsidRPr="00063C24">
              <w:rPr>
                <w:rStyle w:val="Hyperlink"/>
              </w:rPr>
              <w:t>POPIS TABLICA</w:t>
            </w:r>
            <w:r w:rsidR="0012408D">
              <w:rPr>
                <w:webHidden/>
              </w:rPr>
              <w:tab/>
            </w:r>
            <w:r w:rsidR="0012408D">
              <w:rPr>
                <w:webHidden/>
              </w:rPr>
              <w:fldChar w:fldCharType="begin"/>
            </w:r>
            <w:r w:rsidR="0012408D">
              <w:rPr>
                <w:webHidden/>
              </w:rPr>
              <w:instrText xml:space="preserve"> PAGEREF _Toc4156138 \h </w:instrText>
            </w:r>
            <w:r w:rsidR="0012408D">
              <w:rPr>
                <w:webHidden/>
              </w:rPr>
            </w:r>
            <w:r w:rsidR="0012408D">
              <w:rPr>
                <w:webHidden/>
              </w:rPr>
              <w:fldChar w:fldCharType="separate"/>
            </w:r>
            <w:r w:rsidR="0012408D">
              <w:rPr>
                <w:webHidden/>
              </w:rPr>
              <w:t>149</w:t>
            </w:r>
            <w:r w:rsidR="0012408D">
              <w:rPr>
                <w:webHidden/>
              </w:rPr>
              <w:fldChar w:fldCharType="end"/>
            </w:r>
          </w:hyperlink>
        </w:p>
        <w:p w14:paraId="0E343D41" w14:textId="43572EE7" w:rsidR="0012408D" w:rsidRDefault="00DF5A17">
          <w:pPr>
            <w:pStyle w:val="TOC1"/>
            <w:rPr>
              <w:rFonts w:asciiTheme="minorHAnsi" w:eastAsiaTheme="minorEastAsia" w:hAnsiTheme="minorHAnsi" w:cstheme="minorBidi"/>
              <w:b w:val="0"/>
              <w:bCs w:val="0"/>
              <w:caps w:val="0"/>
              <w:szCs w:val="22"/>
              <w:lang w:eastAsia="hr-HR"/>
            </w:rPr>
          </w:pPr>
          <w:hyperlink w:anchor="_Toc4156139" w:history="1">
            <w:r w:rsidR="0012408D" w:rsidRPr="00063C24">
              <w:rPr>
                <w:rStyle w:val="Hyperlink"/>
              </w:rPr>
              <w:t>13.</w:t>
            </w:r>
            <w:r w:rsidR="0012408D">
              <w:rPr>
                <w:rFonts w:asciiTheme="minorHAnsi" w:eastAsiaTheme="minorEastAsia" w:hAnsiTheme="minorHAnsi" w:cstheme="minorBidi"/>
                <w:b w:val="0"/>
                <w:bCs w:val="0"/>
                <w:caps w:val="0"/>
                <w:szCs w:val="22"/>
                <w:lang w:eastAsia="hr-HR"/>
              </w:rPr>
              <w:tab/>
            </w:r>
            <w:r w:rsidR="0012408D" w:rsidRPr="00063C24">
              <w:rPr>
                <w:rStyle w:val="Hyperlink"/>
              </w:rPr>
              <w:t>POPIS SLIKA</w:t>
            </w:r>
            <w:r w:rsidR="0012408D">
              <w:rPr>
                <w:webHidden/>
              </w:rPr>
              <w:tab/>
            </w:r>
            <w:r w:rsidR="0012408D">
              <w:rPr>
                <w:webHidden/>
              </w:rPr>
              <w:fldChar w:fldCharType="begin"/>
            </w:r>
            <w:r w:rsidR="0012408D">
              <w:rPr>
                <w:webHidden/>
              </w:rPr>
              <w:instrText xml:space="preserve"> PAGEREF _Toc4156139 \h </w:instrText>
            </w:r>
            <w:r w:rsidR="0012408D">
              <w:rPr>
                <w:webHidden/>
              </w:rPr>
            </w:r>
            <w:r w:rsidR="0012408D">
              <w:rPr>
                <w:webHidden/>
              </w:rPr>
              <w:fldChar w:fldCharType="separate"/>
            </w:r>
            <w:r w:rsidR="0012408D">
              <w:rPr>
                <w:webHidden/>
              </w:rPr>
              <w:t>150</w:t>
            </w:r>
            <w:r w:rsidR="0012408D">
              <w:rPr>
                <w:webHidden/>
              </w:rPr>
              <w:fldChar w:fldCharType="end"/>
            </w:r>
          </w:hyperlink>
        </w:p>
        <w:p w14:paraId="051E9573" w14:textId="2306A29E" w:rsidR="0012408D" w:rsidRDefault="00DF5A17">
          <w:pPr>
            <w:pStyle w:val="TOC1"/>
            <w:rPr>
              <w:rFonts w:asciiTheme="minorHAnsi" w:eastAsiaTheme="minorEastAsia" w:hAnsiTheme="minorHAnsi" w:cstheme="minorBidi"/>
              <w:b w:val="0"/>
              <w:bCs w:val="0"/>
              <w:caps w:val="0"/>
              <w:szCs w:val="22"/>
              <w:lang w:eastAsia="hr-HR"/>
            </w:rPr>
          </w:pPr>
          <w:hyperlink w:anchor="_Toc4156140" w:history="1">
            <w:r w:rsidR="0012408D" w:rsidRPr="00063C24">
              <w:rPr>
                <w:rStyle w:val="Hyperlink"/>
              </w:rPr>
              <w:t>15.</w:t>
            </w:r>
            <w:r w:rsidR="0012408D">
              <w:rPr>
                <w:rFonts w:asciiTheme="minorHAnsi" w:eastAsiaTheme="minorEastAsia" w:hAnsiTheme="minorHAnsi" w:cstheme="minorBidi"/>
                <w:b w:val="0"/>
                <w:bCs w:val="0"/>
                <w:caps w:val="0"/>
                <w:szCs w:val="22"/>
                <w:lang w:eastAsia="hr-HR"/>
              </w:rPr>
              <w:tab/>
            </w:r>
            <w:r w:rsidR="0012408D" w:rsidRPr="00063C24">
              <w:rPr>
                <w:rStyle w:val="Hyperlink"/>
              </w:rPr>
              <w:t>POPIS PRILOGA</w:t>
            </w:r>
            <w:r w:rsidR="0012408D">
              <w:rPr>
                <w:webHidden/>
              </w:rPr>
              <w:tab/>
            </w:r>
            <w:r w:rsidR="0012408D">
              <w:rPr>
                <w:webHidden/>
              </w:rPr>
              <w:fldChar w:fldCharType="begin"/>
            </w:r>
            <w:r w:rsidR="0012408D">
              <w:rPr>
                <w:webHidden/>
              </w:rPr>
              <w:instrText xml:space="preserve"> PAGEREF _Toc4156140 \h </w:instrText>
            </w:r>
            <w:r w:rsidR="0012408D">
              <w:rPr>
                <w:webHidden/>
              </w:rPr>
            </w:r>
            <w:r w:rsidR="0012408D">
              <w:rPr>
                <w:webHidden/>
              </w:rPr>
              <w:fldChar w:fldCharType="separate"/>
            </w:r>
            <w:r w:rsidR="0012408D">
              <w:rPr>
                <w:webHidden/>
              </w:rPr>
              <w:t>151</w:t>
            </w:r>
            <w:r w:rsidR="0012408D">
              <w:rPr>
                <w:webHidden/>
              </w:rPr>
              <w:fldChar w:fldCharType="end"/>
            </w:r>
          </w:hyperlink>
        </w:p>
        <w:p w14:paraId="0A6FAA5E" w14:textId="1B43F359" w:rsidR="0092661D" w:rsidRDefault="0092661D">
          <w:r>
            <w:rPr>
              <w:b/>
              <w:bCs/>
              <w:noProof/>
            </w:rPr>
            <w:fldChar w:fldCharType="end"/>
          </w:r>
        </w:p>
      </w:sdtContent>
    </w:sdt>
    <w:p w14:paraId="30E2370E" w14:textId="77777777" w:rsidR="0092661D" w:rsidRDefault="0092661D" w:rsidP="00975CD4">
      <w:pPr>
        <w:rPr>
          <w:rFonts w:cstheme="minorHAnsi"/>
        </w:rPr>
      </w:pPr>
    </w:p>
    <w:p w14:paraId="0B04C223" w14:textId="651BA671" w:rsidR="00F5048A" w:rsidRPr="00922031" w:rsidRDefault="00F5048A" w:rsidP="00975CD4">
      <w:pPr>
        <w:rPr>
          <w:rFonts w:cstheme="minorHAnsi"/>
        </w:rPr>
      </w:pPr>
      <w:r w:rsidRPr="00922031">
        <w:rPr>
          <w:rFonts w:cstheme="minorHAnsi"/>
        </w:rPr>
        <w:br w:type="page"/>
      </w:r>
    </w:p>
    <w:p w14:paraId="50987CAD" w14:textId="60CBCD9F" w:rsidR="00F5048A" w:rsidRPr="00922031" w:rsidRDefault="00F5048A" w:rsidP="00C678AC">
      <w:pPr>
        <w:pStyle w:val="Heading1"/>
      </w:pPr>
      <w:bookmarkStart w:id="13" w:name="_Toc4156057"/>
      <w:r w:rsidRPr="00922031">
        <w:lastRenderedPageBreak/>
        <w:t>S</w:t>
      </w:r>
      <w:r w:rsidR="00EA7864">
        <w:t>AŽETAK</w:t>
      </w:r>
      <w:bookmarkEnd w:id="13"/>
    </w:p>
    <w:p w14:paraId="04F3C906" w14:textId="77777777" w:rsidR="00DE62D9" w:rsidRPr="00922031" w:rsidRDefault="00DE62D9" w:rsidP="00975CD4">
      <w:pPr>
        <w:rPr>
          <w:rFonts w:cstheme="minorHAnsi"/>
        </w:rPr>
      </w:pPr>
    </w:p>
    <w:p w14:paraId="1B594111" w14:textId="7498E0CB" w:rsidR="00523A61" w:rsidRPr="00922031" w:rsidRDefault="00523A61">
      <w:r w:rsidRPr="00315275">
        <w:t xml:space="preserve">Globalna promjena klime postala je jedan od najvećih izazova današnjice, a znanstvena istraživanja su pokazala da je glavni uzrok </w:t>
      </w:r>
      <w:r w:rsidRPr="00291DF5">
        <w:t>povećana emisija stakleničkih plinova koja je uzrokovana izgaranjem fosilnih goriva, zbog poljoprivrede</w:t>
      </w:r>
      <w:r w:rsidR="000509A0">
        <w:t xml:space="preserve"> i </w:t>
      </w:r>
      <w:r w:rsidRPr="00291DF5">
        <w:t>sječe tropskih šu</w:t>
      </w:r>
      <w:r w:rsidRPr="005808FC">
        <w:t>ma. Utjecaj klimatskih promjena na određeni sektor</w:t>
      </w:r>
      <w:r w:rsidR="000509A0">
        <w:t xml:space="preserve"> i </w:t>
      </w:r>
      <w:r w:rsidRPr="00291DF5">
        <w:t>njegova ranjivost mogu biti slični u više slučajeva ili na više različitih lokacija, no nažalost ne postoje generalne smjernice prilagodbe. Svaki je slučaj poseban</w:t>
      </w:r>
      <w:r w:rsidR="000509A0">
        <w:t xml:space="preserve"> i </w:t>
      </w:r>
      <w:r w:rsidRPr="00291DF5">
        <w:t>svakom slučaju treba dati indiv</w:t>
      </w:r>
      <w:r w:rsidRPr="005808FC">
        <w:t>idualno rješenje - klimatske promjene utječu globalno, ali su mjere prilagodbe klimatskim promjenama svakako lokalne.</w:t>
      </w:r>
    </w:p>
    <w:p w14:paraId="4A21F5E7" w14:textId="45C6BB4F" w:rsidR="00523A61" w:rsidRPr="00922031" w:rsidRDefault="00523A61">
      <w:r w:rsidRPr="00315275">
        <w:t>Posljedice klimatskih promjena na društvo</w:t>
      </w:r>
      <w:r w:rsidR="000509A0">
        <w:t xml:space="preserve"> i </w:t>
      </w:r>
      <w:r w:rsidRPr="00315275">
        <w:t>društvene procese jesu različite, ali u konačnici sve rezultiraju povećanjem ranjivosti. Borba protiv klimatskih promjena je moguća na dva načina;</w:t>
      </w:r>
      <w:r w:rsidR="000509A0">
        <w:t xml:space="preserve"> i </w:t>
      </w:r>
      <w:r w:rsidRPr="00315275">
        <w:t>to, djelovanje na uzroke klimatskih promjena (ublažavanje klimatskih promjena) ili r</w:t>
      </w:r>
      <w:r w:rsidRPr="00291DF5">
        <w:t>ješavanje</w:t>
      </w:r>
      <w:r w:rsidR="000509A0">
        <w:t xml:space="preserve"> i </w:t>
      </w:r>
      <w:r w:rsidRPr="00291DF5">
        <w:t>djelovanje na posljedice klimatskih promjena (prilagodba klimatskim promjenama). Ublažavanje kli</w:t>
      </w:r>
      <w:r w:rsidRPr="005808FC">
        <w:t>matskih promjena ima za cilj smanjenje emisije stakleničkih plinova i/ili povećati kapacitete apsorpcije tih plinova.</w:t>
      </w:r>
    </w:p>
    <w:p w14:paraId="11FF7B3A" w14:textId="4031EA32" w:rsidR="00523A61" w:rsidRPr="00922031" w:rsidRDefault="00523A61">
      <w:r w:rsidRPr="00315275">
        <w:t>Energetska politika Grada Zagreba dugi je niz godina usmjerena prema održivom energetskom razvitku gradskog područja baziranom na načelima zaštite okoliša, energetske učinkovitosti, korištenja obnovljivih izvora energije</w:t>
      </w:r>
      <w:r w:rsidR="000509A0">
        <w:t xml:space="preserve"> i </w:t>
      </w:r>
      <w:r w:rsidRPr="00315275">
        <w:t xml:space="preserve">održive gradnje, a pristupanjem </w:t>
      </w:r>
      <w:r w:rsidRPr="00291DF5">
        <w:rPr>
          <w:b/>
          <w:bCs/>
        </w:rPr>
        <w:t>Sporazumu gradonačelnika</w:t>
      </w:r>
      <w:r w:rsidRPr="005808FC">
        <w:t>, izradom</w:t>
      </w:r>
      <w:r w:rsidR="000509A0">
        <w:t xml:space="preserve"> i </w:t>
      </w:r>
      <w:r w:rsidRPr="00291DF5">
        <w:t xml:space="preserve">provedbom </w:t>
      </w:r>
      <w:r w:rsidR="003E4C64" w:rsidRPr="005808FC">
        <w:t>Akcijskog plana održivog energetskog razvoja (</w:t>
      </w:r>
      <w:r w:rsidRPr="005808FC">
        <w:t>SEAP-a</w:t>
      </w:r>
      <w:r w:rsidR="003E4C64" w:rsidRPr="005808FC">
        <w:t>)</w:t>
      </w:r>
      <w:r w:rsidRPr="005808FC">
        <w:t xml:space="preserve"> energetska politika Grada Zagreba dobila je svoju potvrdu</w:t>
      </w:r>
      <w:r w:rsidR="000509A0">
        <w:t xml:space="preserve"> i </w:t>
      </w:r>
      <w:r w:rsidRPr="00291DF5">
        <w:t xml:space="preserve">na europskoj razini. </w:t>
      </w:r>
    </w:p>
    <w:p w14:paraId="189C7C27" w14:textId="4A9C6AC1" w:rsidR="00523A61" w:rsidRPr="00922031" w:rsidRDefault="00523A61">
      <w:r w:rsidRPr="00315275">
        <w:t>S ciljem ublažavanja klimatskih promjena, Grad Zagreb je među prvim europskim glavnim gradovima pristupio</w:t>
      </w:r>
      <w:r w:rsidRPr="00291DF5">
        <w:t xml:space="preserve"> Sporazumu gradonačelnika, velikoj inicijativi Europske komisije </w:t>
      </w:r>
      <w:r w:rsidRPr="005808FC">
        <w:t xml:space="preserve">pokrenutoj u siječnju 2008. godine. </w:t>
      </w:r>
      <w:bookmarkStart w:id="14" w:name="_Hlk518294081"/>
      <w:r w:rsidRPr="005808FC">
        <w:t>U listopadu 2015. godine, nakon konzultacijskog procesa o budućnosti Sporazuma gradonačelnika, Europska komisija pokrenula je novi integrirani Sporazum gradonačelnika za klimu</w:t>
      </w:r>
      <w:r w:rsidR="000509A0">
        <w:t xml:space="preserve"> i </w:t>
      </w:r>
      <w:r w:rsidRPr="00291DF5">
        <w:t>energiju, koji nadilazi postavljene cil</w:t>
      </w:r>
      <w:r w:rsidRPr="005808FC">
        <w:t>jeve za 2020. godinu. Potpisnice novog Sporazuma obvezuju se na smanjenje njihovih emisija CO2 (i eventualno drugih stakleničkih plinova) te usvojiti zajednički pristup rješavanju ublažavanja</w:t>
      </w:r>
      <w:r w:rsidR="000509A0">
        <w:t xml:space="preserve"> i </w:t>
      </w:r>
      <w:r w:rsidRPr="00291DF5">
        <w:t>prilagodbe klimatskim promjenama.</w:t>
      </w:r>
    </w:p>
    <w:p w14:paraId="461E0B57" w14:textId="62C3780D" w:rsidR="00F76B7A" w:rsidRPr="005808FC" w:rsidRDefault="00F76B7A"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 xml:space="preserve">Potpisnici </w:t>
      </w:r>
      <w:r w:rsidR="004C08E6">
        <w:rPr>
          <w:rFonts w:asciiTheme="minorHAnsi" w:hAnsiTheme="minorHAnsi" w:cstheme="minorBidi"/>
          <w:sz w:val="22"/>
          <w:szCs w:val="22"/>
          <w:lang w:val="hr-HR"/>
        </w:rPr>
        <w:t>Sporazuma za klimu i energiju</w:t>
      </w:r>
      <w:r w:rsidR="00886940">
        <w:rPr>
          <w:rFonts w:asciiTheme="minorHAnsi" w:hAnsiTheme="minorHAnsi" w:cstheme="minorBidi"/>
          <w:sz w:val="22"/>
          <w:szCs w:val="22"/>
          <w:lang w:val="hr-HR"/>
        </w:rPr>
        <w:t xml:space="preserve"> </w:t>
      </w:r>
      <w:r w:rsidRPr="00315275">
        <w:rPr>
          <w:rFonts w:asciiTheme="minorHAnsi" w:hAnsiTheme="minorHAnsi" w:cstheme="minorBidi"/>
          <w:sz w:val="22"/>
          <w:szCs w:val="22"/>
          <w:lang w:val="hr-HR"/>
        </w:rPr>
        <w:t>obvezuju se na smanjenje emisija CO</w:t>
      </w:r>
      <w:r w:rsidRPr="00315275">
        <w:rPr>
          <w:rFonts w:asciiTheme="minorHAnsi" w:hAnsiTheme="minorHAnsi" w:cstheme="minorBidi"/>
          <w:sz w:val="22"/>
          <w:szCs w:val="22"/>
          <w:vertAlign w:val="subscript"/>
          <w:lang w:val="hr-HR"/>
        </w:rPr>
        <w:t xml:space="preserve">2 </w:t>
      </w:r>
      <w:r w:rsidRPr="003E50D1">
        <w:rPr>
          <w:rFonts w:asciiTheme="minorHAnsi" w:hAnsiTheme="minorHAnsi" w:cstheme="minorBidi"/>
          <w:sz w:val="22"/>
          <w:szCs w:val="22"/>
          <w:lang w:val="hr-HR"/>
        </w:rPr>
        <w:t>(po mogućnosti</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ostalih stakleničkih plinova) na lokalnom području supotpisnika za najmanje 40% do 2030. godine</w:t>
      </w:r>
      <w:r w:rsidRPr="00291DF5">
        <w:rPr>
          <w:rFonts w:asciiTheme="minorHAnsi" w:hAnsiTheme="minorHAnsi" w:cstheme="minorBidi"/>
          <w:b/>
          <w:bCs/>
          <w:sz w:val="22"/>
          <w:szCs w:val="22"/>
          <w:lang w:val="hr-HR"/>
        </w:rPr>
        <w:t xml:space="preserve"> </w:t>
      </w:r>
      <w:r w:rsidRPr="005808FC">
        <w:rPr>
          <w:rFonts w:asciiTheme="minorHAnsi" w:hAnsiTheme="minorHAnsi" w:cstheme="minorBidi"/>
          <w:sz w:val="22"/>
          <w:szCs w:val="22"/>
          <w:lang w:val="hr-HR"/>
        </w:rPr>
        <w:t xml:space="preserve">s obzirom na </w:t>
      </w:r>
      <w:r w:rsidR="007944F2" w:rsidRPr="005808FC">
        <w:rPr>
          <w:rFonts w:asciiTheme="minorHAnsi" w:hAnsiTheme="minorHAnsi" w:cstheme="minorBidi"/>
          <w:sz w:val="22"/>
          <w:szCs w:val="22"/>
          <w:lang w:val="hr-HR"/>
        </w:rPr>
        <w:t>referentn</w:t>
      </w:r>
      <w:r w:rsidRPr="005808FC">
        <w:rPr>
          <w:rFonts w:asciiTheme="minorHAnsi" w:hAnsiTheme="minorHAnsi" w:cstheme="minorBidi"/>
          <w:sz w:val="22"/>
          <w:szCs w:val="22"/>
          <w:lang w:val="hr-HR"/>
        </w:rPr>
        <w:t>u godinu, povećanje otpornosti na klimatske promjene uslijed primjene principa prilagodbe klimatskim promjenama, izmjenu iskustava, vizija, rezultata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praksi s lokalnim</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regionalnim vlastima unutar EU</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šire te izradu </w:t>
      </w:r>
      <w:r w:rsidR="003E4C64" w:rsidRPr="005808FC">
        <w:rPr>
          <w:rFonts w:asciiTheme="minorHAnsi" w:hAnsiTheme="minorHAnsi" w:cstheme="minorBidi"/>
          <w:b/>
          <w:bCs/>
          <w:sz w:val="22"/>
          <w:szCs w:val="22"/>
          <w:lang w:val="hr-HR"/>
        </w:rPr>
        <w:t xml:space="preserve">Akcijskog plana </w:t>
      </w:r>
      <w:bookmarkStart w:id="15" w:name="_Hlk518294987"/>
      <w:r w:rsidR="003E4C64" w:rsidRPr="005808FC">
        <w:rPr>
          <w:rFonts w:asciiTheme="minorHAnsi" w:hAnsiTheme="minorHAnsi" w:cstheme="minorBidi"/>
          <w:b/>
          <w:bCs/>
          <w:sz w:val="22"/>
          <w:szCs w:val="22"/>
          <w:lang w:val="hr-HR"/>
        </w:rPr>
        <w:t>održivog energetskog razvoja</w:t>
      </w:r>
      <w:r w:rsidR="000509A0">
        <w:rPr>
          <w:rFonts w:asciiTheme="minorHAnsi" w:hAnsiTheme="minorHAnsi" w:cstheme="minorBidi"/>
          <w:b/>
          <w:bCs/>
          <w:sz w:val="22"/>
          <w:szCs w:val="22"/>
          <w:lang w:val="hr-HR"/>
        </w:rPr>
        <w:t xml:space="preserve"> i </w:t>
      </w:r>
      <w:r w:rsidR="003E4C64" w:rsidRPr="00291DF5">
        <w:rPr>
          <w:rFonts w:asciiTheme="minorHAnsi" w:hAnsiTheme="minorHAnsi" w:cstheme="minorBidi"/>
          <w:b/>
          <w:bCs/>
          <w:sz w:val="22"/>
          <w:szCs w:val="22"/>
          <w:lang w:val="hr-HR"/>
        </w:rPr>
        <w:t xml:space="preserve">prilagodbe klimatskim promjenama </w:t>
      </w:r>
      <w:r w:rsidRPr="005808FC">
        <w:rPr>
          <w:rFonts w:asciiTheme="minorHAnsi" w:hAnsiTheme="minorHAnsi" w:cstheme="minorBidi"/>
          <w:b/>
          <w:bCs/>
          <w:sz w:val="22"/>
          <w:szCs w:val="22"/>
          <w:lang w:val="hr-HR"/>
        </w:rPr>
        <w:t>(</w:t>
      </w:r>
      <w:r w:rsidR="004C08E6">
        <w:rPr>
          <w:rFonts w:asciiTheme="minorHAnsi" w:hAnsiTheme="minorHAnsi" w:cstheme="minorBidi"/>
          <w:b/>
          <w:bCs/>
          <w:sz w:val="22"/>
          <w:szCs w:val="22"/>
          <w:lang w:val="hr-HR"/>
        </w:rPr>
        <w:t>en</w:t>
      </w:r>
      <w:r w:rsidR="00882447">
        <w:rPr>
          <w:rFonts w:asciiTheme="minorHAnsi" w:hAnsiTheme="minorHAnsi" w:cstheme="minorBidi"/>
          <w:b/>
          <w:bCs/>
          <w:sz w:val="22"/>
          <w:szCs w:val="22"/>
          <w:lang w:val="hr-HR"/>
        </w:rPr>
        <w:t>gl</w:t>
      </w:r>
      <w:r w:rsidR="004C08E6">
        <w:rPr>
          <w:rFonts w:asciiTheme="minorHAnsi" w:hAnsiTheme="minorHAnsi" w:cstheme="minorBidi"/>
          <w:b/>
          <w:bCs/>
          <w:sz w:val="22"/>
          <w:szCs w:val="22"/>
          <w:lang w:val="hr-HR"/>
        </w:rPr>
        <w:t xml:space="preserve">. </w:t>
      </w:r>
      <w:r w:rsidR="004C08E6" w:rsidRPr="00544C30">
        <w:rPr>
          <w:rFonts w:asciiTheme="minorHAnsi" w:hAnsiTheme="minorHAnsi" w:cstheme="minorBidi"/>
          <w:b/>
          <w:bCs/>
          <w:i/>
          <w:sz w:val="22"/>
          <w:szCs w:val="22"/>
          <w:lang w:val="hr-HR"/>
        </w:rPr>
        <w:t>Sustainable Energy and Climate Action Plan</w:t>
      </w:r>
      <w:r w:rsidR="004C08E6">
        <w:rPr>
          <w:rFonts w:asciiTheme="minorHAnsi" w:hAnsiTheme="minorHAnsi" w:cstheme="minorBidi"/>
          <w:b/>
          <w:bCs/>
          <w:sz w:val="22"/>
          <w:szCs w:val="22"/>
          <w:lang w:val="hr-HR"/>
        </w:rPr>
        <w:t xml:space="preserve"> – </w:t>
      </w:r>
      <w:r w:rsidRPr="005808FC">
        <w:rPr>
          <w:rFonts w:asciiTheme="minorHAnsi" w:hAnsiTheme="minorHAnsi" w:cstheme="minorBidi"/>
          <w:b/>
          <w:bCs/>
          <w:sz w:val="22"/>
          <w:szCs w:val="22"/>
          <w:lang w:val="hr-HR"/>
        </w:rPr>
        <w:t>SECAP)</w:t>
      </w:r>
      <w:r w:rsidRPr="005808FC">
        <w:rPr>
          <w:rFonts w:asciiTheme="minorHAnsi" w:hAnsiTheme="minorHAnsi" w:cstheme="minorBidi"/>
          <w:sz w:val="22"/>
          <w:szCs w:val="22"/>
          <w:lang w:val="hr-HR"/>
        </w:rPr>
        <w:t xml:space="preserve"> </w:t>
      </w:r>
      <w:bookmarkEnd w:id="15"/>
      <w:r w:rsidRPr="005808FC">
        <w:rPr>
          <w:rFonts w:asciiTheme="minorHAnsi" w:hAnsiTheme="minorHAnsi" w:cstheme="minorBidi"/>
          <w:sz w:val="22"/>
          <w:szCs w:val="22"/>
          <w:lang w:val="hr-HR"/>
        </w:rPr>
        <w:t>unutar dvije godine od datuma pristupanja Sporazumu te pripadajuće dokumentacije o izvještavanju provedbe Akcijskog plana.</w:t>
      </w:r>
    </w:p>
    <w:bookmarkEnd w:id="14"/>
    <w:p w14:paraId="556F72DB" w14:textId="77777777" w:rsidR="00F76B7A" w:rsidRPr="00922031" w:rsidRDefault="00F76B7A" w:rsidP="00975CD4">
      <w:pPr>
        <w:rPr>
          <w:rFonts w:cstheme="minorHAnsi"/>
        </w:rPr>
      </w:pPr>
    </w:p>
    <w:p w14:paraId="0ABCD776" w14:textId="4158E839" w:rsidR="00F76B7A" w:rsidRPr="00922031" w:rsidRDefault="00F76B7A">
      <w:r w:rsidRPr="00315275">
        <w:t>SECAP predstavlja ključni dokument koji na bazi prikupljenih podataka o zatečenom stanju identificira te daje precizne</w:t>
      </w:r>
      <w:r w:rsidR="000509A0">
        <w:t xml:space="preserve"> i </w:t>
      </w:r>
      <w:r w:rsidRPr="00315275">
        <w:t>jasne odrednice za provedbu projekata</w:t>
      </w:r>
      <w:r w:rsidR="000509A0">
        <w:t xml:space="preserve"> i </w:t>
      </w:r>
      <w:r w:rsidRPr="00315275">
        <w:t>mjera energetske učinkovitosti</w:t>
      </w:r>
      <w:r w:rsidR="000509A0">
        <w:t xml:space="preserve"> i </w:t>
      </w:r>
      <w:r w:rsidRPr="00315275">
        <w:t>korištenja obnovljivih izvora energije</w:t>
      </w:r>
      <w:r w:rsidR="00B25B9E" w:rsidRPr="00291DF5">
        <w:t xml:space="preserve"> </w:t>
      </w:r>
      <w:r w:rsidRPr="005808FC">
        <w:t xml:space="preserve">te prilagodbe učincima klimatskih promjena na gradskoj razini, a koji će </w:t>
      </w:r>
      <w:r w:rsidRPr="005808FC">
        <w:lastRenderedPageBreak/>
        <w:t>rezultirati smanjenjem emisije CO</w:t>
      </w:r>
      <w:r w:rsidRPr="005808FC">
        <w:rPr>
          <w:vertAlign w:val="subscript"/>
        </w:rPr>
        <w:t>2</w:t>
      </w:r>
      <w:r w:rsidRPr="005808FC">
        <w:t xml:space="preserve"> za više od 40% do 2030. godine. Akcijski plan se fokusira na dugoročne utjecaje klimatskih promjena na područje lokalne zajednice, uzima u obzir energetsku učinkovitost te daje mjerljive ciljeve</w:t>
      </w:r>
      <w:r w:rsidR="000509A0">
        <w:t xml:space="preserve"> i </w:t>
      </w:r>
      <w:r w:rsidRPr="00291DF5">
        <w:t>rezultate vezane uz smanjenje potrošnje energije</w:t>
      </w:r>
      <w:r w:rsidR="000509A0">
        <w:t xml:space="preserve"> i </w:t>
      </w:r>
      <w:r w:rsidRPr="00291DF5">
        <w:t>emisija CO</w:t>
      </w:r>
      <w:r w:rsidRPr="005808FC">
        <w:rPr>
          <w:vertAlign w:val="subscript"/>
        </w:rPr>
        <w:t>2</w:t>
      </w:r>
      <w:r w:rsidRPr="005808FC">
        <w:t>.</w:t>
      </w:r>
    </w:p>
    <w:p w14:paraId="5859BEF4" w14:textId="2B508BF4" w:rsidR="007944F2" w:rsidRPr="00922031" w:rsidRDefault="00F76B7A">
      <w:r w:rsidRPr="00315275">
        <w:t xml:space="preserve">Ključna poglavlja </w:t>
      </w:r>
      <w:r w:rsidR="007944F2" w:rsidRPr="00315275">
        <w:t>SECAP-a</w:t>
      </w:r>
      <w:r w:rsidRPr="003E50D1">
        <w:t xml:space="preserve"> uključuj</w:t>
      </w:r>
      <w:r w:rsidR="007944F2" w:rsidRPr="003E50D1">
        <w:t>u</w:t>
      </w:r>
      <w:r w:rsidRPr="003E50D1">
        <w:t xml:space="preserve"> prikaz </w:t>
      </w:r>
      <w:r w:rsidR="007944F2" w:rsidRPr="003E50D1">
        <w:t>Referentnog</w:t>
      </w:r>
      <w:r w:rsidR="00523A61" w:rsidRPr="003E50D1">
        <w:t xml:space="preserve"> inventar</w:t>
      </w:r>
      <w:r w:rsidRPr="003E50D1">
        <w:t>a</w:t>
      </w:r>
      <w:r w:rsidR="00523A61" w:rsidRPr="00291DF5">
        <w:t xml:space="preserve"> emisije CO</w:t>
      </w:r>
      <w:r w:rsidR="00523A61" w:rsidRPr="005808FC">
        <w:rPr>
          <w:vertAlign w:val="subscript"/>
        </w:rPr>
        <w:t>2</w:t>
      </w:r>
      <w:r w:rsidR="00523A61" w:rsidRPr="005808FC">
        <w:t xml:space="preserve"> (</w:t>
      </w:r>
      <w:r w:rsidR="00523A61" w:rsidRPr="00315275">
        <w:rPr>
          <w:i/>
          <w:iCs/>
        </w:rPr>
        <w:t>engl. Baseline Emission Inventory - BEI</w:t>
      </w:r>
      <w:r w:rsidR="00523A61" w:rsidRPr="00315275">
        <w:t>) za 2008. godinu</w:t>
      </w:r>
      <w:r w:rsidR="007944F2" w:rsidRPr="00315275">
        <w:t>, kao odabranu referentnu godinu; prikaz Kontrolnog inventara emisija CO</w:t>
      </w:r>
      <w:r w:rsidR="007944F2" w:rsidRPr="00291DF5">
        <w:rPr>
          <w:vertAlign w:val="subscript"/>
        </w:rPr>
        <w:t>2</w:t>
      </w:r>
      <w:r w:rsidR="007944F2" w:rsidRPr="005808FC">
        <w:t xml:space="preserve"> izrađenog za 2015. godinu; usporedbu Referentnog</w:t>
      </w:r>
      <w:r w:rsidR="000509A0">
        <w:t xml:space="preserve"> i </w:t>
      </w:r>
      <w:r w:rsidR="007944F2" w:rsidRPr="00291DF5">
        <w:t xml:space="preserve">Kontrolnog inventara; Metodologiju izrade Akcijskog plana; Mjere ublažavanja učinaka klimatskih promjena (eng. </w:t>
      </w:r>
      <w:r w:rsidR="007944F2" w:rsidRPr="00544C30">
        <w:rPr>
          <w:i/>
        </w:rPr>
        <w:t>Mitigation</w:t>
      </w:r>
      <w:r w:rsidR="007944F2" w:rsidRPr="00291DF5">
        <w:t>); Analizu klimatskih rizika</w:t>
      </w:r>
      <w:r w:rsidR="000509A0">
        <w:t xml:space="preserve"> i </w:t>
      </w:r>
      <w:r w:rsidR="007944F2" w:rsidRPr="00291DF5">
        <w:t>procjene ranjivosti pojedinih sektora na utjecaje klimatskih promjena; Mjere prilagodbe klimats</w:t>
      </w:r>
      <w:r w:rsidR="007944F2" w:rsidRPr="005808FC">
        <w:t xml:space="preserve">kim promjenama (eng. </w:t>
      </w:r>
      <w:r w:rsidR="007944F2" w:rsidRPr="00544C30">
        <w:rPr>
          <w:i/>
        </w:rPr>
        <w:t>Adaptation</w:t>
      </w:r>
      <w:r w:rsidR="007944F2" w:rsidRPr="005808FC">
        <w:t>) te poglavlje usmjereno na mehanizme financiranja.</w:t>
      </w:r>
    </w:p>
    <w:p w14:paraId="46539732" w14:textId="7B583725" w:rsidR="00523A61" w:rsidRPr="00922031" w:rsidRDefault="007944F2">
      <w:r w:rsidRPr="00315275">
        <w:t>Referentni</w:t>
      </w:r>
      <w:r w:rsidR="00523A61" w:rsidRPr="00315275">
        <w:t xml:space="preserve"> inventar emisija stakleničkih plinova obuhvatio je tri glavna sektora finalne potrošnje energije: zgradarstvo, promet</w:t>
      </w:r>
      <w:r w:rsidR="000509A0">
        <w:t xml:space="preserve"> i </w:t>
      </w:r>
      <w:r w:rsidR="00523A61" w:rsidRPr="00291DF5">
        <w:t>javnu rasvjetu.</w:t>
      </w:r>
      <w:r w:rsidR="008B0B06" w:rsidRPr="005808FC">
        <w:t xml:space="preserve"> Prema tim sektorima izrađene su analize potrošnje energije te analize emisija CO</w:t>
      </w:r>
      <w:r w:rsidR="008B0B06" w:rsidRPr="005808FC">
        <w:rPr>
          <w:vertAlign w:val="subscript"/>
        </w:rPr>
        <w:t>2</w:t>
      </w:r>
      <w:r w:rsidR="008B0B06" w:rsidRPr="005808FC">
        <w:t>.</w:t>
      </w:r>
    </w:p>
    <w:p w14:paraId="50F001E5" w14:textId="7E67A080" w:rsidR="00315275" w:rsidRPr="00922031" w:rsidRDefault="00315275" w:rsidP="00315275">
      <w:r w:rsidRPr="00291DF5">
        <w:t>Unutar SECAP-a identificirane su</w:t>
      </w:r>
      <w:r w:rsidR="000509A0" w:rsidRPr="005808FC">
        <w:t xml:space="preserve"> i </w:t>
      </w:r>
      <w:r w:rsidRPr="005808FC">
        <w:t>dane precizne</w:t>
      </w:r>
      <w:r w:rsidR="000509A0" w:rsidRPr="005808FC">
        <w:t xml:space="preserve"> i </w:t>
      </w:r>
      <w:r w:rsidRPr="005808FC">
        <w:t>jasne odrednice za provedbu projekata energetskih ušteda, prilagodbe na klimatske promjene te umanjenja učinaka klimatskih promjena. Za sve mjere je predviđena vremenska dinamika provedbe, predloženi su nositelji provedbe aktivnosti, partneri u provođenju aktivnosti te ključni dionici, a za mjere iz područja ''Ublažavanja učinaka klimatskih promjena'' iznesene su još</w:t>
      </w:r>
      <w:r w:rsidR="000509A0" w:rsidRPr="005808FC">
        <w:t xml:space="preserve"> i </w:t>
      </w:r>
      <w:r w:rsidRPr="005808FC">
        <w:t xml:space="preserve">uštede energije (MWh) te potencijal smanjenja emisije </w:t>
      </w:r>
      <w:r w:rsidR="003E50D1" w:rsidRPr="005808FC">
        <w:t>CO</w:t>
      </w:r>
      <w:r w:rsidR="003E50D1" w:rsidRPr="005808FC">
        <w:rPr>
          <w:vertAlign w:val="subscript"/>
        </w:rPr>
        <w:t>2</w:t>
      </w:r>
      <w:r w:rsidR="003E50D1" w:rsidRPr="00291DF5">
        <w:rPr>
          <w:vertAlign w:val="subscript"/>
        </w:rPr>
        <w:t xml:space="preserve"> </w:t>
      </w:r>
      <w:r w:rsidRPr="005808FC">
        <w:t>(t CO</w:t>
      </w:r>
      <w:r w:rsidRPr="005808FC">
        <w:rPr>
          <w:vertAlign w:val="subscript"/>
        </w:rPr>
        <w:t>2</w:t>
      </w:r>
      <w:r w:rsidRPr="005808FC">
        <w:t>).</w:t>
      </w:r>
    </w:p>
    <w:p w14:paraId="4BA58D2A" w14:textId="77777777" w:rsidR="00F5048A" w:rsidRPr="00922031" w:rsidRDefault="00F5048A" w:rsidP="00975CD4">
      <w:pPr>
        <w:pStyle w:val="1"/>
        <w:jc w:val="both"/>
        <w:rPr>
          <w:rFonts w:cstheme="minorHAnsi"/>
        </w:rPr>
      </w:pPr>
      <w:r w:rsidRPr="00922031">
        <w:rPr>
          <w:rFonts w:cstheme="minorHAnsi"/>
        </w:rPr>
        <w:br w:type="page"/>
      </w:r>
    </w:p>
    <w:p w14:paraId="29256EE2" w14:textId="40CDA00A" w:rsidR="008B5153" w:rsidRPr="00C678AC" w:rsidRDefault="00EA7864" w:rsidP="00AC4509">
      <w:pPr>
        <w:pStyle w:val="Heading1"/>
      </w:pPr>
      <w:bookmarkStart w:id="16" w:name="_Toc4156058"/>
      <w:r>
        <w:lastRenderedPageBreak/>
        <w:t>UVOD</w:t>
      </w:r>
      <w:bookmarkEnd w:id="16"/>
    </w:p>
    <w:p w14:paraId="69E78B02" w14:textId="5B18FBF5" w:rsidR="008B5153" w:rsidRPr="00922031" w:rsidRDefault="008B5153" w:rsidP="0DFBE047">
      <w:pPr>
        <w:pStyle w:val="Heading2"/>
      </w:pPr>
      <w:bookmarkStart w:id="17" w:name="_Toc251920716"/>
      <w:bookmarkStart w:id="18" w:name="_Toc4156059"/>
      <w:r w:rsidRPr="00922031">
        <w:t>Sporazum gradonačelnika (Covenant</w:t>
      </w:r>
      <w:r w:rsidRPr="0DFBE047">
        <w:t xml:space="preserve"> </w:t>
      </w:r>
      <w:r w:rsidRPr="00922031">
        <w:t>of</w:t>
      </w:r>
      <w:r w:rsidRPr="0DFBE047">
        <w:t xml:space="preserve"> </w:t>
      </w:r>
      <w:r w:rsidRPr="00922031">
        <w:t>Mayors</w:t>
      </w:r>
      <w:r w:rsidRPr="0DFBE047">
        <w:t>)</w:t>
      </w:r>
      <w:bookmarkEnd w:id="17"/>
      <w:bookmarkEnd w:id="18"/>
    </w:p>
    <w:p w14:paraId="72CCC781" w14:textId="482AB4E8"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Sporazum gradonačelnika (</w:t>
      </w:r>
      <w:r w:rsidR="00886940">
        <w:rPr>
          <w:rFonts w:asciiTheme="minorHAnsi" w:hAnsiTheme="minorHAnsi" w:cstheme="minorBidi"/>
          <w:sz w:val="22"/>
          <w:szCs w:val="22"/>
          <w:lang w:val="hr-HR"/>
        </w:rPr>
        <w:t xml:space="preserve">engl. </w:t>
      </w:r>
      <w:r w:rsidRPr="00544C30">
        <w:rPr>
          <w:rFonts w:asciiTheme="minorHAnsi" w:hAnsiTheme="minorHAnsi" w:cstheme="minorBidi"/>
          <w:i/>
          <w:sz w:val="22"/>
          <w:szCs w:val="22"/>
          <w:lang w:val="hr-HR"/>
        </w:rPr>
        <w:t>The Covenant of Mayors</w:t>
      </w:r>
      <w:r w:rsidRPr="00315275">
        <w:rPr>
          <w:rFonts w:asciiTheme="minorHAnsi" w:hAnsiTheme="minorHAnsi" w:cstheme="minorBidi"/>
          <w:sz w:val="22"/>
          <w:szCs w:val="22"/>
          <w:lang w:val="hr-HR"/>
        </w:rPr>
        <w:t>) predstavlja najveću svjetsku inicijativu usmjerenu na lokane energetske</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klimatske aktivnosti s ciljem smanj</w:t>
      </w:r>
      <w:r w:rsidRPr="00291DF5">
        <w:rPr>
          <w:rFonts w:asciiTheme="minorHAnsi" w:hAnsiTheme="minorHAnsi" w:cstheme="minorBidi"/>
          <w:sz w:val="22"/>
          <w:szCs w:val="22"/>
          <w:lang w:val="hr-HR"/>
        </w:rPr>
        <w:t>enja energetske potrošnje, emisija CO</w:t>
      </w:r>
      <w:r w:rsidRPr="005808FC">
        <w:rPr>
          <w:rFonts w:asciiTheme="minorHAnsi" w:hAnsiTheme="minorHAnsi" w:cstheme="minorBidi"/>
          <w:sz w:val="22"/>
          <w:szCs w:val="22"/>
          <w:vertAlign w:val="subscript"/>
          <w:lang w:val="hr-HR"/>
        </w:rPr>
        <w:t>2</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utjecaja klimatskih promjena te adaptacije na klimatske promjene.</w:t>
      </w:r>
    </w:p>
    <w:p w14:paraId="350EA2C4"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D86F945" w14:textId="6B5BFD76"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Prema podacima Europskog statističkog zavoda (EUROSTAT) urbana područja u Europskoj uniji (EU) odgovorna su za 80% energetske potrošnje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pripadajućih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s godišnjim trendom porasta od 1,9%. Upravo iz tog razloga, cilj Europske komisije o smanjenju emisije stakleničkih plinova se može ostvariti samo ako se u proces uključe lokalne vlasti, lokalni investitori, građani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njihove udruge. Zajedno s nacional</w:t>
      </w:r>
      <w:r w:rsidRPr="005808FC">
        <w:rPr>
          <w:rFonts w:asciiTheme="minorHAnsi" w:hAnsiTheme="minorHAnsi" w:cstheme="minorBidi"/>
          <w:sz w:val="22"/>
          <w:szCs w:val="22"/>
          <w:lang w:val="hr-HR"/>
        </w:rPr>
        <w:t>nim vladama, lokalne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regionalne vlasti država članica EU dijele odgovornost</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aktivno preuzimaju obveze za borbu protiv globalnog zagrijavanja kroz programe učinkovitog korištenja energije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korištenja obnovljivih izvora energije.</w:t>
      </w:r>
    </w:p>
    <w:p w14:paraId="0E158B29"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B02E0BF" w14:textId="4B06921A"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Europska komisija je 29. siječnja 2008. pokrenula veliku inicijativu povezivanja gradonačelnika energetski osviještenih europskih gradova u trajnu mrežu sa ciljem razmjene iskustava u provedbi djelotvornih mjera za poboljšanje energetske učinkovitosti urba</w:t>
      </w:r>
      <w:r w:rsidRPr="00291DF5">
        <w:rPr>
          <w:rFonts w:asciiTheme="minorHAnsi" w:hAnsiTheme="minorHAnsi" w:cstheme="minorBidi"/>
          <w:sz w:val="22"/>
          <w:szCs w:val="22"/>
          <w:lang w:val="hr-HR"/>
        </w:rPr>
        <w:t xml:space="preserve">nih sredina. </w:t>
      </w:r>
      <w:r w:rsidRPr="005808FC">
        <w:rPr>
          <w:rFonts w:asciiTheme="minorHAnsi" w:hAnsiTheme="minorHAnsi" w:cstheme="minorBidi"/>
          <w:sz w:val="22"/>
          <w:szCs w:val="22"/>
          <w:lang w:val="hr-HR"/>
        </w:rPr>
        <w:t>Sporazum gradonačelnika odgovor</w:t>
      </w:r>
      <w:r w:rsidR="00915D15">
        <w:rPr>
          <w:rFonts w:asciiTheme="minorHAnsi" w:hAnsiTheme="minorHAnsi" w:cstheme="minorBidi"/>
          <w:sz w:val="22"/>
          <w:szCs w:val="22"/>
          <w:lang w:val="hr-HR"/>
        </w:rPr>
        <w:t xml:space="preserve"> je </w:t>
      </w:r>
      <w:r w:rsidRPr="005808FC">
        <w:rPr>
          <w:rFonts w:asciiTheme="minorHAnsi" w:hAnsiTheme="minorHAnsi" w:cstheme="minorBidi"/>
          <w:sz w:val="22"/>
          <w:szCs w:val="22"/>
          <w:lang w:val="hr-HR"/>
        </w:rPr>
        <w:t>naprednih europskih gradova na izazove globalne promjene klime, te prva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najambicioznija inicijativa Europske komisije koja izravno cilja na lokalne vlasti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građane kroz njihovo dobrovoljno ak</w:t>
      </w:r>
      <w:r w:rsidRPr="005808FC">
        <w:rPr>
          <w:rFonts w:asciiTheme="minorHAnsi" w:hAnsiTheme="minorHAnsi" w:cstheme="minorBidi"/>
          <w:sz w:val="22"/>
          <w:szCs w:val="22"/>
          <w:lang w:val="hr-HR"/>
        </w:rPr>
        <w:t>tivno uključivanje u borbu protiv globalnog zatopljenja. Inicijativa je uvela novi pristup u provedbi energetske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klimatske politike jer se je po prvi puta počeo primjenjivati tzv. ‘’</w:t>
      </w:r>
      <w:r w:rsidRPr="00544C30">
        <w:rPr>
          <w:rFonts w:asciiTheme="minorHAnsi" w:hAnsiTheme="minorHAnsi" w:cstheme="minorBidi"/>
          <w:i/>
          <w:sz w:val="22"/>
          <w:szCs w:val="22"/>
          <w:lang w:val="hr-HR"/>
        </w:rPr>
        <w:t>bottom-up</w:t>
      </w:r>
      <w:r w:rsidRPr="00291DF5">
        <w:rPr>
          <w:rFonts w:asciiTheme="minorHAnsi" w:hAnsiTheme="minorHAnsi" w:cstheme="minorBidi"/>
          <w:sz w:val="22"/>
          <w:szCs w:val="22"/>
          <w:lang w:val="hr-HR"/>
        </w:rPr>
        <w:t xml:space="preserve">’’ pristup pri provedbi aktivnosti na lokalnoj </w:t>
      </w:r>
      <w:r w:rsidRPr="005808FC">
        <w:rPr>
          <w:rFonts w:asciiTheme="minorHAnsi" w:hAnsiTheme="minorHAnsi" w:cstheme="minorBidi"/>
          <w:sz w:val="22"/>
          <w:szCs w:val="22"/>
          <w:lang w:val="hr-HR"/>
        </w:rPr>
        <w:t>razini, no također je u vrlo kratkom roku postigla veliku popularnost</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uspjeh. Sporazum okuplja više od 7</w:t>
      </w:r>
      <w:r w:rsidR="00FF7698">
        <w:rPr>
          <w:rFonts w:asciiTheme="minorHAnsi" w:hAnsiTheme="minorHAnsi" w:cstheme="minorBidi"/>
          <w:sz w:val="22"/>
          <w:szCs w:val="22"/>
          <w:lang w:val="hr-HR"/>
        </w:rPr>
        <w:t>0</w:t>
      </w:r>
      <w:r w:rsidRPr="00291DF5">
        <w:rPr>
          <w:rFonts w:asciiTheme="minorHAnsi" w:hAnsiTheme="minorHAnsi" w:cstheme="minorBidi"/>
          <w:sz w:val="22"/>
          <w:szCs w:val="22"/>
          <w:lang w:val="hr-HR"/>
        </w:rPr>
        <w:t>00 potpisnika (lokalnih</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regionalnih vlasti) koji se prostiru kroz 5</w:t>
      </w:r>
      <w:r w:rsidR="00FB317D">
        <w:rPr>
          <w:rFonts w:asciiTheme="minorHAnsi" w:hAnsiTheme="minorHAnsi" w:cstheme="minorBidi"/>
          <w:sz w:val="22"/>
          <w:szCs w:val="22"/>
          <w:lang w:val="hr-HR"/>
        </w:rPr>
        <w:t>7</w:t>
      </w:r>
      <w:r w:rsidRPr="00291DF5">
        <w:rPr>
          <w:rFonts w:asciiTheme="minorHAnsi" w:hAnsiTheme="minorHAnsi" w:cstheme="minorBidi"/>
          <w:sz w:val="22"/>
          <w:szCs w:val="22"/>
          <w:lang w:val="hr-HR"/>
        </w:rPr>
        <w:t xml:space="preserve"> zem</w:t>
      </w:r>
      <w:r w:rsidR="00FB317D">
        <w:rPr>
          <w:rFonts w:asciiTheme="minorHAnsi" w:hAnsiTheme="minorHAnsi" w:cstheme="minorBidi"/>
          <w:sz w:val="22"/>
          <w:szCs w:val="22"/>
          <w:lang w:val="hr-HR"/>
        </w:rPr>
        <w:t>a</w:t>
      </w:r>
      <w:r w:rsidRPr="00291DF5">
        <w:rPr>
          <w:rFonts w:asciiTheme="minorHAnsi" w:hAnsiTheme="minorHAnsi" w:cstheme="minorBidi"/>
          <w:sz w:val="22"/>
          <w:szCs w:val="22"/>
          <w:lang w:val="hr-HR"/>
        </w:rPr>
        <w:t>lj</w:t>
      </w:r>
      <w:r w:rsidR="00FB317D">
        <w:rPr>
          <w:rFonts w:asciiTheme="minorHAnsi" w:hAnsiTheme="minorHAnsi" w:cstheme="minorBidi"/>
          <w:sz w:val="22"/>
          <w:szCs w:val="22"/>
          <w:lang w:val="hr-HR"/>
        </w:rPr>
        <w:t>a</w:t>
      </w:r>
      <w:r w:rsidRPr="00291DF5">
        <w:rPr>
          <w:rFonts w:asciiTheme="minorHAnsi" w:hAnsiTheme="minorHAnsi" w:cstheme="minorBidi"/>
          <w:sz w:val="22"/>
          <w:szCs w:val="22"/>
          <w:lang w:val="hr-HR"/>
        </w:rPr>
        <w:t>. Kao ključni faktori uspjeha istaknuti su ''</w:t>
      </w:r>
      <w:r w:rsidRPr="00544C30">
        <w:rPr>
          <w:rFonts w:asciiTheme="minorHAnsi" w:hAnsiTheme="minorHAnsi" w:cstheme="minorBidi"/>
          <w:i/>
          <w:sz w:val="22"/>
          <w:szCs w:val="22"/>
          <w:lang w:val="hr-HR"/>
        </w:rPr>
        <w:t>bottom-up</w:t>
      </w:r>
      <w:r w:rsidRPr="00291DF5">
        <w:rPr>
          <w:rFonts w:asciiTheme="minorHAnsi" w:hAnsiTheme="minorHAnsi" w:cstheme="minorBidi"/>
          <w:sz w:val="22"/>
          <w:szCs w:val="22"/>
          <w:lang w:val="hr-HR"/>
        </w:rPr>
        <w:t xml:space="preserve">'' pristup </w:t>
      </w:r>
      <w:r w:rsidRPr="005808FC">
        <w:rPr>
          <w:rFonts w:asciiTheme="minorHAnsi" w:hAnsiTheme="minorHAnsi" w:cstheme="minorBidi"/>
          <w:sz w:val="22"/>
          <w:szCs w:val="22"/>
          <w:lang w:val="hr-HR"/>
        </w:rPr>
        <w:t>vođenju, model suradnje na multi-sektorskoj razini te okvir aktivnosti vođen kontekstom lokalne sredine.</w:t>
      </w:r>
    </w:p>
    <w:p w14:paraId="0874C260"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2519F31" w14:textId="489C44EF"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U listopadu 2015. godine, nakon konzultacijskog procesa o budućnosti Sporazuma gradonačelnika, Europska komisija pokrenula je novi integrirani Sporazum gradonačelnik</w:t>
      </w:r>
      <w:r w:rsidRPr="00291DF5">
        <w:rPr>
          <w:rFonts w:asciiTheme="minorHAnsi" w:hAnsiTheme="minorHAnsi" w:cstheme="minorBidi"/>
          <w:sz w:val="22"/>
          <w:szCs w:val="22"/>
          <w:lang w:val="hr-HR"/>
        </w:rPr>
        <w:t>a za klimu</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energiju</w:t>
      </w:r>
      <w:r w:rsidR="00CB2BF1">
        <w:rPr>
          <w:rFonts w:asciiTheme="minorHAnsi" w:hAnsiTheme="minorHAnsi" w:cstheme="minorBidi"/>
          <w:sz w:val="22"/>
          <w:szCs w:val="22"/>
          <w:lang w:val="hr-HR"/>
        </w:rPr>
        <w:t xml:space="preserve"> (dalje u tekstu: Sporazum)</w:t>
      </w:r>
      <w:r w:rsidRPr="00291DF5">
        <w:rPr>
          <w:rFonts w:asciiTheme="minorHAnsi" w:hAnsiTheme="minorHAnsi" w:cstheme="minorBidi"/>
          <w:sz w:val="22"/>
          <w:szCs w:val="22"/>
          <w:lang w:val="hr-HR"/>
        </w:rPr>
        <w:t>, koji nadilazi postavljene ciljeve za 2020. godinu. Potpisnice novog Sporazuma obvezuju se na smanjenje njihovih emisija CO2 (i eventualno drugih stakleničkih plinova) te usvojiti zajednički pristup rješavanju ublaža</w:t>
      </w:r>
      <w:r w:rsidRPr="005808FC">
        <w:rPr>
          <w:rFonts w:asciiTheme="minorHAnsi" w:hAnsiTheme="minorHAnsi" w:cstheme="minorBidi"/>
          <w:sz w:val="22"/>
          <w:szCs w:val="22"/>
          <w:lang w:val="hr-HR"/>
        </w:rPr>
        <w:t>vanja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prilagodbe klimatskim promjenama.</w:t>
      </w:r>
    </w:p>
    <w:p w14:paraId="1F0D3BE5"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59BF7C82" w14:textId="77777777" w:rsidR="008B5153" w:rsidRPr="00922031" w:rsidRDefault="008B5153" w:rsidP="00146A79">
      <w:pPr>
        <w:pStyle w:val="Obinitekst1"/>
        <w:spacing w:line="276" w:lineRule="auto"/>
        <w:rPr>
          <w:rFonts w:asciiTheme="minorHAnsi" w:hAnsiTheme="minorHAnsi" w:cstheme="minorHAnsi"/>
          <w:sz w:val="22"/>
          <w:szCs w:val="22"/>
          <w:lang w:val="hr-HR"/>
        </w:rPr>
      </w:pPr>
      <w:r w:rsidRPr="00922031">
        <w:rPr>
          <w:rFonts w:asciiTheme="minorHAnsi" w:hAnsiTheme="minorHAnsi" w:cstheme="minorHAnsi"/>
          <w:noProof/>
          <w:sz w:val="22"/>
          <w:szCs w:val="22"/>
          <w:lang w:val="hr-HR" w:eastAsia="hr-HR"/>
        </w:rPr>
        <w:drawing>
          <wp:inline distT="0" distB="0" distL="0" distR="0" wp14:anchorId="35ECFA00" wp14:editId="060BB591">
            <wp:extent cx="3373755" cy="1405420"/>
            <wp:effectExtent l="0" t="0" r="0" b="444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s-adapt-logo-bi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6219" cy="1418944"/>
                    </a:xfrm>
                    <a:prstGeom prst="rect">
                      <a:avLst/>
                    </a:prstGeom>
                  </pic:spPr>
                </pic:pic>
              </a:graphicData>
            </a:graphic>
          </wp:inline>
        </w:drawing>
      </w:r>
    </w:p>
    <w:p w14:paraId="559B0234" w14:textId="0CAB6DA0" w:rsidR="00E85325" w:rsidRPr="00922031" w:rsidRDefault="00AE1594" w:rsidP="00AE1594">
      <w:pPr>
        <w:pStyle w:val="Heading6"/>
      </w:pPr>
      <w:bookmarkStart w:id="19" w:name="_Toc4156020"/>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2</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w:t>
      </w:r>
      <w:r w:rsidR="00CA6C6C" w:rsidRPr="005808FC">
        <w:fldChar w:fldCharType="end"/>
      </w:r>
      <w:r w:rsidR="00244D74" w:rsidRPr="5886DDC2">
        <w:t xml:space="preserve"> </w:t>
      </w:r>
      <w:r w:rsidRPr="5886DDC2">
        <w:t>-</w:t>
      </w:r>
      <w:r w:rsidR="00244D74" w:rsidRPr="5886DDC2">
        <w:t xml:space="preserve"> </w:t>
      </w:r>
      <w:r w:rsidR="008B5153" w:rsidRPr="00922031">
        <w:t>Sporazum gradonačelnika za klimu</w:t>
      </w:r>
      <w:r w:rsidR="000509A0">
        <w:t xml:space="preserve"> i </w:t>
      </w:r>
      <w:r w:rsidR="008B5153" w:rsidRPr="00922031">
        <w:t>energiju – logo inicijative</w:t>
      </w:r>
      <w:bookmarkEnd w:id="19"/>
      <w:r w:rsidR="00E85325" w:rsidRPr="00922031">
        <w:br w:type="page"/>
      </w:r>
    </w:p>
    <w:p w14:paraId="08660DDF" w14:textId="27993F56" w:rsidR="008B5153" w:rsidRPr="00922031" w:rsidRDefault="008B5153">
      <w:r w:rsidRPr="00315275">
        <w:lastRenderedPageBreak/>
        <w:t>Prilagodba klimatskim promjenama podrazumijeva predviđanje štetnih učinaka klimatskih promjena</w:t>
      </w:r>
      <w:r w:rsidR="000509A0">
        <w:t xml:space="preserve"> i </w:t>
      </w:r>
      <w:r w:rsidRPr="00315275">
        <w:t>poduziman</w:t>
      </w:r>
      <w:r w:rsidRPr="00291DF5">
        <w:t>je odgovarajućih mjera kako bi spriječili ili smanjili štetu koju ti učinci mogu prouzročiti te iskoristili prilike koje se u tom procesu mogu otvoriti. Pokazano je da dobro planiranje te rana akcija prilagodbe omogućavaju</w:t>
      </w:r>
      <w:r w:rsidRPr="005808FC">
        <w:t xml:space="preserve"> uštedu sredstava uz dulji vijek .</w:t>
      </w:r>
    </w:p>
    <w:p w14:paraId="4E2ECFD8"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74E87545" w14:textId="77777777"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Potpisnici Sporazuma potvrđuju zajedničku viziju za 2050. godinu:</w:t>
      </w:r>
      <w:r w:rsidRPr="003E50D1">
        <w:rPr>
          <w:rFonts w:asciiTheme="minorHAnsi" w:hAnsiTheme="minorHAnsi" w:cstheme="minorBidi"/>
          <w:sz w:val="22"/>
          <w:szCs w:val="22"/>
          <w:lang w:val="hr-HR"/>
        </w:rPr>
        <w:t xml:space="preserve"> </w:t>
      </w:r>
    </w:p>
    <w:p w14:paraId="14E7D62C"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1D102470" w14:textId="26EAECCE"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provođenje dekarbonizacije lokalnog teritorija</w:t>
      </w:r>
      <w:r w:rsidRPr="003E50D1">
        <w:rPr>
          <w:rFonts w:asciiTheme="minorHAnsi" w:hAnsiTheme="minorHAnsi" w:cstheme="minorBidi"/>
          <w:sz w:val="22"/>
          <w:szCs w:val="22"/>
          <w:lang w:val="hr-HR"/>
        </w:rPr>
        <w:t>, na taj način pridonoseći ograničavanju prosječnog globalnog porasta temperature ispod 2°C prema međunarodnom klimatskom sporazumu postignutom prilikom COP21 u Parizu u prosincu 2015. godine;</w:t>
      </w:r>
      <w:r w:rsidR="00B25B9E" w:rsidRPr="00291DF5">
        <w:rPr>
          <w:rFonts w:asciiTheme="minorHAnsi" w:hAnsiTheme="minorHAnsi" w:cstheme="minorBidi"/>
          <w:sz w:val="22"/>
          <w:szCs w:val="22"/>
          <w:lang w:val="hr-HR"/>
        </w:rPr>
        <w:t xml:space="preserve"> </w:t>
      </w:r>
    </w:p>
    <w:p w14:paraId="0F5296FC" w14:textId="77777777"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povećanje otpornosti lokalnog teritorija</w:t>
      </w:r>
      <w:r w:rsidRPr="003E50D1">
        <w:rPr>
          <w:rFonts w:asciiTheme="minorHAnsi" w:hAnsiTheme="minorHAnsi" w:cstheme="minorBidi"/>
          <w:sz w:val="22"/>
          <w:szCs w:val="22"/>
          <w:lang w:val="hr-HR"/>
        </w:rPr>
        <w:t xml:space="preserve"> te u tom smislu jačanje kapaciteta za prilagodbu neizbježnim utjecajima klimatskih promjena;</w:t>
      </w:r>
    </w:p>
    <w:p w14:paraId="6E770129" w14:textId="3D1F9728"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omogućiti univerzalni pristup sigurnoj, održivoj</w:t>
      </w:r>
      <w:r w:rsidR="000509A0">
        <w:rPr>
          <w:rFonts w:asciiTheme="minorHAnsi" w:hAnsiTheme="minorHAnsi" w:cstheme="minorBidi"/>
          <w:b/>
          <w:bCs/>
          <w:sz w:val="22"/>
          <w:szCs w:val="22"/>
          <w:lang w:val="hr-HR"/>
        </w:rPr>
        <w:t xml:space="preserve"> i </w:t>
      </w:r>
      <w:r w:rsidRPr="00315275">
        <w:rPr>
          <w:rFonts w:asciiTheme="minorHAnsi" w:hAnsiTheme="minorHAnsi" w:cstheme="minorBidi"/>
          <w:b/>
          <w:bCs/>
          <w:sz w:val="22"/>
          <w:szCs w:val="22"/>
          <w:lang w:val="hr-HR"/>
        </w:rPr>
        <w:t xml:space="preserve">cjenovno </w:t>
      </w:r>
      <w:r w:rsidRPr="003E50D1">
        <w:rPr>
          <w:rFonts w:asciiTheme="minorHAnsi" w:hAnsiTheme="minorHAnsi" w:cstheme="minorBidi"/>
          <w:b/>
          <w:bCs/>
          <w:sz w:val="22"/>
          <w:szCs w:val="22"/>
          <w:lang w:val="hr-HR"/>
        </w:rPr>
        <w:t>dostupnoj energiji</w:t>
      </w:r>
      <w:r w:rsidRPr="003E50D1">
        <w:rPr>
          <w:rFonts w:asciiTheme="minorHAnsi" w:hAnsiTheme="minorHAnsi" w:cstheme="minorBidi"/>
          <w:sz w:val="22"/>
          <w:szCs w:val="22"/>
          <w:lang w:val="hr-HR"/>
        </w:rPr>
        <w:t xml:space="preserve"> svim građanima te time pridonijeti unaprjeđenju kvalitete života te povećanju energetske sigurnosti.</w:t>
      </w:r>
    </w:p>
    <w:p w14:paraId="667463E6"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1A295EE0"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40297591" w14:textId="77777777" w:rsidR="008B5153" w:rsidRPr="005808FC" w:rsidRDefault="008B5153" w:rsidP="005808FC">
      <w:pPr>
        <w:pStyle w:val="Obinitekst1"/>
        <w:spacing w:line="276" w:lineRule="auto"/>
        <w:jc w:val="both"/>
        <w:rPr>
          <w:rFonts w:asciiTheme="minorHAnsi" w:hAnsiTheme="minorHAnsi" w:cstheme="minorBidi"/>
          <w:b/>
          <w:bCs/>
          <w:sz w:val="22"/>
          <w:szCs w:val="22"/>
          <w:lang w:val="hr-HR"/>
        </w:rPr>
      </w:pPr>
      <w:r w:rsidRPr="00315275">
        <w:rPr>
          <w:rFonts w:asciiTheme="minorHAnsi" w:hAnsiTheme="minorHAnsi" w:cstheme="minorBidi"/>
          <w:b/>
          <w:bCs/>
          <w:sz w:val="22"/>
          <w:szCs w:val="22"/>
          <w:lang w:val="hr-HR"/>
        </w:rPr>
        <w:t>Potpisnici sporazuma obvezuju se na:</w:t>
      </w:r>
    </w:p>
    <w:p w14:paraId="11900C60" w14:textId="77777777" w:rsidR="008B5153" w:rsidRPr="00922031" w:rsidRDefault="008B5153" w:rsidP="00975CD4">
      <w:pPr>
        <w:pStyle w:val="Obinitekst1"/>
        <w:spacing w:line="276" w:lineRule="auto"/>
        <w:jc w:val="both"/>
        <w:rPr>
          <w:rFonts w:asciiTheme="minorHAnsi" w:hAnsiTheme="minorHAnsi" w:cstheme="minorHAnsi"/>
          <w:b/>
          <w:sz w:val="22"/>
          <w:szCs w:val="22"/>
          <w:lang w:val="hr-HR"/>
        </w:rPr>
      </w:pPr>
    </w:p>
    <w:p w14:paraId="5E378A67" w14:textId="7FF6AAB6" w:rsidR="008B5153" w:rsidRPr="005808FC" w:rsidRDefault="008B5153" w:rsidP="005808FC">
      <w:pPr>
        <w:pStyle w:val="Obinitekst1"/>
        <w:numPr>
          <w:ilvl w:val="0"/>
          <w:numId w:val="29"/>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smanjenje emisija CO</w:t>
      </w:r>
      <w:r w:rsidRPr="003E50D1">
        <w:rPr>
          <w:rFonts w:asciiTheme="minorHAnsi" w:hAnsiTheme="minorHAnsi" w:cstheme="minorBidi"/>
          <w:b/>
          <w:bCs/>
          <w:sz w:val="22"/>
          <w:szCs w:val="22"/>
          <w:vertAlign w:val="subscript"/>
          <w:lang w:val="hr-HR"/>
        </w:rPr>
        <w:t>2</w:t>
      </w:r>
      <w:r w:rsidRPr="003E50D1">
        <w:rPr>
          <w:rFonts w:asciiTheme="minorHAnsi" w:hAnsiTheme="minorHAnsi" w:cstheme="minorBidi"/>
          <w:sz w:val="22"/>
          <w:szCs w:val="22"/>
          <w:vertAlign w:val="subscript"/>
          <w:lang w:val="hr-HR"/>
        </w:rPr>
        <w:t xml:space="preserve"> </w:t>
      </w:r>
      <w:r w:rsidRPr="00291DF5">
        <w:rPr>
          <w:rFonts w:asciiTheme="minorHAnsi" w:hAnsiTheme="minorHAnsi" w:cstheme="minorBidi"/>
          <w:sz w:val="22"/>
          <w:szCs w:val="22"/>
          <w:lang w:val="hr-HR"/>
        </w:rPr>
        <w:t>(po mogućnosti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ostalih stakleničkih plinova) na lokalnom području supotpisnika za najmanje </w:t>
      </w:r>
      <w:r w:rsidRPr="005808FC">
        <w:rPr>
          <w:rFonts w:asciiTheme="minorHAnsi" w:hAnsiTheme="minorHAnsi" w:cstheme="minorBidi"/>
          <w:b/>
          <w:bCs/>
          <w:sz w:val="22"/>
          <w:szCs w:val="22"/>
          <w:lang w:val="hr-HR"/>
        </w:rPr>
        <w:t xml:space="preserve">40% do 2030. godine </w:t>
      </w:r>
      <w:r w:rsidRPr="005808FC">
        <w:rPr>
          <w:rFonts w:asciiTheme="minorHAnsi" w:hAnsiTheme="minorHAnsi" w:cstheme="minorBidi"/>
          <w:sz w:val="22"/>
          <w:szCs w:val="22"/>
          <w:lang w:val="hr-HR"/>
        </w:rPr>
        <w:t xml:space="preserve">s obzirom na </w:t>
      </w:r>
      <w:r w:rsidR="007944F2" w:rsidRPr="005808FC">
        <w:rPr>
          <w:rFonts w:asciiTheme="minorHAnsi" w:hAnsiTheme="minorHAnsi" w:cstheme="minorBidi"/>
          <w:sz w:val="22"/>
          <w:szCs w:val="22"/>
          <w:lang w:val="hr-HR"/>
        </w:rPr>
        <w:t>referentnu</w:t>
      </w:r>
      <w:r w:rsidRPr="005808FC">
        <w:rPr>
          <w:rFonts w:asciiTheme="minorHAnsi" w:hAnsiTheme="minorHAnsi" w:cstheme="minorBidi"/>
          <w:sz w:val="22"/>
          <w:szCs w:val="22"/>
          <w:lang w:val="hr-HR"/>
        </w:rPr>
        <w:t xml:space="preserve"> godinu, kroz unaprijeđenu energetsku učinkovitost te povećanje korištenja obnovljivih izvora energije;</w:t>
      </w:r>
    </w:p>
    <w:p w14:paraId="13C56EDB" w14:textId="77777777" w:rsidR="008B5153" w:rsidRPr="005808FC" w:rsidRDefault="008B5153" w:rsidP="005808FC">
      <w:pPr>
        <w:pStyle w:val="Obinitekst1"/>
        <w:numPr>
          <w:ilvl w:val="0"/>
          <w:numId w:val="29"/>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povećanje otpornosti na klimatske promjene</w:t>
      </w:r>
      <w:r w:rsidRPr="003E50D1">
        <w:rPr>
          <w:rFonts w:asciiTheme="minorHAnsi" w:hAnsiTheme="minorHAnsi" w:cstheme="minorBidi"/>
          <w:sz w:val="22"/>
          <w:szCs w:val="22"/>
          <w:lang w:val="hr-HR"/>
        </w:rPr>
        <w:t xml:space="preserve"> uslijed primjene principa prilagodbe klimatskim promjenama,</w:t>
      </w:r>
    </w:p>
    <w:p w14:paraId="183A8E72" w14:textId="561FD0A0" w:rsidR="008B5153" w:rsidRPr="005808FC" w:rsidRDefault="008B5153" w:rsidP="005808FC">
      <w:pPr>
        <w:pStyle w:val="Obinitekst1"/>
        <w:numPr>
          <w:ilvl w:val="0"/>
          <w:numId w:val="29"/>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izmjenu iskustava, vizija, rezultata</w:t>
      </w:r>
      <w:r w:rsidR="000509A0">
        <w:rPr>
          <w:rFonts w:asciiTheme="minorHAnsi" w:hAnsiTheme="minorHAnsi" w:cstheme="minorBidi"/>
          <w:b/>
          <w:bCs/>
          <w:sz w:val="22"/>
          <w:szCs w:val="22"/>
          <w:lang w:val="hr-HR"/>
        </w:rPr>
        <w:t xml:space="preserve"> i </w:t>
      </w:r>
      <w:r w:rsidRPr="00315275">
        <w:rPr>
          <w:rFonts w:asciiTheme="minorHAnsi" w:hAnsiTheme="minorHAnsi" w:cstheme="minorBidi"/>
          <w:b/>
          <w:bCs/>
          <w:sz w:val="22"/>
          <w:szCs w:val="22"/>
          <w:lang w:val="hr-HR"/>
        </w:rPr>
        <w:t>praksi</w:t>
      </w:r>
      <w:r w:rsidRPr="003E50D1">
        <w:rPr>
          <w:rFonts w:asciiTheme="minorHAnsi" w:hAnsiTheme="minorHAnsi" w:cstheme="minorBidi"/>
          <w:sz w:val="22"/>
          <w:szCs w:val="22"/>
          <w:lang w:val="hr-HR"/>
        </w:rPr>
        <w:t xml:space="preserve"> s lokalnim</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regionalnim vlastima unutar EU</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šire, kroz direktnu kooperaciju</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 xml:space="preserve">izmjenu znanja, unutar konteksta ''Global </w:t>
      </w:r>
      <w:r w:rsidR="00CB2BF1">
        <w:rPr>
          <w:rFonts w:asciiTheme="minorHAnsi" w:hAnsiTheme="minorHAnsi" w:cstheme="minorBidi"/>
          <w:sz w:val="22"/>
          <w:szCs w:val="22"/>
          <w:lang w:val="hr-HR"/>
        </w:rPr>
        <w:t>Covenant</w:t>
      </w:r>
      <w:r w:rsidR="00CB2BF1" w:rsidRPr="003E50D1">
        <w:rPr>
          <w:rFonts w:asciiTheme="minorHAnsi" w:hAnsiTheme="minorHAnsi" w:cstheme="minorBidi"/>
          <w:sz w:val="22"/>
          <w:szCs w:val="22"/>
          <w:lang w:val="hr-HR"/>
        </w:rPr>
        <w:t xml:space="preserve"> </w:t>
      </w:r>
      <w:r w:rsidRPr="003E50D1">
        <w:rPr>
          <w:rFonts w:asciiTheme="minorHAnsi" w:hAnsiTheme="minorHAnsi" w:cstheme="minorBidi"/>
          <w:sz w:val="22"/>
          <w:szCs w:val="22"/>
          <w:lang w:val="hr-HR"/>
        </w:rPr>
        <w:t>of Mayors'' sporazuma.</w:t>
      </w:r>
    </w:p>
    <w:p w14:paraId="19775873" w14:textId="1D937A85" w:rsidR="008B5153" w:rsidRPr="005808FC" w:rsidRDefault="008B5153" w:rsidP="005808FC">
      <w:pPr>
        <w:pStyle w:val="Obinitekst1"/>
        <w:numPr>
          <w:ilvl w:val="0"/>
          <w:numId w:val="29"/>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 xml:space="preserve">izradu </w:t>
      </w:r>
      <w:r w:rsidR="003E4C64" w:rsidRPr="003E50D1">
        <w:rPr>
          <w:rFonts w:asciiTheme="minorHAnsi" w:hAnsiTheme="minorHAnsi" w:cstheme="minorBidi"/>
          <w:b/>
          <w:bCs/>
          <w:sz w:val="22"/>
          <w:szCs w:val="22"/>
          <w:lang w:val="hr-HR"/>
        </w:rPr>
        <w:t>Akcijskog plana održivog energetskog razvoja</w:t>
      </w:r>
      <w:r w:rsidR="000509A0">
        <w:rPr>
          <w:rFonts w:asciiTheme="minorHAnsi" w:hAnsiTheme="minorHAnsi" w:cstheme="minorBidi"/>
          <w:b/>
          <w:bCs/>
          <w:sz w:val="22"/>
          <w:szCs w:val="22"/>
          <w:lang w:val="hr-HR"/>
        </w:rPr>
        <w:t xml:space="preserve"> i </w:t>
      </w:r>
      <w:r w:rsidR="003E4C64" w:rsidRPr="003E50D1">
        <w:rPr>
          <w:rFonts w:asciiTheme="minorHAnsi" w:hAnsiTheme="minorHAnsi" w:cstheme="minorBidi"/>
          <w:b/>
          <w:bCs/>
          <w:sz w:val="22"/>
          <w:szCs w:val="22"/>
          <w:lang w:val="hr-HR"/>
        </w:rPr>
        <w:t xml:space="preserve">prilagodbe klimatskim promjenama </w:t>
      </w:r>
      <w:r w:rsidR="007B2038" w:rsidRPr="005808FC">
        <w:rPr>
          <w:rFonts w:asciiTheme="minorHAnsi" w:hAnsiTheme="minorHAnsi" w:cstheme="minorBidi"/>
          <w:b/>
          <w:bCs/>
          <w:sz w:val="22"/>
          <w:szCs w:val="22"/>
          <w:lang w:val="hr-HR"/>
        </w:rPr>
        <w:t>(</w:t>
      </w:r>
      <w:r w:rsidR="007B2038">
        <w:rPr>
          <w:rFonts w:asciiTheme="minorHAnsi" w:hAnsiTheme="minorHAnsi" w:cstheme="minorBidi"/>
          <w:b/>
          <w:bCs/>
          <w:sz w:val="22"/>
          <w:szCs w:val="22"/>
          <w:lang w:val="hr-HR"/>
        </w:rPr>
        <w:t xml:space="preserve">engl. </w:t>
      </w:r>
      <w:r w:rsidR="007B2038" w:rsidRPr="00E04A0F">
        <w:rPr>
          <w:rFonts w:asciiTheme="minorHAnsi" w:hAnsiTheme="minorHAnsi" w:cstheme="minorBidi"/>
          <w:b/>
          <w:bCs/>
          <w:i/>
          <w:sz w:val="22"/>
          <w:szCs w:val="22"/>
          <w:lang w:val="hr-HR"/>
        </w:rPr>
        <w:t>Sustainable Energy and Climate Action Plan</w:t>
      </w:r>
      <w:r w:rsidR="007B2038">
        <w:rPr>
          <w:rFonts w:asciiTheme="minorHAnsi" w:hAnsiTheme="minorHAnsi" w:cstheme="minorBidi"/>
          <w:b/>
          <w:bCs/>
          <w:sz w:val="22"/>
          <w:szCs w:val="22"/>
          <w:lang w:val="hr-HR"/>
        </w:rPr>
        <w:t xml:space="preserve"> – </w:t>
      </w:r>
      <w:r w:rsidR="007B2038" w:rsidRPr="005808FC">
        <w:rPr>
          <w:rFonts w:asciiTheme="minorHAnsi" w:hAnsiTheme="minorHAnsi" w:cstheme="minorBidi"/>
          <w:b/>
          <w:bCs/>
          <w:sz w:val="22"/>
          <w:szCs w:val="22"/>
          <w:lang w:val="hr-HR"/>
        </w:rPr>
        <w:t>SECAP)</w:t>
      </w:r>
      <w:r w:rsidRPr="005808FC">
        <w:rPr>
          <w:rFonts w:asciiTheme="minorHAnsi" w:hAnsiTheme="minorHAnsi" w:cstheme="minorBidi"/>
          <w:sz w:val="22"/>
          <w:szCs w:val="22"/>
          <w:lang w:val="hr-HR"/>
        </w:rPr>
        <w:t xml:space="preserve"> unutar dvije godine od datuma pristupanja Sporazumu te pripadajuće </w:t>
      </w:r>
      <w:r w:rsidRPr="005808FC">
        <w:rPr>
          <w:rFonts w:asciiTheme="minorHAnsi" w:hAnsiTheme="minorHAnsi" w:cstheme="minorBidi"/>
          <w:b/>
          <w:bCs/>
          <w:sz w:val="22"/>
          <w:szCs w:val="22"/>
          <w:lang w:val="hr-HR"/>
        </w:rPr>
        <w:t>dokumentacije o izvještavanju</w:t>
      </w:r>
      <w:r w:rsidRPr="005808FC">
        <w:rPr>
          <w:rFonts w:asciiTheme="minorHAnsi" w:hAnsiTheme="minorHAnsi" w:cstheme="minorBidi"/>
          <w:sz w:val="22"/>
          <w:szCs w:val="22"/>
          <w:lang w:val="hr-HR"/>
        </w:rPr>
        <w:t xml:space="preserve"> provedbe Akcijskog plana </w:t>
      </w:r>
    </w:p>
    <w:p w14:paraId="2A10CF4B"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748C17BE" w14:textId="5D534E14" w:rsidR="00E85325"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Kako bi svoje političko opredjeljenje pretoč</w:t>
      </w:r>
      <w:r w:rsidRPr="003E50D1">
        <w:rPr>
          <w:rFonts w:asciiTheme="minorHAnsi" w:hAnsiTheme="minorHAnsi" w:cstheme="minorBidi"/>
          <w:sz w:val="22"/>
          <w:szCs w:val="22"/>
          <w:lang w:val="hr-HR"/>
        </w:rPr>
        <w:t>ili u praktične mjere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 xml:space="preserve">projekte, potpisnici Saveza obvezuju se u roku od dvije godine od datuma odluke lokalnoga vijeća o priključenju Sporazumu gradonačelnika donijeti </w:t>
      </w:r>
      <w:r w:rsidRPr="00291DF5">
        <w:rPr>
          <w:rFonts w:asciiTheme="minorHAnsi" w:hAnsiTheme="minorHAnsi" w:cstheme="minorBidi"/>
          <w:sz w:val="22"/>
          <w:szCs w:val="22"/>
          <w:lang w:val="hr-HR"/>
        </w:rPr>
        <w:t xml:space="preserve">SECAP koji </w:t>
      </w:r>
      <w:r w:rsidRPr="005808FC">
        <w:rPr>
          <w:rFonts w:asciiTheme="minorHAnsi" w:hAnsiTheme="minorHAnsi" w:cstheme="minorBidi"/>
          <w:sz w:val="22"/>
          <w:szCs w:val="22"/>
          <w:lang w:val="hr-HR"/>
        </w:rPr>
        <w:t xml:space="preserve">naznačuje ključne aktivnosti koje namjeravaju poduzeti. </w:t>
      </w:r>
      <w:r w:rsidRPr="00291DF5">
        <w:rPr>
          <w:rFonts w:asciiTheme="minorHAnsi" w:hAnsiTheme="minorHAnsi" w:cstheme="minorBidi"/>
          <w:sz w:val="22"/>
          <w:szCs w:val="22"/>
          <w:lang w:val="hr-HR"/>
        </w:rPr>
        <w:t>SECAP treba sadržavati Referentni inventar emisija za praćenje aktivnosti ublažavanja učinaka klimatskih promjena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Analizu klimatskih rizika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procjene ranjivosti pojedinih sektora na utjecaje klimatskih promjena. </w:t>
      </w:r>
    </w:p>
    <w:p w14:paraId="19A88E45" w14:textId="77777777" w:rsidR="00E85325" w:rsidRPr="00922031" w:rsidRDefault="00E85325" w:rsidP="00975CD4">
      <w:pPr>
        <w:pStyle w:val="Obinitekst1"/>
        <w:spacing w:line="276" w:lineRule="auto"/>
        <w:jc w:val="both"/>
        <w:rPr>
          <w:rFonts w:asciiTheme="minorHAnsi" w:hAnsiTheme="minorHAnsi" w:cstheme="minorHAnsi"/>
          <w:sz w:val="22"/>
          <w:szCs w:val="22"/>
          <w:lang w:val="hr-HR"/>
        </w:rPr>
      </w:pPr>
    </w:p>
    <w:p w14:paraId="05BF3ABA" w14:textId="117B1C2B"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Pristupanje Sporazumu gradonačelnika označava početak dugoročnog procesa</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 xml:space="preserve">priključenje aktivnoj zajednici lokalnih sredina koje se obvezuju izvještavati </w:t>
      </w:r>
      <w:r w:rsidRPr="00291DF5">
        <w:rPr>
          <w:rFonts w:asciiTheme="minorHAnsi" w:hAnsiTheme="minorHAnsi" w:cstheme="minorBidi"/>
          <w:sz w:val="22"/>
          <w:szCs w:val="22"/>
          <w:lang w:val="hr-HR"/>
        </w:rPr>
        <w:t>o provedbi planova te unaprjeđivati svakodnevicu građana kroz primjenu novih aktivnosti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pridonošenje održivoj budućnosti.</w:t>
      </w:r>
    </w:p>
    <w:p w14:paraId="74B4591E" w14:textId="3AF448EE" w:rsidR="008B5153" w:rsidRPr="00922031" w:rsidRDefault="008B5153" w:rsidP="00F5641B">
      <w:pPr>
        <w:pStyle w:val="Heading2"/>
      </w:pPr>
      <w:r w:rsidRPr="00922031">
        <w:br w:type="page"/>
      </w:r>
      <w:bookmarkStart w:id="20" w:name="_Toc251920717"/>
      <w:bookmarkStart w:id="21" w:name="_Toc4156060"/>
      <w:r w:rsidRPr="00922031">
        <w:lastRenderedPageBreak/>
        <w:t>Što je Akcijski plan energetski održivog razvitka</w:t>
      </w:r>
      <w:r w:rsidR="000509A0">
        <w:t xml:space="preserve"> i </w:t>
      </w:r>
      <w:r w:rsidRPr="00922031">
        <w:t>prilagodbe na klimatske promjene – SECAP?</w:t>
      </w:r>
      <w:bookmarkEnd w:id="20"/>
      <w:bookmarkEnd w:id="21"/>
    </w:p>
    <w:p w14:paraId="33F16518" w14:textId="786B32FC"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Kao posljedica konzultacija o budućno</w:t>
      </w:r>
      <w:r w:rsidRPr="003E50D1">
        <w:rPr>
          <w:rFonts w:asciiTheme="minorHAnsi" w:hAnsiTheme="minorHAnsi" w:cstheme="minorBidi"/>
          <w:sz w:val="22"/>
          <w:szCs w:val="22"/>
          <w:lang w:val="hr-HR"/>
        </w:rPr>
        <w:t>sti Sporazuma gradonačelnika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osnivanju nove inačice Sporazuma kao Sporazuma gradonačelnika za klimu</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energiju u listopadu 2015. godine, Akcijski plan energetski održivog razvitka (SEAP) unaprijeđen je u novu verziju plana koja nosi naziv Akcijski plan e</w:t>
      </w:r>
      <w:r w:rsidRPr="00291DF5">
        <w:rPr>
          <w:rFonts w:asciiTheme="minorHAnsi" w:hAnsiTheme="minorHAnsi" w:cstheme="minorBidi"/>
          <w:sz w:val="22"/>
          <w:szCs w:val="22"/>
          <w:lang w:val="hr-HR"/>
        </w:rPr>
        <w:t>nergetski održivog razvitka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prilagodbe klimatskim promjenama (eng. </w:t>
      </w:r>
      <w:r w:rsidRPr="00544C30">
        <w:rPr>
          <w:rFonts w:asciiTheme="minorHAnsi" w:hAnsiTheme="minorHAnsi" w:cstheme="minorBidi"/>
          <w:i/>
          <w:sz w:val="22"/>
          <w:szCs w:val="22"/>
          <w:lang w:val="hr-HR"/>
        </w:rPr>
        <w:t>Sustainable Energy and Climate Action Plan</w:t>
      </w:r>
      <w:r w:rsidRPr="00291DF5">
        <w:rPr>
          <w:rFonts w:asciiTheme="minorHAnsi" w:hAnsiTheme="minorHAnsi" w:cstheme="minorBidi"/>
          <w:sz w:val="22"/>
          <w:szCs w:val="22"/>
          <w:lang w:val="hr-HR"/>
        </w:rPr>
        <w:t xml:space="preserve"> – SECAP).</w:t>
      </w:r>
    </w:p>
    <w:p w14:paraId="4EC02295" w14:textId="77777777" w:rsidR="008B5153" w:rsidRPr="00922031" w:rsidRDefault="008B5153" w:rsidP="00975CD4">
      <w:pPr>
        <w:pStyle w:val="Obinitekst1"/>
        <w:tabs>
          <w:tab w:val="left" w:pos="951"/>
        </w:tabs>
        <w:spacing w:line="276" w:lineRule="auto"/>
        <w:jc w:val="both"/>
        <w:rPr>
          <w:rFonts w:asciiTheme="minorHAnsi" w:hAnsiTheme="minorHAnsi" w:cstheme="minorHAnsi"/>
          <w:sz w:val="22"/>
          <w:szCs w:val="22"/>
          <w:lang w:val="hr-HR"/>
        </w:rPr>
      </w:pPr>
      <w:r w:rsidRPr="00922031">
        <w:rPr>
          <w:rFonts w:asciiTheme="minorHAnsi" w:hAnsiTheme="minorHAnsi" w:cstheme="minorHAnsi"/>
          <w:sz w:val="22"/>
          <w:szCs w:val="22"/>
          <w:lang w:val="hr-HR"/>
        </w:rPr>
        <w:tab/>
      </w:r>
    </w:p>
    <w:p w14:paraId="3BFB984E" w14:textId="31C8A0F3"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 xml:space="preserve">SECAP predstavlja ključni dokument </w:t>
      </w:r>
      <w:r w:rsidR="0DFBE047" w:rsidRPr="003E50D1">
        <w:rPr>
          <w:rFonts w:asciiTheme="minorHAnsi" w:hAnsiTheme="minorHAnsi" w:cstheme="minorBidi"/>
          <w:sz w:val="22"/>
          <w:szCs w:val="22"/>
          <w:lang w:val="hr-HR"/>
        </w:rPr>
        <w:t xml:space="preserve">gradske razine </w:t>
      </w:r>
      <w:r w:rsidRPr="003E50D1">
        <w:rPr>
          <w:rFonts w:asciiTheme="minorHAnsi" w:hAnsiTheme="minorHAnsi" w:cstheme="minorBidi"/>
          <w:sz w:val="22"/>
          <w:szCs w:val="22"/>
          <w:lang w:val="hr-HR"/>
        </w:rPr>
        <w:t>koji na bazi prikupljenih podataka o zatečenom stanju identificira te daje precizn</w:t>
      </w:r>
      <w:r w:rsidRPr="00291DF5">
        <w:rPr>
          <w:rFonts w:asciiTheme="minorHAnsi" w:hAnsiTheme="minorHAnsi" w:cstheme="minorBidi"/>
          <w:sz w:val="22"/>
          <w:szCs w:val="22"/>
          <w:lang w:val="hr-HR"/>
        </w:rPr>
        <w:t>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jasne odrednice za provedbu projekata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mjera energetske učinkovitosti</w:t>
      </w:r>
      <w:r w:rsidR="0DFBE047" w:rsidRPr="005808FC">
        <w:rPr>
          <w:rFonts w:asciiTheme="minorHAnsi" w:hAnsiTheme="minorHAnsi" w:cstheme="minorBidi"/>
          <w:sz w:val="22"/>
          <w:szCs w:val="22"/>
          <w:lang w:val="hr-HR"/>
        </w:rPr>
        <w:t xml:space="preserve">, </w:t>
      </w:r>
      <w:r w:rsidRPr="005808FC">
        <w:rPr>
          <w:rFonts w:asciiTheme="minorHAnsi" w:hAnsiTheme="minorHAnsi" w:cstheme="minorBidi"/>
          <w:sz w:val="22"/>
          <w:szCs w:val="22"/>
          <w:lang w:val="hr-HR"/>
        </w:rPr>
        <w:t>korištenja obnovljivih izvora energije</w:t>
      </w:r>
      <w:r w:rsidR="00B25B9E" w:rsidRPr="005808FC">
        <w:rPr>
          <w:rFonts w:asciiTheme="minorHAnsi" w:hAnsiTheme="minorHAnsi" w:cstheme="minorBidi"/>
          <w:sz w:val="22"/>
          <w:szCs w:val="22"/>
          <w:lang w:val="hr-HR"/>
        </w:rPr>
        <w:t xml:space="preserve"> </w:t>
      </w:r>
      <w:r w:rsidRPr="005808FC">
        <w:rPr>
          <w:rFonts w:asciiTheme="minorHAnsi" w:hAnsiTheme="minorHAnsi" w:cstheme="minorBidi"/>
          <w:sz w:val="22"/>
          <w:szCs w:val="22"/>
          <w:lang w:val="hr-HR"/>
        </w:rPr>
        <w:t>te prilagodbe učincima klimatskih promjena</w:t>
      </w:r>
      <w:r w:rsidR="66A1FE32" w:rsidRPr="005808FC">
        <w:rPr>
          <w:rFonts w:asciiTheme="minorHAnsi" w:hAnsiTheme="minorHAnsi" w:cstheme="minorBidi"/>
          <w:sz w:val="22"/>
          <w:szCs w:val="22"/>
          <w:lang w:val="hr-HR"/>
        </w:rPr>
        <w:t xml:space="preserve">. </w:t>
      </w:r>
      <w:r w:rsidR="103845E2" w:rsidRPr="005808FC">
        <w:rPr>
          <w:rFonts w:asciiTheme="minorHAnsi" w:hAnsiTheme="minorHAnsi" w:cstheme="minorBidi"/>
          <w:sz w:val="22"/>
          <w:szCs w:val="22"/>
          <w:lang w:val="hr-HR"/>
        </w:rPr>
        <w:t xml:space="preserve"> Akcijski plan se fokusira na dugoročne utjecaje klimatskih promjena na područje lokalne zajednice, uzima u obzir energetsku učinkovitost te daje mjerljive ciljeve</w:t>
      </w:r>
      <w:r w:rsidR="000509A0">
        <w:rPr>
          <w:rFonts w:asciiTheme="minorHAnsi" w:hAnsiTheme="minorHAnsi" w:cstheme="minorBidi"/>
          <w:sz w:val="22"/>
          <w:szCs w:val="22"/>
          <w:lang w:val="hr-HR"/>
        </w:rPr>
        <w:t xml:space="preserve"> i </w:t>
      </w:r>
      <w:r w:rsidR="103845E2" w:rsidRPr="005808FC">
        <w:rPr>
          <w:rFonts w:asciiTheme="minorHAnsi" w:hAnsiTheme="minorHAnsi" w:cstheme="minorBidi"/>
          <w:sz w:val="22"/>
          <w:szCs w:val="22"/>
          <w:lang w:val="hr-HR"/>
        </w:rPr>
        <w:t>rezultate vezane uz smanjenje potrošnje energije</w:t>
      </w:r>
      <w:r w:rsidR="000509A0">
        <w:rPr>
          <w:rFonts w:asciiTheme="minorHAnsi" w:hAnsiTheme="minorHAnsi" w:cstheme="minorBidi"/>
          <w:sz w:val="22"/>
          <w:szCs w:val="22"/>
          <w:lang w:val="hr-HR"/>
        </w:rPr>
        <w:t xml:space="preserve"> i </w:t>
      </w:r>
      <w:r w:rsidR="103845E2" w:rsidRPr="005808FC">
        <w:rPr>
          <w:rFonts w:asciiTheme="minorHAnsi" w:hAnsiTheme="minorHAnsi" w:cstheme="minorBidi"/>
          <w:sz w:val="22"/>
          <w:szCs w:val="22"/>
          <w:lang w:val="hr-HR"/>
        </w:rPr>
        <w:t>emisija CO</w:t>
      </w:r>
      <w:r w:rsidR="103845E2" w:rsidRPr="005808FC">
        <w:rPr>
          <w:rFonts w:asciiTheme="minorHAnsi" w:hAnsiTheme="minorHAnsi" w:cstheme="minorBidi"/>
          <w:sz w:val="22"/>
          <w:szCs w:val="22"/>
          <w:vertAlign w:val="subscript"/>
          <w:lang w:val="hr-HR"/>
        </w:rPr>
        <w:t>2</w:t>
      </w:r>
      <w:r w:rsidR="103845E2" w:rsidRPr="005808FC">
        <w:rPr>
          <w:rFonts w:asciiTheme="minorHAnsi" w:hAnsiTheme="minorHAnsi" w:cstheme="minorBidi"/>
          <w:sz w:val="22"/>
          <w:szCs w:val="22"/>
          <w:lang w:val="hr-HR"/>
        </w:rPr>
        <w:t xml:space="preserve">. </w:t>
      </w:r>
      <w:r w:rsidR="66A1FE32" w:rsidRPr="00315275">
        <w:rPr>
          <w:rFonts w:asciiTheme="minorHAnsi" w:hAnsiTheme="minorHAnsi" w:cstheme="minorBidi"/>
          <w:sz w:val="22"/>
          <w:szCs w:val="22"/>
          <w:lang w:val="hr-HR"/>
        </w:rPr>
        <w:t>Glavn</w:t>
      </w:r>
      <w:r w:rsidR="3319A51D" w:rsidRPr="003E50D1">
        <w:rPr>
          <w:rFonts w:asciiTheme="minorHAnsi" w:hAnsiTheme="minorHAnsi" w:cstheme="minorBidi"/>
          <w:sz w:val="22"/>
          <w:szCs w:val="22"/>
          <w:lang w:val="hr-HR"/>
        </w:rPr>
        <w:t>i cilj</w:t>
      </w:r>
      <w:r w:rsidR="66A1FE32" w:rsidRPr="003E50D1">
        <w:rPr>
          <w:rFonts w:asciiTheme="minorHAnsi" w:hAnsiTheme="minorHAnsi" w:cstheme="minorBidi"/>
          <w:sz w:val="22"/>
          <w:szCs w:val="22"/>
          <w:lang w:val="hr-HR"/>
        </w:rPr>
        <w:t xml:space="preserve"> SECAP-a </w:t>
      </w:r>
      <w:r w:rsidR="3319A51D" w:rsidRPr="00291DF5">
        <w:rPr>
          <w:rFonts w:asciiTheme="minorHAnsi" w:hAnsiTheme="minorHAnsi" w:cstheme="minorBidi"/>
          <w:sz w:val="22"/>
          <w:szCs w:val="22"/>
          <w:lang w:val="hr-HR"/>
        </w:rPr>
        <w:t>j</w:t>
      </w:r>
      <w:r w:rsidRPr="005808FC">
        <w:rPr>
          <w:rFonts w:asciiTheme="minorHAnsi" w:hAnsiTheme="minorHAnsi" w:cstheme="minorBidi"/>
          <w:sz w:val="22"/>
          <w:szCs w:val="22"/>
          <w:lang w:val="hr-HR"/>
        </w:rPr>
        <w:t xml:space="preserve">e </w:t>
      </w:r>
      <w:r w:rsidR="3319A51D" w:rsidRPr="005808FC">
        <w:rPr>
          <w:rFonts w:asciiTheme="minorHAnsi" w:hAnsiTheme="minorHAnsi" w:cstheme="minorBidi"/>
          <w:sz w:val="22"/>
          <w:szCs w:val="22"/>
          <w:lang w:val="hr-HR"/>
        </w:rPr>
        <w:t xml:space="preserve">postići da predložene mjere </w:t>
      </w:r>
      <w:r w:rsidRPr="005808FC">
        <w:rPr>
          <w:rFonts w:asciiTheme="minorHAnsi" w:hAnsiTheme="minorHAnsi" w:cstheme="minorBidi"/>
          <w:sz w:val="22"/>
          <w:szCs w:val="22"/>
          <w:lang w:val="hr-HR"/>
        </w:rPr>
        <w:t>rezultira</w:t>
      </w:r>
      <w:r w:rsidR="103845E2" w:rsidRPr="005808FC">
        <w:rPr>
          <w:rFonts w:asciiTheme="minorHAnsi" w:hAnsiTheme="minorHAnsi" w:cstheme="minorBidi"/>
          <w:sz w:val="22"/>
          <w:szCs w:val="22"/>
          <w:lang w:val="hr-HR"/>
        </w:rPr>
        <w:t>ju</w:t>
      </w:r>
      <w:r w:rsidRPr="005808FC">
        <w:rPr>
          <w:rFonts w:asciiTheme="minorHAnsi" w:hAnsiTheme="minorHAnsi" w:cstheme="minorBidi"/>
          <w:sz w:val="22"/>
          <w:szCs w:val="22"/>
          <w:lang w:val="hr-HR"/>
        </w:rPr>
        <w:t xml:space="preserve"> smanjenjem emisije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 više od 40% do 2030. godine.</w:t>
      </w:r>
    </w:p>
    <w:p w14:paraId="3E0EAA93"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53B292C2" w14:textId="78D36773"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Potpisivanjem Sporazuma g</w:t>
      </w:r>
      <w:r w:rsidRPr="003E50D1">
        <w:rPr>
          <w:rFonts w:asciiTheme="minorHAnsi" w:hAnsiTheme="minorHAnsi" w:cstheme="minorBidi"/>
          <w:sz w:val="22"/>
          <w:szCs w:val="22"/>
          <w:lang w:val="hr-HR"/>
        </w:rPr>
        <w:t>radonačelnici se obvezuju na izradu Akcijskog plana energetski održivog razvitka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 xml:space="preserve">prilagodbe klimatskim promjenama grada koji treba biti dostavljen Europskoj komisiji unutar razdoblja od dvije godine od pristupanja Sporazumu te izradu periodičkih izvješća. </w:t>
      </w:r>
    </w:p>
    <w:p w14:paraId="04B4EFA7"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2C5A7E9C" w14:textId="0356502F"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SECAP treba sadržavati:</w:t>
      </w:r>
    </w:p>
    <w:p w14:paraId="26B7EF34" w14:textId="77777777"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Referentni inventar emisija za praćenje aktivnosti ublažavanja učinaka klimatskih promjena</w:t>
      </w:r>
    </w:p>
    <w:p w14:paraId="79607122" w14:textId="77777777"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 xml:space="preserve">Mjere ublažavanja učinaka klimatskih promjena (eng. </w:t>
      </w:r>
      <w:r w:rsidRPr="00315275">
        <w:rPr>
          <w:rFonts w:asciiTheme="minorHAnsi" w:hAnsiTheme="minorHAnsi" w:cstheme="minorBidi"/>
          <w:i/>
          <w:iCs/>
          <w:sz w:val="22"/>
          <w:szCs w:val="22"/>
          <w:lang w:val="hr-HR"/>
        </w:rPr>
        <w:t>Mitig</w:t>
      </w:r>
      <w:r w:rsidRPr="003E50D1">
        <w:rPr>
          <w:rFonts w:asciiTheme="minorHAnsi" w:hAnsiTheme="minorHAnsi" w:cstheme="minorBidi"/>
          <w:i/>
          <w:iCs/>
          <w:sz w:val="22"/>
          <w:szCs w:val="22"/>
          <w:lang w:val="hr-HR"/>
        </w:rPr>
        <w:t>ation</w:t>
      </w:r>
      <w:r w:rsidRPr="00315275">
        <w:rPr>
          <w:rFonts w:asciiTheme="minorHAnsi" w:hAnsiTheme="minorHAnsi" w:cstheme="minorBidi"/>
          <w:sz w:val="22"/>
          <w:szCs w:val="22"/>
          <w:lang w:val="hr-HR"/>
        </w:rPr>
        <w:t>)</w:t>
      </w:r>
    </w:p>
    <w:p w14:paraId="03E11DFD" w14:textId="3857B6AD"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bookmarkStart w:id="22" w:name="_Hlk516054608"/>
      <w:r w:rsidRPr="00315275">
        <w:rPr>
          <w:rFonts w:asciiTheme="minorHAnsi" w:hAnsiTheme="minorHAnsi" w:cstheme="minorBidi"/>
          <w:sz w:val="22"/>
          <w:szCs w:val="22"/>
          <w:lang w:val="hr-HR"/>
        </w:rPr>
        <w:t>Analizu rizika</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procjene ranjivosti pojedinih sektora na utjecaje klimatskih promjena</w:t>
      </w:r>
      <w:bookmarkEnd w:id="22"/>
      <w:r w:rsidRPr="00315275">
        <w:rPr>
          <w:rFonts w:asciiTheme="minorHAnsi" w:hAnsiTheme="minorHAnsi" w:cstheme="minorBidi"/>
          <w:sz w:val="22"/>
          <w:szCs w:val="22"/>
          <w:lang w:val="hr-HR"/>
        </w:rPr>
        <w:t>.</w:t>
      </w:r>
    </w:p>
    <w:p w14:paraId="6E483778" w14:textId="77777777"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 xml:space="preserve">Mjere prilagodbe klimatskim promjenama (eng. </w:t>
      </w:r>
      <w:r w:rsidRPr="00315275">
        <w:rPr>
          <w:rFonts w:asciiTheme="minorHAnsi" w:hAnsiTheme="minorHAnsi" w:cstheme="minorBidi"/>
          <w:i/>
          <w:iCs/>
          <w:sz w:val="22"/>
          <w:szCs w:val="22"/>
          <w:lang w:val="hr-HR"/>
        </w:rPr>
        <w:t>Adaptation</w:t>
      </w:r>
      <w:r w:rsidRPr="00315275">
        <w:rPr>
          <w:rFonts w:asciiTheme="minorHAnsi" w:hAnsiTheme="minorHAnsi" w:cstheme="minorBidi"/>
          <w:sz w:val="22"/>
          <w:szCs w:val="22"/>
          <w:lang w:val="hr-HR"/>
        </w:rPr>
        <w:t>)</w:t>
      </w:r>
    </w:p>
    <w:p w14:paraId="6384D826"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3A5A1E96" w14:textId="14FFA4EC"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Obveze iz Akcijskog plana odnose se na čitavo područje grada, kako javnog tako</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privatnog sektora. Plan definira aktivnosti u raznim sektorima uz naglasak na sektore zgradarstva, prometa</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javne rasvjete, kao sektore gdje lokalna vlast ima najveći utjecaj</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koji najviše doprinose potrošnji energije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emisiji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w:t>
      </w:r>
    </w:p>
    <w:p w14:paraId="2E542979"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6DC7DDA6" w14:textId="3380B2EB"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Općenito, Akcijski plan u svim svojim segmentima treba biti usuglašen s institucionalnim</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zakonskim okvirima na EU, nacionalnoj</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 xml:space="preserve">lokalnoj razini te pokrivati razdoblje do 2030. godine. </w:t>
      </w:r>
    </w:p>
    <w:p w14:paraId="278F0937"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356149A4" w14:textId="5EC08136"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Europs</w:t>
      </w:r>
      <w:r w:rsidRPr="003E50D1">
        <w:rPr>
          <w:rFonts w:asciiTheme="minorHAnsi" w:hAnsiTheme="minorHAnsi" w:cstheme="minorBidi"/>
          <w:sz w:val="22"/>
          <w:szCs w:val="22"/>
          <w:lang w:val="hr-HR"/>
        </w:rPr>
        <w:t>ka komisija je u cilju olakšavanja pripreme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provedbe SECAP-a te uspoređivanja postignutih rezultata među europskim gradovima pripremila prateće dokumente te je ovaj Akcijski plan izrađen je u skladu s uputama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alatima unutar tih dokumenata:</w:t>
      </w:r>
    </w:p>
    <w:p w14:paraId="7052D711" w14:textId="77777777" w:rsidR="008B5153" w:rsidRPr="005808FC" w:rsidRDefault="008B5153" w:rsidP="005808FC">
      <w:pPr>
        <w:pStyle w:val="Obinitekst1"/>
        <w:numPr>
          <w:ilvl w:val="0"/>
          <w:numId w:val="31"/>
        </w:numPr>
        <w:spacing w:line="276" w:lineRule="auto"/>
        <w:jc w:val="both"/>
        <w:rPr>
          <w:rFonts w:asciiTheme="minorHAnsi" w:hAnsiTheme="minorHAnsi" w:cstheme="minorBidi"/>
          <w:sz w:val="22"/>
          <w:szCs w:val="22"/>
          <w:lang w:val="hr-HR"/>
        </w:rPr>
      </w:pPr>
      <w:r w:rsidRPr="00315275">
        <w:rPr>
          <w:rFonts w:asciiTheme="minorHAnsi" w:hAnsiTheme="minorHAnsi" w:cstheme="minorBidi"/>
          <w:i/>
          <w:iCs/>
          <w:sz w:val="22"/>
          <w:szCs w:val="22"/>
          <w:lang w:val="hr-HR"/>
        </w:rPr>
        <w:t>Priručnik za</w:t>
      </w:r>
      <w:r w:rsidRPr="003E50D1">
        <w:rPr>
          <w:rFonts w:asciiTheme="minorHAnsi" w:hAnsiTheme="minorHAnsi" w:cstheme="minorBidi"/>
          <w:i/>
          <w:iCs/>
          <w:sz w:val="22"/>
          <w:szCs w:val="22"/>
          <w:lang w:val="hr-HR"/>
        </w:rPr>
        <w:t xml:space="preserve"> izradu Akcijskog plana energetski održivog razvitka grada</w:t>
      </w:r>
      <w:r w:rsidRPr="003E50D1">
        <w:rPr>
          <w:rFonts w:asciiTheme="minorHAnsi" w:hAnsiTheme="minorHAnsi" w:cstheme="minorBidi"/>
          <w:sz w:val="22"/>
          <w:szCs w:val="22"/>
          <w:lang w:val="hr-HR"/>
        </w:rPr>
        <w:t>;</w:t>
      </w:r>
    </w:p>
    <w:p w14:paraId="351193BF" w14:textId="686EF5FC" w:rsidR="008B5153" w:rsidRPr="005808FC" w:rsidRDefault="008B5153" w:rsidP="005808FC">
      <w:pPr>
        <w:pStyle w:val="Obinitekst1"/>
        <w:numPr>
          <w:ilvl w:val="0"/>
          <w:numId w:val="31"/>
        </w:numPr>
        <w:spacing w:line="276" w:lineRule="auto"/>
        <w:jc w:val="both"/>
        <w:rPr>
          <w:rFonts w:asciiTheme="minorHAnsi" w:hAnsiTheme="minorHAnsi" w:cstheme="minorBidi"/>
          <w:sz w:val="22"/>
          <w:szCs w:val="22"/>
          <w:lang w:val="hr-HR"/>
        </w:rPr>
      </w:pPr>
      <w:r w:rsidRPr="00315275">
        <w:rPr>
          <w:rFonts w:asciiTheme="minorHAnsi" w:hAnsiTheme="minorHAnsi" w:cstheme="minorBidi"/>
          <w:i/>
          <w:iCs/>
          <w:sz w:val="22"/>
          <w:szCs w:val="22"/>
          <w:lang w:val="hr-HR"/>
        </w:rPr>
        <w:t>Preporuke za izvještavanje Sporazuma gradonačelnika za klimu</w:t>
      </w:r>
      <w:r w:rsidR="000509A0">
        <w:rPr>
          <w:rFonts w:asciiTheme="minorHAnsi" w:hAnsiTheme="minorHAnsi" w:cstheme="minorBidi"/>
          <w:i/>
          <w:iCs/>
          <w:sz w:val="22"/>
          <w:szCs w:val="22"/>
          <w:lang w:val="hr-HR"/>
        </w:rPr>
        <w:t xml:space="preserve"> i </w:t>
      </w:r>
      <w:r w:rsidRPr="00315275">
        <w:rPr>
          <w:rFonts w:asciiTheme="minorHAnsi" w:hAnsiTheme="minorHAnsi" w:cstheme="minorBidi"/>
          <w:i/>
          <w:iCs/>
          <w:sz w:val="22"/>
          <w:szCs w:val="22"/>
          <w:lang w:val="hr-HR"/>
        </w:rPr>
        <w:t>energiju</w:t>
      </w:r>
      <w:r w:rsidR="000E70E0">
        <w:rPr>
          <w:rFonts w:asciiTheme="minorHAnsi" w:hAnsiTheme="minorHAnsi" w:cstheme="minorBidi"/>
          <w:i/>
          <w:iCs/>
          <w:sz w:val="22"/>
          <w:szCs w:val="22"/>
          <w:lang w:val="hr-HR"/>
        </w:rPr>
        <w:t>;</w:t>
      </w:r>
      <w:r w:rsidRPr="00315275">
        <w:rPr>
          <w:rFonts w:asciiTheme="minorHAnsi" w:hAnsiTheme="minorHAnsi" w:cstheme="minorBidi"/>
          <w:i/>
          <w:iCs/>
          <w:sz w:val="22"/>
          <w:szCs w:val="22"/>
          <w:lang w:val="hr-HR"/>
        </w:rPr>
        <w:t xml:space="preserve"> </w:t>
      </w:r>
    </w:p>
    <w:p w14:paraId="39689D43" w14:textId="114C5A81" w:rsidR="008B5153" w:rsidRPr="005808FC" w:rsidRDefault="00DA01A7" w:rsidP="005808FC">
      <w:pPr>
        <w:pStyle w:val="Obinitekst1"/>
        <w:numPr>
          <w:ilvl w:val="0"/>
          <w:numId w:val="31"/>
        </w:numPr>
        <w:spacing w:line="276" w:lineRule="auto"/>
        <w:jc w:val="both"/>
        <w:rPr>
          <w:rFonts w:asciiTheme="minorHAnsi" w:hAnsiTheme="minorHAnsi" w:cstheme="minorBidi"/>
        </w:rPr>
      </w:pPr>
      <w:r>
        <w:rPr>
          <w:rFonts w:asciiTheme="minorHAnsi" w:hAnsiTheme="minorHAnsi" w:cstheme="minorBidi"/>
          <w:sz w:val="22"/>
          <w:szCs w:val="22"/>
          <w:lang w:val="hr-HR"/>
        </w:rPr>
        <w:t>A</w:t>
      </w:r>
      <w:r w:rsidRPr="00315275">
        <w:rPr>
          <w:rFonts w:asciiTheme="minorHAnsi" w:hAnsiTheme="minorHAnsi" w:cstheme="minorBidi"/>
          <w:sz w:val="22"/>
          <w:szCs w:val="22"/>
          <w:lang w:val="hr-HR"/>
        </w:rPr>
        <w:t xml:space="preserve">late </w:t>
      </w:r>
      <w:r w:rsidR="008B5153" w:rsidRPr="00315275">
        <w:rPr>
          <w:rFonts w:asciiTheme="minorHAnsi" w:hAnsiTheme="minorHAnsi" w:cstheme="minorBidi"/>
          <w:sz w:val="22"/>
          <w:szCs w:val="22"/>
          <w:lang w:val="hr-HR"/>
        </w:rPr>
        <w:t xml:space="preserve">dostupne na platformi </w:t>
      </w:r>
      <w:r w:rsidR="008B5153" w:rsidRPr="00315275">
        <w:rPr>
          <w:rFonts w:asciiTheme="minorHAnsi" w:hAnsiTheme="minorHAnsi" w:cstheme="minorBidi"/>
          <w:i/>
          <w:iCs/>
          <w:sz w:val="22"/>
          <w:szCs w:val="22"/>
          <w:lang w:val="hr-HR"/>
        </w:rPr>
        <w:t>Urban-Adaptation Support Tool (Urban-AST)</w:t>
      </w:r>
    </w:p>
    <w:p w14:paraId="6A943686" w14:textId="77777777" w:rsidR="00D13263" w:rsidRPr="00922031" w:rsidRDefault="00D13263" w:rsidP="00D13263">
      <w:pPr>
        <w:pStyle w:val="Obinitekst1"/>
        <w:spacing w:line="276" w:lineRule="auto"/>
        <w:ind w:left="720"/>
        <w:jc w:val="both"/>
        <w:rPr>
          <w:rFonts w:asciiTheme="minorHAnsi" w:hAnsiTheme="minorHAnsi" w:cstheme="minorHAnsi"/>
        </w:rPr>
      </w:pPr>
    </w:p>
    <w:p w14:paraId="7D65E17D" w14:textId="53325589" w:rsidR="008B5153" w:rsidRPr="00922031" w:rsidRDefault="008B5153" w:rsidP="00F5641B">
      <w:pPr>
        <w:pStyle w:val="Heading2"/>
      </w:pPr>
      <w:bookmarkStart w:id="23" w:name="_Toc251920718"/>
      <w:bookmarkStart w:id="24" w:name="_Toc4156061"/>
      <w:r w:rsidRPr="00922031">
        <w:lastRenderedPageBreak/>
        <w:t>Energetska</w:t>
      </w:r>
      <w:r w:rsidR="000509A0">
        <w:t xml:space="preserve"> i </w:t>
      </w:r>
      <w:r w:rsidRPr="00922031">
        <w:t>klimatska politika Grada Zagreba</w:t>
      </w:r>
      <w:bookmarkEnd w:id="23"/>
      <w:bookmarkEnd w:id="24"/>
    </w:p>
    <w:p w14:paraId="4888638F" w14:textId="147DDA0D" w:rsidR="008B5153" w:rsidRPr="005808FC" w:rsidRDefault="008B5153">
      <w:pPr>
        <w:rPr>
          <w:lang w:eastAsia="hr-HR"/>
        </w:rPr>
      </w:pPr>
      <w:r w:rsidRPr="00315275">
        <w:rPr>
          <w:lang w:eastAsia="hr-HR"/>
        </w:rPr>
        <w:t xml:space="preserve">Javni </w:t>
      </w:r>
      <w:r w:rsidRPr="003E50D1">
        <w:rPr>
          <w:lang w:eastAsia="hr-HR"/>
        </w:rPr>
        <w:t>sektor ima zakonsku obvezu racionalno koristiti</w:t>
      </w:r>
      <w:r w:rsidR="000509A0">
        <w:rPr>
          <w:lang w:eastAsia="hr-HR"/>
        </w:rPr>
        <w:t xml:space="preserve"> i </w:t>
      </w:r>
      <w:r w:rsidRPr="003E50D1">
        <w:rPr>
          <w:lang w:eastAsia="hr-HR"/>
        </w:rPr>
        <w:t>sustavno upravljati energijom u svim svojim objektima na nacionalnoj, regionalnoj</w:t>
      </w:r>
      <w:r w:rsidR="000509A0">
        <w:rPr>
          <w:lang w:eastAsia="hr-HR"/>
        </w:rPr>
        <w:t xml:space="preserve"> i </w:t>
      </w:r>
      <w:r w:rsidRPr="003E50D1">
        <w:rPr>
          <w:lang w:eastAsia="hr-HR"/>
        </w:rPr>
        <w:t>lokalnoj razini. Stoga upravo on treba biti pokretač</w:t>
      </w:r>
      <w:r w:rsidR="000509A0">
        <w:rPr>
          <w:lang w:eastAsia="hr-HR"/>
        </w:rPr>
        <w:t xml:space="preserve"> i </w:t>
      </w:r>
      <w:r w:rsidRPr="003E50D1">
        <w:rPr>
          <w:lang w:eastAsia="hr-HR"/>
        </w:rPr>
        <w:t>promicatelj aktivnosti za primjenu mjera poboljšanja energetske uči</w:t>
      </w:r>
      <w:r w:rsidRPr="00291DF5">
        <w:rPr>
          <w:lang w:eastAsia="hr-HR"/>
        </w:rPr>
        <w:t>nkovitosti</w:t>
      </w:r>
      <w:r w:rsidR="000509A0">
        <w:rPr>
          <w:lang w:eastAsia="hr-HR"/>
        </w:rPr>
        <w:t xml:space="preserve"> i </w:t>
      </w:r>
      <w:r w:rsidRPr="00291DF5">
        <w:rPr>
          <w:lang w:eastAsia="hr-HR"/>
        </w:rPr>
        <w:t>sm</w:t>
      </w:r>
      <w:r w:rsidRPr="005808FC">
        <w:rPr>
          <w:lang w:eastAsia="hr-HR"/>
        </w:rPr>
        <w:t>anjenja emisija štetnih plinova.</w:t>
      </w:r>
    </w:p>
    <w:p w14:paraId="33603533" w14:textId="0A8BA718" w:rsidR="008B5153" w:rsidRPr="005808FC" w:rsidRDefault="008B5153">
      <w:pPr>
        <w:rPr>
          <w:lang w:eastAsia="hr-HR"/>
        </w:rPr>
      </w:pPr>
      <w:r w:rsidRPr="005808FC">
        <w:rPr>
          <w:lang w:eastAsia="hr-HR"/>
        </w:rPr>
        <w:t>Kao glavni grad Republike Hrvatske, Grad Zagreb ima obvezu</w:t>
      </w:r>
      <w:r w:rsidR="000509A0">
        <w:rPr>
          <w:lang w:eastAsia="hr-HR"/>
        </w:rPr>
        <w:t xml:space="preserve"> i </w:t>
      </w:r>
      <w:r w:rsidRPr="00291DF5">
        <w:rPr>
          <w:lang w:eastAsia="hr-HR"/>
        </w:rPr>
        <w:t>odgovornost</w:t>
      </w:r>
      <w:r w:rsidR="000509A0">
        <w:rPr>
          <w:lang w:eastAsia="hr-HR"/>
        </w:rPr>
        <w:t xml:space="preserve"> i </w:t>
      </w:r>
      <w:r w:rsidRPr="00291DF5">
        <w:rPr>
          <w:lang w:eastAsia="hr-HR"/>
        </w:rPr>
        <w:t>želi maksimalno poduprijeti</w:t>
      </w:r>
      <w:r w:rsidR="000509A0">
        <w:rPr>
          <w:lang w:eastAsia="hr-HR"/>
        </w:rPr>
        <w:t xml:space="preserve"> i </w:t>
      </w:r>
      <w:r w:rsidRPr="00291DF5">
        <w:rPr>
          <w:lang w:eastAsia="hr-HR"/>
        </w:rPr>
        <w:t>provoditi odgovarajuće mjere u cilju racionalnog korištenja energije, primjene mjera energetske učinkovitosti</w:t>
      </w:r>
      <w:r w:rsidRPr="005808FC">
        <w:rPr>
          <w:lang w:eastAsia="hr-HR"/>
        </w:rPr>
        <w:t>, prilagodbe klimatskim promjenama, primjene obnovljivih izvora energije</w:t>
      </w:r>
      <w:r w:rsidR="000509A0">
        <w:rPr>
          <w:lang w:eastAsia="hr-HR"/>
        </w:rPr>
        <w:t xml:space="preserve"> i </w:t>
      </w:r>
      <w:r w:rsidRPr="00291DF5">
        <w:rPr>
          <w:lang w:eastAsia="hr-HR"/>
        </w:rPr>
        <w:t>ekološki prihvatljivih goriva te stručnom potporom pomoći svim lokalnim</w:t>
      </w:r>
      <w:r w:rsidR="000509A0">
        <w:rPr>
          <w:lang w:eastAsia="hr-HR"/>
        </w:rPr>
        <w:t xml:space="preserve"> i </w:t>
      </w:r>
      <w:r w:rsidRPr="00291DF5">
        <w:rPr>
          <w:lang w:eastAsia="hr-HR"/>
        </w:rPr>
        <w:t xml:space="preserve">regionalnim zajednicama koje nemaju vlastitih kapaciteta, a za to pokažu interes. </w:t>
      </w:r>
    </w:p>
    <w:p w14:paraId="0CE5AD9D" w14:textId="68683887" w:rsidR="008B5153" w:rsidRPr="005808FC" w:rsidRDefault="008B5153">
      <w:pPr>
        <w:rPr>
          <w:lang w:eastAsia="hr-HR"/>
        </w:rPr>
      </w:pPr>
      <w:r w:rsidRPr="005808FC">
        <w:rPr>
          <w:lang w:eastAsia="hr-HR"/>
        </w:rPr>
        <w:t>Gradski ured za gospodarstvo, energetiku</w:t>
      </w:r>
      <w:r w:rsidR="000509A0">
        <w:rPr>
          <w:lang w:eastAsia="hr-HR"/>
        </w:rPr>
        <w:t xml:space="preserve"> i </w:t>
      </w:r>
      <w:r w:rsidRPr="00291DF5">
        <w:rPr>
          <w:lang w:eastAsia="hr-HR"/>
        </w:rPr>
        <w:t>zaštitu okoliša obavlja poslove koji se odnose na: gospodarski razvoj, investicije, obrt, poticanje razvoja obrta, malog</w:t>
      </w:r>
      <w:r w:rsidR="000509A0">
        <w:rPr>
          <w:lang w:eastAsia="hr-HR"/>
        </w:rPr>
        <w:t xml:space="preserve"> i </w:t>
      </w:r>
      <w:r w:rsidRPr="00291DF5">
        <w:rPr>
          <w:lang w:eastAsia="hr-HR"/>
        </w:rPr>
        <w:t>srednjeg poduzetništva, turizam</w:t>
      </w:r>
      <w:r w:rsidR="000509A0">
        <w:rPr>
          <w:lang w:eastAsia="hr-HR"/>
        </w:rPr>
        <w:t xml:space="preserve"> i </w:t>
      </w:r>
      <w:r w:rsidRPr="00291DF5">
        <w:rPr>
          <w:lang w:eastAsia="hr-HR"/>
        </w:rPr>
        <w:t>razvoj turističke djelatnosti, ugostiteljstvo, trgovinu, trgovačk</w:t>
      </w:r>
      <w:r w:rsidRPr="005808FC">
        <w:rPr>
          <w:lang w:eastAsia="hr-HR"/>
        </w:rPr>
        <w:t>a društva u vlasništvu Grada, štete od elementarnih nepogoda, energetiku</w:t>
      </w:r>
      <w:r w:rsidR="000509A0">
        <w:rPr>
          <w:lang w:eastAsia="hr-HR"/>
        </w:rPr>
        <w:t xml:space="preserve"> i </w:t>
      </w:r>
      <w:r w:rsidRPr="00291DF5">
        <w:rPr>
          <w:lang w:eastAsia="hr-HR"/>
        </w:rPr>
        <w:t>planiranje energetskog razvitka, toplinsku energiju, energetsku učinkovitost, obnovljive izvore energije, zaštitu okoliša, zaštitu zraka, vodno gospodarstvo</w:t>
      </w:r>
      <w:r w:rsidR="000509A0">
        <w:rPr>
          <w:lang w:eastAsia="hr-HR"/>
        </w:rPr>
        <w:t xml:space="preserve"> i </w:t>
      </w:r>
      <w:r w:rsidRPr="00291DF5">
        <w:rPr>
          <w:lang w:eastAsia="hr-HR"/>
        </w:rPr>
        <w:t xml:space="preserve">vode, </w:t>
      </w:r>
      <w:r w:rsidRPr="005808FC">
        <w:rPr>
          <w:lang w:eastAsia="hr-HR"/>
        </w:rPr>
        <w:t>održivo gospodarenje otpadom, zaštitu od buke, zaštitu od svjetlosnog onečišćenja te na druge poslove koji su mu stavljeni u nadležnost.</w:t>
      </w:r>
    </w:p>
    <w:p w14:paraId="62420978" w14:textId="14D50F11" w:rsidR="008B5153" w:rsidRPr="005808FC" w:rsidRDefault="008B5153">
      <w:pPr>
        <w:rPr>
          <w:lang w:eastAsia="hr-HR"/>
        </w:rPr>
      </w:pPr>
      <w:r w:rsidRPr="005808FC">
        <w:rPr>
          <w:lang w:eastAsia="hr-HR"/>
        </w:rPr>
        <w:t>Gradski ured za gospodarstvo, energetiku</w:t>
      </w:r>
      <w:r w:rsidR="000509A0">
        <w:rPr>
          <w:lang w:eastAsia="hr-HR"/>
        </w:rPr>
        <w:t xml:space="preserve"> i </w:t>
      </w:r>
      <w:r w:rsidRPr="00291DF5">
        <w:rPr>
          <w:lang w:eastAsia="hr-HR"/>
        </w:rPr>
        <w:t>zaštitu okoliša od 1. siječnja 2018. preuzima poslove Gradskog ureda za e</w:t>
      </w:r>
      <w:r w:rsidRPr="005808FC">
        <w:rPr>
          <w:lang w:eastAsia="hr-HR"/>
        </w:rPr>
        <w:t>nergetiku, zaštitu okoliša</w:t>
      </w:r>
      <w:r w:rsidR="000509A0">
        <w:rPr>
          <w:lang w:eastAsia="hr-HR"/>
        </w:rPr>
        <w:t xml:space="preserve"> i </w:t>
      </w:r>
      <w:r w:rsidRPr="00291DF5">
        <w:rPr>
          <w:lang w:eastAsia="hr-HR"/>
        </w:rPr>
        <w:t xml:space="preserve">održivi razvoj. </w:t>
      </w:r>
    </w:p>
    <w:p w14:paraId="101780AF" w14:textId="543BB94B" w:rsidR="00984E60" w:rsidRDefault="00984E60">
      <w:pPr>
        <w:rPr>
          <w:lang w:eastAsia="hr-HR"/>
        </w:rPr>
      </w:pPr>
      <w:r w:rsidRPr="005808FC">
        <w:rPr>
          <w:lang w:eastAsia="hr-HR"/>
        </w:rPr>
        <w:t>Zakonodavni okvir energetske</w:t>
      </w:r>
      <w:r w:rsidR="000509A0">
        <w:rPr>
          <w:lang w:eastAsia="hr-HR"/>
        </w:rPr>
        <w:t xml:space="preserve"> i </w:t>
      </w:r>
      <w:r w:rsidRPr="00291DF5">
        <w:rPr>
          <w:lang w:eastAsia="hr-HR"/>
        </w:rPr>
        <w:t xml:space="preserve">klimatske politike Grada Zagreba iznesen je unutar </w:t>
      </w:r>
      <w:r w:rsidRPr="005808FC">
        <w:rPr>
          <w:i/>
          <w:iCs/>
          <w:lang w:eastAsia="hr-HR"/>
        </w:rPr>
        <w:t>Priloga 1</w:t>
      </w:r>
      <w:r w:rsidR="00982332" w:rsidRPr="00315275">
        <w:rPr>
          <w:i/>
          <w:iCs/>
          <w:lang w:eastAsia="hr-HR"/>
        </w:rPr>
        <w:t xml:space="preserve"> – Zakonodavni okvir</w:t>
      </w:r>
      <w:r w:rsidRPr="00291DF5">
        <w:rPr>
          <w:lang w:eastAsia="hr-HR"/>
        </w:rPr>
        <w:t>.</w:t>
      </w:r>
    </w:p>
    <w:p w14:paraId="12405322" w14:textId="77777777" w:rsidR="000A1B42" w:rsidRPr="005808FC" w:rsidRDefault="000A1B42">
      <w:pPr>
        <w:rPr>
          <w:lang w:eastAsia="hr-HR"/>
        </w:rPr>
      </w:pPr>
    </w:p>
    <w:p w14:paraId="28FF2862" w14:textId="0C348489" w:rsidR="008B5153" w:rsidRPr="005808FC" w:rsidRDefault="008B5153">
      <w:pPr>
        <w:pStyle w:val="Heading3"/>
        <w:rPr>
          <w:rFonts w:cstheme="minorBidi"/>
          <w:lang w:eastAsia="hr-HR"/>
        </w:rPr>
      </w:pPr>
      <w:bookmarkStart w:id="25" w:name="_Toc4156062"/>
      <w:r w:rsidRPr="00315275">
        <w:rPr>
          <w:rFonts w:cstheme="minorBidi"/>
          <w:lang w:eastAsia="hr-HR"/>
        </w:rPr>
        <w:t>Razvoj energetske</w:t>
      </w:r>
      <w:r w:rsidR="000509A0">
        <w:rPr>
          <w:rFonts w:cstheme="minorBidi"/>
          <w:lang w:eastAsia="hr-HR"/>
        </w:rPr>
        <w:t xml:space="preserve"> i </w:t>
      </w:r>
      <w:r w:rsidRPr="00315275">
        <w:rPr>
          <w:rFonts w:cstheme="minorBidi"/>
          <w:lang w:eastAsia="hr-HR"/>
        </w:rPr>
        <w:t>klimatske politike Grada Zagreba</w:t>
      </w:r>
      <w:bookmarkEnd w:id="25"/>
    </w:p>
    <w:p w14:paraId="5FBCF9FD" w14:textId="3938C5CE" w:rsidR="008B5153" w:rsidRPr="005808FC" w:rsidRDefault="008B5153">
      <w:pPr>
        <w:rPr>
          <w:rStyle w:val="plavitext1"/>
        </w:rPr>
      </w:pPr>
      <w:r w:rsidRPr="005808FC">
        <w:rPr>
          <w:lang w:eastAsia="hr-HR"/>
        </w:rPr>
        <w:t xml:space="preserve">Gradsko poglavarstvo Grada Zagreba prihvatilo je na svojoj 204. sjednici, održanoj 26. veljače 2008. godine, Pismo namjere o suradnji Programa </w:t>
      </w:r>
      <w:r w:rsidR="000E70E0">
        <w:rPr>
          <w:lang w:eastAsia="hr-HR"/>
        </w:rPr>
        <w:t>U</w:t>
      </w:r>
      <w:r w:rsidR="000E70E0" w:rsidRPr="005808FC">
        <w:rPr>
          <w:lang w:eastAsia="hr-HR"/>
        </w:rPr>
        <w:t xml:space="preserve">jedinjenih </w:t>
      </w:r>
      <w:r w:rsidRPr="005808FC">
        <w:rPr>
          <w:lang w:eastAsia="hr-HR"/>
        </w:rPr>
        <w:t>naroda za razvoj</w:t>
      </w:r>
      <w:r w:rsidR="000509A0">
        <w:rPr>
          <w:lang w:eastAsia="hr-HR"/>
        </w:rPr>
        <w:t xml:space="preserve"> i </w:t>
      </w:r>
      <w:r w:rsidRPr="00291DF5">
        <w:rPr>
          <w:lang w:eastAsia="hr-HR"/>
        </w:rPr>
        <w:t>Grada Zagreba na projektu Sustavno gospodarenje energijom u gradovima</w:t>
      </w:r>
      <w:r w:rsidR="000509A0">
        <w:rPr>
          <w:lang w:eastAsia="hr-HR"/>
        </w:rPr>
        <w:t xml:space="preserve"> i </w:t>
      </w:r>
      <w:r w:rsidRPr="00291DF5">
        <w:rPr>
          <w:lang w:eastAsia="hr-HR"/>
        </w:rPr>
        <w:t>županijama u Republici Hrvatskoj (SGE)</w:t>
      </w:r>
      <w:r w:rsidRPr="005808FC">
        <w:rPr>
          <w:lang w:eastAsia="hr-HR"/>
        </w:rPr>
        <w:t>, što ga provode Ministarstvo gospodarstva, rada</w:t>
      </w:r>
      <w:r w:rsidR="000509A0">
        <w:rPr>
          <w:lang w:eastAsia="hr-HR"/>
        </w:rPr>
        <w:t xml:space="preserve"> i </w:t>
      </w:r>
      <w:r w:rsidRPr="00291DF5">
        <w:rPr>
          <w:lang w:eastAsia="hr-HR"/>
        </w:rPr>
        <w:t>poduzetništva</w:t>
      </w:r>
      <w:r w:rsidR="000509A0">
        <w:rPr>
          <w:lang w:eastAsia="hr-HR"/>
        </w:rPr>
        <w:t xml:space="preserve"> i </w:t>
      </w:r>
      <w:r w:rsidRPr="00291DF5">
        <w:rPr>
          <w:lang w:eastAsia="hr-HR"/>
        </w:rPr>
        <w:t>Program Ujedinjenih naroda za razvoj (UNDP).</w:t>
      </w:r>
      <w:r w:rsidRPr="005808FC">
        <w:rPr>
          <w:rStyle w:val="plavitext1"/>
          <w:color w:val="auto"/>
        </w:rPr>
        <w:t xml:space="preserve"> </w:t>
      </w:r>
    </w:p>
    <w:p w14:paraId="6FCF3633" w14:textId="45FDC6DA" w:rsidR="008B5153" w:rsidRPr="005808FC" w:rsidRDefault="008B5153">
      <w:pPr>
        <w:rPr>
          <w:lang w:eastAsia="hr-HR"/>
        </w:rPr>
      </w:pPr>
      <w:r w:rsidRPr="00315275">
        <w:rPr>
          <w:lang w:eastAsia="hr-HR"/>
        </w:rPr>
        <w:t>Davanjem Izjave o politici energetske učinkovitosti</w:t>
      </w:r>
      <w:r w:rsidR="000509A0">
        <w:rPr>
          <w:lang w:eastAsia="hr-HR"/>
        </w:rPr>
        <w:t xml:space="preserve"> i </w:t>
      </w:r>
      <w:r w:rsidRPr="00315275">
        <w:rPr>
          <w:lang w:eastAsia="hr-HR"/>
        </w:rPr>
        <w:t>zaštiti okoliša u ime Grada Zagreba, gradonačelnik je istaknuo strateško opredjeljenje</w:t>
      </w:r>
      <w:r w:rsidR="000509A0">
        <w:rPr>
          <w:lang w:eastAsia="hr-HR"/>
        </w:rPr>
        <w:t xml:space="preserve"> i </w:t>
      </w:r>
      <w:r w:rsidRPr="00315275">
        <w:rPr>
          <w:lang w:eastAsia="hr-HR"/>
        </w:rPr>
        <w:t xml:space="preserve">primarne ciljeve politike odgovorne </w:t>
      </w:r>
      <w:r w:rsidRPr="00291DF5">
        <w:rPr>
          <w:lang w:eastAsia="hr-HR"/>
        </w:rPr>
        <w:t>Gradske uprave Grada Zagreba na daljnjoj provedbi projekta SGE, promoviranja</w:t>
      </w:r>
      <w:r w:rsidR="000509A0">
        <w:rPr>
          <w:lang w:eastAsia="hr-HR"/>
        </w:rPr>
        <w:t xml:space="preserve"> i </w:t>
      </w:r>
      <w:r w:rsidRPr="00291DF5">
        <w:rPr>
          <w:lang w:eastAsia="hr-HR"/>
        </w:rPr>
        <w:t>primjene mjera energetske učinkovitosti, održivog razvoja</w:t>
      </w:r>
      <w:r w:rsidR="000509A0">
        <w:rPr>
          <w:lang w:eastAsia="hr-HR"/>
        </w:rPr>
        <w:t xml:space="preserve"> i </w:t>
      </w:r>
      <w:r w:rsidRPr="00291DF5">
        <w:rPr>
          <w:lang w:eastAsia="hr-HR"/>
        </w:rPr>
        <w:t>zaštite okoliša uporabom obnovljivih izvora en</w:t>
      </w:r>
      <w:r w:rsidRPr="005808FC">
        <w:rPr>
          <w:lang w:eastAsia="hr-HR"/>
        </w:rPr>
        <w:t>ergije</w:t>
      </w:r>
      <w:r w:rsidR="000509A0">
        <w:rPr>
          <w:lang w:eastAsia="hr-HR"/>
        </w:rPr>
        <w:t xml:space="preserve"> i </w:t>
      </w:r>
      <w:r w:rsidRPr="00291DF5">
        <w:rPr>
          <w:lang w:eastAsia="hr-HR"/>
        </w:rPr>
        <w:t>primjenom najsuvremenijih energetskih tehnologija na cjelokupnom području Grada Zagreba.</w:t>
      </w:r>
    </w:p>
    <w:p w14:paraId="7B5F33D1" w14:textId="77777777" w:rsidR="008B5153" w:rsidRPr="00922031" w:rsidRDefault="008B5153">
      <w:r w:rsidRPr="005808FC">
        <w:rPr>
          <w:lang w:eastAsia="hr-HR"/>
        </w:rPr>
        <w:t xml:space="preserve">Gradonačelnik Grada Zagreba potpisao je Izjavu u Dvercima, 28. ožujka 2008. godine, te od tada počinje aktivna provedba </w:t>
      </w:r>
      <w:r w:rsidRPr="005808FC">
        <w:rPr>
          <w:i/>
          <w:iCs/>
          <w:lang w:eastAsia="hr-HR"/>
        </w:rPr>
        <w:t>Politike energetske učinkovitosti u Gradu Zagrebu</w:t>
      </w:r>
      <w:r w:rsidRPr="005808FC">
        <w:rPr>
          <w:lang w:eastAsia="hr-HR"/>
        </w:rPr>
        <w:t>.</w:t>
      </w:r>
    </w:p>
    <w:p w14:paraId="0E53CB58" w14:textId="458A7487" w:rsidR="008B5153" w:rsidRPr="005808FC" w:rsidRDefault="008B5153">
      <w:pPr>
        <w:rPr>
          <w:lang w:eastAsia="hr-HR"/>
        </w:rPr>
      </w:pPr>
      <w:r w:rsidRPr="00315275">
        <w:lastRenderedPageBreak/>
        <w:t>Posebno treba istaknuti da je Grad Zagreb jedan od prvih e</w:t>
      </w:r>
      <w:r w:rsidRPr="003E50D1">
        <w:t xml:space="preserve">uropskih glavnih gradova koji je pristupio Sporazumu gradonačelnika </w:t>
      </w:r>
      <w:r w:rsidRPr="00291DF5">
        <w:rPr>
          <w:lang w:eastAsia="hr-HR"/>
        </w:rPr>
        <w:t>Odlukom Gradske skupštine Grada Zagreba 30. listopada 2008.</w:t>
      </w:r>
      <w:r w:rsidR="000509A0">
        <w:rPr>
          <w:lang w:eastAsia="hr-HR"/>
        </w:rPr>
        <w:t xml:space="preserve"> i </w:t>
      </w:r>
      <w:r w:rsidRPr="00291DF5">
        <w:rPr>
          <w:lang w:eastAsia="hr-HR"/>
        </w:rPr>
        <w:t>izrazio potporu velikoj inicijativi povezivanja g</w:t>
      </w:r>
      <w:r w:rsidRPr="005808FC">
        <w:rPr>
          <w:lang w:eastAsia="hr-HR"/>
        </w:rPr>
        <w:t>radonačelnika energetski osviještenih europskih gradova u trajnu mrežu s ciljem razmjene iskustava u primjeni djelotvornih mjera za poboljšanje energetske učinkovitosti urbanih sredina.</w:t>
      </w:r>
    </w:p>
    <w:p w14:paraId="3FACB088" w14:textId="77777777" w:rsidR="008B5153" w:rsidRPr="00922031" w:rsidRDefault="008B5153" w:rsidP="00244D74">
      <w:r w:rsidRPr="00922031">
        <w:rPr>
          <w:noProof/>
          <w:lang w:eastAsia="hr-HR"/>
        </w:rPr>
        <w:drawing>
          <wp:inline distT="0" distB="0" distL="0" distR="0" wp14:anchorId="262965E1" wp14:editId="1D362249">
            <wp:extent cx="5762625" cy="3009900"/>
            <wp:effectExtent l="19050" t="0" r="9525" b="0"/>
            <wp:docPr id="3" name="Picture 1" descr="C:\Users\Vesna\REGEA\SEAP\SEAP -KAMPANJA\Banditos u Brise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sna\REGEA\SEAP\SEAP -KAMPANJA\Banditos u Briselu.jpg"/>
                    <pic:cNvPicPr>
                      <a:picLocks noChangeAspect="1" noChangeArrowheads="1"/>
                    </pic:cNvPicPr>
                  </pic:nvPicPr>
                  <pic:blipFill>
                    <a:blip r:embed="rId13" cstate="print"/>
                    <a:srcRect/>
                    <a:stretch>
                      <a:fillRect/>
                    </a:stretch>
                  </pic:blipFill>
                  <pic:spPr bwMode="auto">
                    <a:xfrm>
                      <a:off x="0" y="0"/>
                      <a:ext cx="5762625" cy="3009900"/>
                    </a:xfrm>
                    <a:prstGeom prst="rect">
                      <a:avLst/>
                    </a:prstGeom>
                    <a:noFill/>
                    <a:ln w="9525">
                      <a:noFill/>
                      <a:miter lim="800000"/>
                      <a:headEnd/>
                      <a:tailEnd/>
                    </a:ln>
                  </pic:spPr>
                </pic:pic>
              </a:graphicData>
            </a:graphic>
          </wp:inline>
        </w:drawing>
      </w:r>
    </w:p>
    <w:p w14:paraId="5EFD28C5" w14:textId="22B102E5" w:rsidR="008B5153" w:rsidRPr="00922031" w:rsidRDefault="00AE1594" w:rsidP="00AE1594">
      <w:pPr>
        <w:pStyle w:val="Heading6"/>
      </w:pPr>
      <w:bookmarkStart w:id="26" w:name="_Toc251923957"/>
      <w:bookmarkStart w:id="27" w:name="_Toc4156021"/>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291324">
        <w:rPr>
          <w:noProof/>
        </w:rPr>
        <w:t>2</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291324">
        <w:rPr>
          <w:noProof/>
        </w:rPr>
        <w:t>2</w:t>
      </w:r>
      <w:r w:rsidR="00CA6C6C" w:rsidRPr="005808FC">
        <w:fldChar w:fldCharType="end"/>
      </w:r>
      <w:r w:rsidRPr="5886DDC2">
        <w:t xml:space="preserve"> - </w:t>
      </w:r>
      <w:r w:rsidR="008B5153" w:rsidRPr="00922031">
        <w:t xml:space="preserve">Svečano potpisivanje Sporazuma gradonačelnika 10. </w:t>
      </w:r>
      <w:r w:rsidR="008B5153" w:rsidRPr="00922031">
        <w:rPr>
          <w:shd w:val="clear" w:color="auto" w:fill="FFFFFF"/>
        </w:rPr>
        <w:t>veljače 2009. godine</w:t>
      </w:r>
      <w:r w:rsidR="008B5153" w:rsidRPr="00922031">
        <w:t xml:space="preserve"> u Velikoj dvorani Europskog parlamenta u </w:t>
      </w:r>
      <w:r w:rsidR="004D773A" w:rsidRPr="005808FC">
        <w:t>Bruxellesu</w:t>
      </w:r>
      <w:r w:rsidR="008B5153" w:rsidRPr="5886DDC2">
        <w:t xml:space="preserve"> </w:t>
      </w:r>
      <w:r w:rsidR="008B5153" w:rsidRPr="00922031">
        <w:rPr>
          <w:shd w:val="clear" w:color="auto" w:fill="FFFFFF"/>
        </w:rPr>
        <w:t xml:space="preserve">(gradonačelnik </w:t>
      </w:r>
      <w:r w:rsidR="60D7B0DF" w:rsidRPr="00922031">
        <w:rPr>
          <w:shd w:val="clear" w:color="auto" w:fill="FFFFFF"/>
        </w:rPr>
        <w:t xml:space="preserve">Grada </w:t>
      </w:r>
      <w:r w:rsidR="008B5153" w:rsidRPr="00922031">
        <w:rPr>
          <w:shd w:val="clear" w:color="auto" w:fill="FFFFFF"/>
        </w:rPr>
        <w:t>Zagreba je peti slijeva u prvom redu)</w:t>
      </w:r>
      <w:bookmarkEnd w:id="26"/>
      <w:bookmarkEnd w:id="27"/>
    </w:p>
    <w:p w14:paraId="311205D4" w14:textId="77777777" w:rsidR="008B5153" w:rsidRPr="00922031" w:rsidRDefault="008B5153" w:rsidP="00975CD4">
      <w:pPr>
        <w:rPr>
          <w:rFonts w:cstheme="minorHAnsi"/>
          <w:lang w:eastAsia="hr-HR"/>
        </w:rPr>
      </w:pPr>
    </w:p>
    <w:p w14:paraId="1B765DF3" w14:textId="576C04AA" w:rsidR="008B5153" w:rsidRPr="005808FC" w:rsidRDefault="008B5153">
      <w:pPr>
        <w:rPr>
          <w:lang w:eastAsia="hr-HR"/>
        </w:rPr>
      </w:pPr>
      <w:r w:rsidRPr="00315275">
        <w:rPr>
          <w:lang w:eastAsia="hr-HR"/>
        </w:rPr>
        <w:t>Kao Strateški partner Europske komisije - Opće uprave za energiju, u provedbi Sporazuma gradonačelnika u Republici Hrvatskoj</w:t>
      </w:r>
      <w:r w:rsidR="000509A0">
        <w:rPr>
          <w:lang w:eastAsia="hr-HR"/>
        </w:rPr>
        <w:t xml:space="preserve"> i </w:t>
      </w:r>
      <w:r w:rsidRPr="00315275">
        <w:rPr>
          <w:lang w:eastAsia="hr-HR"/>
        </w:rPr>
        <w:t>široj reg</w:t>
      </w:r>
      <w:r w:rsidRPr="00291DF5">
        <w:rPr>
          <w:lang w:eastAsia="hr-HR"/>
        </w:rPr>
        <w:t>iji,</w:t>
      </w:r>
      <w:r w:rsidR="00B25B9E" w:rsidRPr="005808FC">
        <w:rPr>
          <w:lang w:eastAsia="hr-HR"/>
        </w:rPr>
        <w:t xml:space="preserve"> </w:t>
      </w:r>
      <w:r w:rsidRPr="005808FC">
        <w:rPr>
          <w:lang w:eastAsia="hr-HR"/>
        </w:rPr>
        <w:t>Grad Zagreb se obvezao pružiti stručnu potporu jedinicama regionalne</w:t>
      </w:r>
      <w:r w:rsidR="000509A0">
        <w:rPr>
          <w:lang w:eastAsia="hr-HR"/>
        </w:rPr>
        <w:t xml:space="preserve"> i </w:t>
      </w:r>
      <w:r w:rsidRPr="00291DF5">
        <w:rPr>
          <w:lang w:eastAsia="hr-HR"/>
        </w:rPr>
        <w:t xml:space="preserve">lokalne samouprave koje to nisu u stanju samostalno </w:t>
      </w:r>
      <w:r w:rsidRPr="005808FC">
        <w:rPr>
          <w:lang w:eastAsia="hr-HR"/>
        </w:rPr>
        <w:t>realizirati.</w:t>
      </w:r>
    </w:p>
    <w:p w14:paraId="26FEF524" w14:textId="5209397D" w:rsidR="008B5153" w:rsidRPr="005808FC" w:rsidRDefault="008B5153">
      <w:pPr>
        <w:rPr>
          <w:lang w:eastAsia="hr-HR"/>
        </w:rPr>
      </w:pPr>
      <w:r w:rsidRPr="005808FC">
        <w:rPr>
          <w:lang w:eastAsia="hr-HR"/>
        </w:rPr>
        <w:t xml:space="preserve">Odlukom Gradske skupštine Grada Zagreba od 25. studenog 2008. godine, Grad Zagreb pristupio je u punopravno članstvo udruge </w:t>
      </w:r>
      <w:r w:rsidRPr="00315275">
        <w:rPr>
          <w:i/>
          <w:iCs/>
          <w:lang w:eastAsia="hr-HR"/>
        </w:rPr>
        <w:t>Energie-</w:t>
      </w:r>
      <w:r w:rsidR="00271FE8" w:rsidRPr="003E50D1">
        <w:rPr>
          <w:i/>
          <w:iCs/>
          <w:lang w:eastAsia="hr-HR"/>
        </w:rPr>
        <w:t>C</w:t>
      </w:r>
      <w:r w:rsidRPr="00291DF5">
        <w:rPr>
          <w:i/>
          <w:iCs/>
          <w:lang w:eastAsia="hr-HR"/>
        </w:rPr>
        <w:t>ités</w:t>
      </w:r>
      <w:r w:rsidRPr="00315275">
        <w:rPr>
          <w:lang w:eastAsia="hr-HR"/>
        </w:rPr>
        <w:t>, organizacije koja povezuje jedinice lokalnih</w:t>
      </w:r>
      <w:r w:rsidR="000509A0">
        <w:rPr>
          <w:lang w:eastAsia="hr-HR"/>
        </w:rPr>
        <w:t xml:space="preserve"> i </w:t>
      </w:r>
      <w:r w:rsidRPr="00315275">
        <w:rPr>
          <w:lang w:eastAsia="hr-HR"/>
        </w:rPr>
        <w:t>regionalnih vlasti koje skrbe o racionalnom korištenju energije</w:t>
      </w:r>
      <w:r w:rsidR="000509A0">
        <w:rPr>
          <w:lang w:eastAsia="hr-HR"/>
        </w:rPr>
        <w:t xml:space="preserve"> i </w:t>
      </w:r>
      <w:r w:rsidRPr="00315275">
        <w:rPr>
          <w:lang w:eastAsia="hr-HR"/>
        </w:rPr>
        <w:t>primjeni mjera energetske učinkovitosti, koriste obnovljive izvore energije</w:t>
      </w:r>
      <w:r w:rsidR="000509A0">
        <w:rPr>
          <w:lang w:eastAsia="hr-HR"/>
        </w:rPr>
        <w:t xml:space="preserve"> i </w:t>
      </w:r>
      <w:r w:rsidRPr="00315275">
        <w:rPr>
          <w:lang w:eastAsia="hr-HR"/>
        </w:rPr>
        <w:t xml:space="preserve">brinu o zaštiti okoliša. </w:t>
      </w:r>
      <w:r w:rsidRPr="00315275">
        <w:rPr>
          <w:i/>
          <w:iCs/>
          <w:lang w:eastAsia="hr-HR"/>
        </w:rPr>
        <w:t>Energie-Cités</w:t>
      </w:r>
      <w:r w:rsidRPr="00315275">
        <w:rPr>
          <w:lang w:eastAsia="hr-HR"/>
        </w:rPr>
        <w:t xml:space="preserve"> je</w:t>
      </w:r>
      <w:r w:rsidRPr="003E50D1">
        <w:rPr>
          <w:lang w:eastAsia="hr-HR"/>
        </w:rPr>
        <w:t xml:space="preserve"> </w:t>
      </w:r>
      <w:r w:rsidR="000E70E0" w:rsidRPr="003E50D1">
        <w:rPr>
          <w:lang w:eastAsia="hr-HR"/>
        </w:rPr>
        <w:t>neprofit</w:t>
      </w:r>
      <w:r w:rsidR="000E70E0">
        <w:rPr>
          <w:lang w:eastAsia="hr-HR"/>
        </w:rPr>
        <w:t>na</w:t>
      </w:r>
      <w:r w:rsidR="000E70E0" w:rsidRPr="003E50D1">
        <w:rPr>
          <w:lang w:eastAsia="hr-HR"/>
        </w:rPr>
        <w:t xml:space="preserve"> </w:t>
      </w:r>
      <w:r w:rsidRPr="003E50D1">
        <w:rPr>
          <w:lang w:eastAsia="hr-HR"/>
        </w:rPr>
        <w:t>udruga osnovana 1990. godine od strane Europskih lokalnih vlasti, koja intenzivno promovira održivu energetsku politiku na lokalnoj razini te potiče suradnju između svojih članova u cilju međusobne razmjene iskustava, znanja</w:t>
      </w:r>
      <w:r w:rsidR="000509A0">
        <w:rPr>
          <w:lang w:eastAsia="hr-HR"/>
        </w:rPr>
        <w:t xml:space="preserve"> i </w:t>
      </w:r>
      <w:r w:rsidRPr="003E50D1">
        <w:rPr>
          <w:lang w:eastAsia="hr-HR"/>
        </w:rPr>
        <w:t>primjera dobr</w:t>
      </w:r>
      <w:r w:rsidRPr="00291DF5">
        <w:rPr>
          <w:lang w:eastAsia="hr-HR"/>
        </w:rPr>
        <w:t>e prakse na području energetske učinkovitosti</w:t>
      </w:r>
      <w:r w:rsidR="000509A0">
        <w:rPr>
          <w:lang w:eastAsia="hr-HR"/>
        </w:rPr>
        <w:t xml:space="preserve"> i </w:t>
      </w:r>
      <w:r w:rsidRPr="00291DF5">
        <w:rPr>
          <w:lang w:eastAsia="hr-HR"/>
        </w:rPr>
        <w:t xml:space="preserve">obnovljivih izvora energije. </w:t>
      </w:r>
    </w:p>
    <w:p w14:paraId="1E0F32F5" w14:textId="1FB67482" w:rsidR="008B5153" w:rsidRPr="005808FC" w:rsidRDefault="008B5153">
      <w:pPr>
        <w:rPr>
          <w:rFonts w:eastAsia="Times New Roman"/>
          <w:lang w:eastAsia="hr-HR"/>
        </w:rPr>
      </w:pPr>
      <w:r w:rsidRPr="00315275">
        <w:rPr>
          <w:rFonts w:eastAsia="Times New Roman"/>
          <w:lang w:eastAsia="hr-HR"/>
        </w:rPr>
        <w:t xml:space="preserve">Od 27. do 29. travnja 2009. godine, Grad Zagreb bio je domaćin Druge radne konferencije u sklopu </w:t>
      </w:r>
      <w:r w:rsidRPr="003E50D1">
        <w:rPr>
          <w:rFonts w:eastAsia="Times New Roman"/>
          <w:i/>
          <w:iCs/>
          <w:lang w:eastAsia="hr-HR"/>
        </w:rPr>
        <w:t xml:space="preserve">SGE </w:t>
      </w:r>
      <w:r w:rsidRPr="00291DF5">
        <w:rPr>
          <w:rFonts w:eastAsia="Times New Roman"/>
          <w:lang w:eastAsia="hr-HR"/>
        </w:rPr>
        <w:t>projekta</w:t>
      </w:r>
      <w:r w:rsidRPr="005808FC">
        <w:rPr>
          <w:rFonts w:eastAsia="Times New Roman"/>
          <w:i/>
          <w:iCs/>
          <w:lang w:eastAsia="hr-HR"/>
        </w:rPr>
        <w:t xml:space="preserve"> </w:t>
      </w:r>
      <w:r w:rsidRPr="005808FC">
        <w:rPr>
          <w:rFonts w:eastAsia="Times New Roman"/>
          <w:lang w:eastAsia="hr-HR"/>
        </w:rPr>
        <w:t xml:space="preserve">pod nazivom </w:t>
      </w:r>
      <w:r w:rsidRPr="005808FC">
        <w:rPr>
          <w:rFonts w:eastAsia="Times New Roman"/>
          <w:i/>
          <w:iCs/>
          <w:lang w:eastAsia="hr-HR"/>
        </w:rPr>
        <w:t>Održivi razvoj gradova</w:t>
      </w:r>
      <w:r w:rsidRPr="00315275">
        <w:rPr>
          <w:rFonts w:eastAsia="Times New Roman"/>
          <w:lang w:eastAsia="hr-HR"/>
        </w:rPr>
        <w:t xml:space="preserve">. </w:t>
      </w:r>
      <w:r w:rsidRPr="003E50D1">
        <w:rPr>
          <w:rFonts w:eastAsia="Times New Roman"/>
          <w:lang w:eastAsia="hr-HR"/>
        </w:rPr>
        <w:t>Organizatori</w:t>
      </w:r>
      <w:r w:rsidR="000509A0">
        <w:rPr>
          <w:rFonts w:eastAsia="Times New Roman"/>
          <w:lang w:eastAsia="hr-HR"/>
        </w:rPr>
        <w:t xml:space="preserve"> i </w:t>
      </w:r>
      <w:r w:rsidRPr="003E50D1">
        <w:rPr>
          <w:rFonts w:eastAsia="Times New Roman"/>
          <w:lang w:eastAsia="hr-HR"/>
        </w:rPr>
        <w:t>pokrovitelji bili su Grad Zagreb, Program Ujedinjenih naroda za razvoj (UNDP), Regionalna energetska agencija Sjeverozapadne Hrvatske (REGEA), Ministarstvo gospodarstva, rada</w:t>
      </w:r>
      <w:r w:rsidR="000509A0">
        <w:rPr>
          <w:rFonts w:eastAsia="Times New Roman"/>
          <w:lang w:eastAsia="hr-HR"/>
        </w:rPr>
        <w:t xml:space="preserve"> i </w:t>
      </w:r>
      <w:r w:rsidRPr="003E50D1">
        <w:rPr>
          <w:rFonts w:eastAsia="Times New Roman"/>
          <w:lang w:eastAsia="hr-HR"/>
        </w:rPr>
        <w:t>poduzetništva, Ministarstvo zaštite okoliša, prostornog uređenja</w:t>
      </w:r>
      <w:r w:rsidR="000509A0">
        <w:rPr>
          <w:rFonts w:eastAsia="Times New Roman"/>
          <w:lang w:eastAsia="hr-HR"/>
        </w:rPr>
        <w:t xml:space="preserve"> i </w:t>
      </w:r>
      <w:r w:rsidRPr="00291DF5">
        <w:rPr>
          <w:rFonts w:eastAsia="Times New Roman"/>
          <w:lang w:eastAsia="hr-HR"/>
        </w:rPr>
        <w:t>graditeljstva, Fond za zaštitu okoliša</w:t>
      </w:r>
      <w:r w:rsidR="000509A0">
        <w:rPr>
          <w:rFonts w:eastAsia="Times New Roman"/>
          <w:lang w:eastAsia="hr-HR"/>
        </w:rPr>
        <w:t xml:space="preserve"> i </w:t>
      </w:r>
      <w:r w:rsidRPr="00291DF5">
        <w:rPr>
          <w:rFonts w:eastAsia="Times New Roman"/>
          <w:lang w:eastAsia="hr-HR"/>
        </w:rPr>
        <w:t xml:space="preserve">energetsku </w:t>
      </w:r>
      <w:r w:rsidRPr="005808FC">
        <w:rPr>
          <w:rFonts w:eastAsia="Times New Roman"/>
          <w:lang w:eastAsia="hr-HR"/>
        </w:rPr>
        <w:t xml:space="preserve">učinkovitost te Udruga gradova u Republici Hrvatskoj. Konferencija je okupila petstotinjak sudionika, prvenstveno </w:t>
      </w:r>
      <w:r w:rsidRPr="005808FC">
        <w:rPr>
          <w:rFonts w:eastAsia="Times New Roman"/>
          <w:lang w:eastAsia="hr-HR"/>
        </w:rPr>
        <w:lastRenderedPageBreak/>
        <w:t>predstavnike jedinica regionalne</w:t>
      </w:r>
      <w:r w:rsidR="000509A0">
        <w:rPr>
          <w:rFonts w:eastAsia="Times New Roman"/>
          <w:lang w:eastAsia="hr-HR"/>
        </w:rPr>
        <w:t xml:space="preserve"> i </w:t>
      </w:r>
      <w:r w:rsidRPr="00291DF5">
        <w:rPr>
          <w:rFonts w:eastAsia="Times New Roman"/>
          <w:lang w:eastAsia="hr-HR"/>
        </w:rPr>
        <w:t>lokalne samouprave, župane, gradonačelnike, ali</w:t>
      </w:r>
      <w:r w:rsidR="000509A0">
        <w:rPr>
          <w:rFonts w:eastAsia="Times New Roman"/>
          <w:lang w:eastAsia="hr-HR"/>
        </w:rPr>
        <w:t xml:space="preserve"> i </w:t>
      </w:r>
      <w:r w:rsidRPr="00291DF5">
        <w:rPr>
          <w:rFonts w:eastAsia="Times New Roman"/>
          <w:lang w:eastAsia="hr-HR"/>
        </w:rPr>
        <w:t>predstavnike obrazovnih</w:t>
      </w:r>
      <w:r w:rsidR="000509A0">
        <w:rPr>
          <w:rFonts w:eastAsia="Times New Roman"/>
          <w:lang w:eastAsia="hr-HR"/>
        </w:rPr>
        <w:t xml:space="preserve"> i </w:t>
      </w:r>
      <w:r w:rsidRPr="00291DF5">
        <w:rPr>
          <w:rFonts w:eastAsia="Times New Roman"/>
          <w:lang w:eastAsia="hr-HR"/>
        </w:rPr>
        <w:t>znanstvenih institucij</w:t>
      </w:r>
      <w:r w:rsidRPr="005808FC">
        <w:rPr>
          <w:rFonts w:eastAsia="Times New Roman"/>
          <w:lang w:eastAsia="hr-HR"/>
        </w:rPr>
        <w:t>a, projektante javnih, stambenih</w:t>
      </w:r>
      <w:r w:rsidR="000509A0">
        <w:rPr>
          <w:rFonts w:eastAsia="Times New Roman"/>
          <w:lang w:eastAsia="hr-HR"/>
        </w:rPr>
        <w:t xml:space="preserve"> i </w:t>
      </w:r>
      <w:r w:rsidRPr="00291DF5">
        <w:rPr>
          <w:rFonts w:eastAsia="Times New Roman"/>
          <w:lang w:eastAsia="hr-HR"/>
        </w:rPr>
        <w:t>poslovnih objekata, investitore u građevinskom sektoru, predstavnike obrtničkih</w:t>
      </w:r>
      <w:r w:rsidR="000509A0">
        <w:rPr>
          <w:rFonts w:eastAsia="Times New Roman"/>
          <w:lang w:eastAsia="hr-HR"/>
        </w:rPr>
        <w:t xml:space="preserve"> i </w:t>
      </w:r>
      <w:r w:rsidRPr="00291DF5">
        <w:rPr>
          <w:rFonts w:eastAsia="Times New Roman"/>
          <w:lang w:eastAsia="hr-HR"/>
        </w:rPr>
        <w:t>gospodarskih subjekata, ESCO kompanija, razvojnih</w:t>
      </w:r>
      <w:r w:rsidR="000509A0">
        <w:rPr>
          <w:rFonts w:eastAsia="Times New Roman"/>
          <w:lang w:eastAsia="hr-HR"/>
        </w:rPr>
        <w:t xml:space="preserve"> i </w:t>
      </w:r>
      <w:r w:rsidRPr="00291DF5">
        <w:rPr>
          <w:rFonts w:eastAsia="Times New Roman"/>
          <w:lang w:eastAsia="hr-HR"/>
        </w:rPr>
        <w:t>energetskih agencija te predstavnike medija.</w:t>
      </w:r>
    </w:p>
    <w:p w14:paraId="4822A26B" w14:textId="35A07026" w:rsidR="008B5153" w:rsidRPr="005808FC" w:rsidRDefault="008B5153">
      <w:pPr>
        <w:rPr>
          <w:rFonts w:eastAsia="Times New Roman"/>
          <w:lang w:eastAsia="hr-HR"/>
        </w:rPr>
      </w:pPr>
      <w:r w:rsidRPr="005808FC">
        <w:t>U sklopu konferencije potpisano je Pismo namjere između gradonačelnika Zagreba, Sarajeva, Podgorice</w:t>
      </w:r>
      <w:r w:rsidR="000509A0">
        <w:t xml:space="preserve"> i </w:t>
      </w:r>
      <w:r w:rsidRPr="00291DF5">
        <w:t xml:space="preserve">Skopja, kao prvi korak pripreme zajedničke prijave projekta </w:t>
      </w:r>
      <w:r w:rsidRPr="00315275">
        <w:rPr>
          <w:rFonts w:eastAsia="Times New Roman"/>
          <w:i/>
          <w:iCs/>
          <w:lang w:eastAsia="hr-HR"/>
        </w:rPr>
        <w:t>Izgradnja sustava za gospodarenje energijom u gradovima</w:t>
      </w:r>
      <w:r w:rsidRPr="00315275">
        <w:t>, koji financira GTZ (Deutsche Gese</w:t>
      </w:r>
      <w:r w:rsidRPr="003E50D1">
        <w:t>llschaft für Technische Zusammenarbeit) kroz Otvoreni regionalni fond – Energetska efikasnost u jugoistočnoj Europi.</w:t>
      </w:r>
    </w:p>
    <w:p w14:paraId="73BDAC4C" w14:textId="46EF5F74" w:rsidR="008B5153" w:rsidRPr="005808FC" w:rsidRDefault="008B5153">
      <w:pPr>
        <w:rPr>
          <w:lang w:eastAsia="hr-HR"/>
        </w:rPr>
      </w:pPr>
      <w:r w:rsidRPr="00315275">
        <w:rPr>
          <w:lang w:eastAsia="hr-HR"/>
        </w:rPr>
        <w:t>Kako bi se potaknule primjene mjera energetske učinkovitosti</w:t>
      </w:r>
      <w:r w:rsidR="000509A0">
        <w:rPr>
          <w:lang w:eastAsia="hr-HR"/>
        </w:rPr>
        <w:t xml:space="preserve"> i </w:t>
      </w:r>
      <w:r w:rsidRPr="00315275">
        <w:rPr>
          <w:lang w:eastAsia="hr-HR"/>
        </w:rPr>
        <w:t>korištenje obnovljivih izvora energije, Grad Zagreb je razvio projekt Zag</w:t>
      </w:r>
      <w:r w:rsidRPr="00291DF5">
        <w:rPr>
          <w:lang w:eastAsia="hr-HR"/>
        </w:rPr>
        <w:t xml:space="preserve">EE. Projekt se proveo u </w:t>
      </w:r>
      <w:r w:rsidRPr="005808FC">
        <w:rPr>
          <w:lang w:eastAsia="hr-HR"/>
        </w:rPr>
        <w:t>okviru IEE Programa tehničke pomoći 2012. – Mobiliziranje lokalnih energetskih investicija te je obuhvatio financiranje tehničke pomoći</w:t>
      </w:r>
      <w:r w:rsidR="000509A0">
        <w:rPr>
          <w:lang w:eastAsia="hr-HR"/>
        </w:rPr>
        <w:t xml:space="preserve"> i </w:t>
      </w:r>
      <w:r w:rsidRPr="00291DF5">
        <w:rPr>
          <w:lang w:eastAsia="hr-HR"/>
        </w:rPr>
        <w:t>izradu potrebne dokumentacije za energetsku obnovu objekata, dodjelom bespovratnih sredstava. Korisnicima je omoguć</w:t>
      </w:r>
      <w:r w:rsidRPr="005808FC">
        <w:rPr>
          <w:lang w:eastAsia="hr-HR"/>
        </w:rPr>
        <w:t>ena izrada projekata, studija isplativosti</w:t>
      </w:r>
      <w:r w:rsidR="000509A0">
        <w:rPr>
          <w:lang w:eastAsia="hr-HR"/>
        </w:rPr>
        <w:t xml:space="preserve"> i </w:t>
      </w:r>
      <w:r w:rsidRPr="00291DF5">
        <w:rPr>
          <w:lang w:eastAsia="hr-HR"/>
        </w:rPr>
        <w:t>ishođenje potrebne upravne dokumentacije neophodne za financiranje energetske obnove objekata</w:t>
      </w:r>
      <w:r w:rsidR="000509A0">
        <w:rPr>
          <w:lang w:eastAsia="hr-HR"/>
        </w:rPr>
        <w:t xml:space="preserve"> i </w:t>
      </w:r>
      <w:r w:rsidRPr="00291DF5">
        <w:rPr>
          <w:lang w:eastAsia="hr-HR"/>
        </w:rPr>
        <w:t>iz drugih izvora</w:t>
      </w:r>
      <w:r w:rsidR="00B25B9E" w:rsidRPr="005808FC">
        <w:rPr>
          <w:lang w:eastAsia="hr-HR"/>
        </w:rPr>
        <w:t xml:space="preserve"> </w:t>
      </w:r>
      <w:r w:rsidRPr="005808FC">
        <w:rPr>
          <w:lang w:eastAsia="hr-HR"/>
        </w:rPr>
        <w:t>osim gradskog proračuna, kao što su strane banke</w:t>
      </w:r>
      <w:r w:rsidR="000509A0">
        <w:rPr>
          <w:lang w:eastAsia="hr-HR"/>
        </w:rPr>
        <w:t xml:space="preserve"> i </w:t>
      </w:r>
      <w:r w:rsidRPr="00291DF5">
        <w:rPr>
          <w:lang w:eastAsia="hr-HR"/>
        </w:rPr>
        <w:t xml:space="preserve">fondovi EU. Vrijednost projekta ZagEE </w:t>
      </w:r>
      <w:r w:rsidRPr="005808FC">
        <w:rPr>
          <w:lang w:eastAsia="hr-HR"/>
        </w:rPr>
        <w:t>iznosila je 1.813.438 EUR, a ukupna planirana investicijska vrijednost radova na realizaciji predviđenih mjera za koje se izradila tehnička dokumentacija je 29.379.114 EUR. Povrat investicije, bez korištenja bespovratnih sredstava, iznosi oko 13 godina. Kroz projekt ZagEE – Zagreb Energy Efficient City podržalo se ostvarenje energetskih ušteda primjenom ekonomski opravdanih, energetski učinkovitih tehnologija</w:t>
      </w:r>
      <w:r w:rsidR="000509A0">
        <w:rPr>
          <w:lang w:eastAsia="hr-HR"/>
        </w:rPr>
        <w:t xml:space="preserve"> i </w:t>
      </w:r>
      <w:r w:rsidRPr="00291DF5">
        <w:rPr>
          <w:lang w:eastAsia="hr-HR"/>
        </w:rPr>
        <w:t>mjera na objektima u vlasništvu Grada Zagreba: 3 zgrade gradske uprave; 15 zgrada osnovnih ško</w:t>
      </w:r>
      <w:r w:rsidRPr="005808FC">
        <w:rPr>
          <w:lang w:eastAsia="hr-HR"/>
        </w:rPr>
        <w:t>la; 7 zgrada srednjih škola; 36 zgrada dječjih vrtića; 6 zgrada domova za starije</w:t>
      </w:r>
      <w:r w:rsidR="000509A0">
        <w:rPr>
          <w:lang w:eastAsia="hr-HR"/>
        </w:rPr>
        <w:t xml:space="preserve"> i </w:t>
      </w:r>
      <w:r w:rsidRPr="00291DF5">
        <w:rPr>
          <w:lang w:eastAsia="hr-HR"/>
        </w:rPr>
        <w:t>nemoćne; 3 zgrade domova zdravlja; 17 zgrada mjesne samouprave te modernizaciju 3000 rasvjetnih tijela javne rasvjete LED rasvjetnim tijelima s kontrolnim upravljačkim s</w:t>
      </w:r>
      <w:r w:rsidRPr="005808FC">
        <w:rPr>
          <w:lang w:eastAsia="hr-HR"/>
        </w:rPr>
        <w:t>ustavom.</w:t>
      </w:r>
    </w:p>
    <w:p w14:paraId="4E87E01C" w14:textId="77777777" w:rsidR="008B5153" w:rsidRPr="005808FC" w:rsidRDefault="008B5153">
      <w:pPr>
        <w:rPr>
          <w:i/>
          <w:iCs/>
          <w:lang w:eastAsia="hr-HR"/>
        </w:rPr>
      </w:pPr>
      <w:r w:rsidRPr="00315275">
        <w:rPr>
          <w:lang w:eastAsia="hr-HR"/>
        </w:rPr>
        <w:t xml:space="preserve">Grad Zagreb kontinuirano izrađuje Godišnje planove energetske učinkovitosti te Trogodišnje akcijske planove energetske učinkovitosti, koje je obvezan izrađivati prema </w:t>
      </w:r>
      <w:r w:rsidRPr="00291DF5">
        <w:rPr>
          <w:i/>
          <w:iCs/>
          <w:lang w:eastAsia="hr-HR"/>
        </w:rPr>
        <w:t>Zakonu o energetskoj učinkovitosti NN 127/2014.</w:t>
      </w:r>
    </w:p>
    <w:p w14:paraId="4DAD7FCB" w14:textId="77777777" w:rsidR="008B5153" w:rsidRPr="005808FC" w:rsidRDefault="008B5153">
      <w:pPr>
        <w:rPr>
          <w:lang w:eastAsia="hr-HR"/>
        </w:rPr>
      </w:pPr>
      <w:r w:rsidRPr="00315275">
        <w:rPr>
          <w:lang w:eastAsia="hr-HR"/>
        </w:rPr>
        <w:t>Grad Zagreb je 2010. godin</w:t>
      </w:r>
      <w:r w:rsidRPr="003E50D1">
        <w:rPr>
          <w:lang w:eastAsia="hr-HR"/>
        </w:rPr>
        <w:t>e potvrdio Akcijski plan energetski održivog razvitka Grada Zagreba – SEAP, izrađen nakon pristupanja Sporazumu gradonačelnika te je podnio Izvješće o njegovoj provedbi u 2015. godini.</w:t>
      </w:r>
    </w:p>
    <w:p w14:paraId="140C5E9F" w14:textId="43AA7D67" w:rsidR="008B5153" w:rsidRPr="00922031" w:rsidRDefault="008B5153">
      <w:r w:rsidRPr="005808FC">
        <w:t>Svi navedeni projekti, dokumenti, planovi</w:t>
      </w:r>
      <w:r w:rsidR="000509A0">
        <w:t xml:space="preserve"> i </w:t>
      </w:r>
      <w:r w:rsidRPr="00291DF5">
        <w:t>suradnje Grada Zagreba uka</w:t>
      </w:r>
      <w:r w:rsidRPr="005808FC">
        <w:t>zuju na nastojanje Grada da kontinuirano provodi proaktivnu energetsku</w:t>
      </w:r>
      <w:r w:rsidR="000509A0">
        <w:t xml:space="preserve"> i </w:t>
      </w:r>
      <w:r w:rsidRPr="00291DF5">
        <w:t>klimatsku politiku.</w:t>
      </w:r>
    </w:p>
    <w:p w14:paraId="3996C55D" w14:textId="77777777" w:rsidR="008B5153" w:rsidRPr="00922031" w:rsidRDefault="008B5153" w:rsidP="00975CD4">
      <w:pPr>
        <w:rPr>
          <w:rFonts w:cstheme="minorHAnsi"/>
        </w:rPr>
      </w:pPr>
      <w:r w:rsidRPr="00922031">
        <w:rPr>
          <w:rFonts w:cstheme="minorHAnsi"/>
        </w:rPr>
        <w:br w:type="page"/>
      </w:r>
    </w:p>
    <w:p w14:paraId="681E6530" w14:textId="7E99B613" w:rsidR="008B5153" w:rsidRPr="003E50D1" w:rsidRDefault="008B5153">
      <w:pPr>
        <w:pStyle w:val="Heading3"/>
        <w:rPr>
          <w:rFonts w:cstheme="minorBidi"/>
        </w:rPr>
      </w:pPr>
      <w:bookmarkStart w:id="28" w:name="_Toc4156063"/>
      <w:r w:rsidRPr="00315275">
        <w:rPr>
          <w:rFonts w:cstheme="minorBidi"/>
        </w:rPr>
        <w:lastRenderedPageBreak/>
        <w:t>Vizija Grada Zagreba u pogledu energetske</w:t>
      </w:r>
      <w:r w:rsidR="000509A0">
        <w:rPr>
          <w:rFonts w:cstheme="minorBidi"/>
        </w:rPr>
        <w:t xml:space="preserve"> i </w:t>
      </w:r>
      <w:r w:rsidRPr="00315275">
        <w:rPr>
          <w:rFonts w:cstheme="minorBidi"/>
        </w:rPr>
        <w:t>klimatske politike</w:t>
      </w:r>
      <w:bookmarkEnd w:id="28"/>
    </w:p>
    <w:p w14:paraId="711CCB8F"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78BA2714" w14:textId="0F0E211B" w:rsidR="008B5153" w:rsidRPr="005808FC" w:rsidRDefault="008B5153" w:rsidP="005808FC">
      <w:pPr>
        <w:pStyle w:val="Obinitekst1"/>
        <w:spacing w:line="276" w:lineRule="auto"/>
        <w:jc w:val="both"/>
        <w:rPr>
          <w:rFonts w:asciiTheme="minorHAnsi" w:hAnsiTheme="minorHAnsi" w:cstheme="minorBidi"/>
          <w:noProof/>
          <w:sz w:val="22"/>
          <w:szCs w:val="22"/>
          <w:lang w:val="hr-HR"/>
        </w:rPr>
      </w:pPr>
      <w:r w:rsidRPr="00315275">
        <w:rPr>
          <w:rFonts w:asciiTheme="minorHAnsi" w:hAnsiTheme="minorHAnsi" w:cstheme="minorBidi"/>
          <w:sz w:val="22"/>
          <w:szCs w:val="22"/>
          <w:lang w:val="hr-HR"/>
        </w:rPr>
        <w:t>Gradska uprava Grada Zagreba odlučno</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aktivno provodi planirane mjere</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 xml:space="preserve">procese energetski </w:t>
      </w:r>
      <w:r w:rsidRPr="00291DF5">
        <w:rPr>
          <w:rFonts w:asciiTheme="minorHAnsi" w:hAnsiTheme="minorHAnsi" w:cstheme="minorBidi"/>
          <w:sz w:val="22"/>
          <w:szCs w:val="22"/>
          <w:lang w:val="hr-HR"/>
        </w:rPr>
        <w:t>održivog razvoja za ostvarenje vizije, Grad Zagreb -</w:t>
      </w:r>
      <w:r w:rsidR="00B25B9E" w:rsidRPr="005808FC">
        <w:rPr>
          <w:rFonts w:asciiTheme="minorHAnsi" w:hAnsiTheme="minorHAnsi" w:cstheme="minorBidi"/>
          <w:sz w:val="22"/>
          <w:szCs w:val="22"/>
          <w:lang w:val="hr-HR"/>
        </w:rPr>
        <w:t xml:space="preserve"> </w:t>
      </w:r>
      <w:r w:rsidRPr="005808FC">
        <w:rPr>
          <w:rFonts w:asciiTheme="minorHAnsi" w:hAnsiTheme="minorHAnsi" w:cstheme="minorBidi"/>
          <w:sz w:val="22"/>
          <w:szCs w:val="22"/>
          <w:lang w:val="hr-HR"/>
        </w:rPr>
        <w:t>grad održivog razvoja,</w:t>
      </w:r>
      <w:r w:rsidR="00B25B9E" w:rsidRPr="005808FC">
        <w:rPr>
          <w:rFonts w:asciiTheme="minorHAnsi" w:hAnsiTheme="minorHAnsi" w:cstheme="minorBidi"/>
          <w:sz w:val="22"/>
          <w:szCs w:val="22"/>
          <w:lang w:val="hr-HR"/>
        </w:rPr>
        <w:t xml:space="preserve"> </w:t>
      </w:r>
      <w:r w:rsidRPr="005808FC">
        <w:rPr>
          <w:rFonts w:asciiTheme="minorHAnsi" w:hAnsiTheme="minorHAnsi" w:cstheme="minorBidi"/>
          <w:sz w:val="22"/>
          <w:szCs w:val="22"/>
          <w:lang w:val="hr-HR"/>
        </w:rPr>
        <w:t>u suradnji sa svim relevantnim subjektima u zemlji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inozemstvu.</w:t>
      </w:r>
      <w:r w:rsidRPr="005808FC">
        <w:rPr>
          <w:rFonts w:asciiTheme="minorHAnsi" w:hAnsiTheme="minorHAnsi" w:cstheme="minorBidi"/>
          <w:noProof/>
          <w:sz w:val="22"/>
          <w:szCs w:val="22"/>
          <w:lang w:val="hr-HR"/>
        </w:rPr>
        <w:t xml:space="preserve"> </w:t>
      </w:r>
    </w:p>
    <w:p w14:paraId="187A2D78" w14:textId="77777777" w:rsidR="008B5153" w:rsidRPr="00922031" w:rsidRDefault="008B5153" w:rsidP="00975CD4">
      <w:pPr>
        <w:pStyle w:val="Obinitekst1"/>
        <w:spacing w:line="276" w:lineRule="auto"/>
        <w:jc w:val="both"/>
        <w:rPr>
          <w:rFonts w:asciiTheme="minorHAnsi" w:hAnsiTheme="minorHAnsi" w:cstheme="minorHAnsi"/>
          <w:noProof/>
          <w:sz w:val="22"/>
          <w:szCs w:val="22"/>
          <w:lang w:val="hr-HR"/>
        </w:rPr>
      </w:pPr>
    </w:p>
    <w:p w14:paraId="222F0A2B"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r w:rsidRPr="00922031">
        <w:rPr>
          <w:rFonts w:asciiTheme="minorHAnsi" w:hAnsiTheme="minorHAnsi" w:cstheme="minorHAnsi"/>
          <w:noProof/>
          <w:sz w:val="22"/>
          <w:szCs w:val="22"/>
          <w:lang w:val="hr-HR" w:eastAsia="hr-HR"/>
        </w:rPr>
        <mc:AlternateContent>
          <mc:Choice Requires="wps">
            <w:drawing>
              <wp:inline distT="0" distB="0" distL="0" distR="0" wp14:anchorId="40CE112D" wp14:editId="3C75D034">
                <wp:extent cx="1869392" cy="5450600"/>
                <wp:effectExtent l="0" t="0" r="17145" b="17145"/>
                <wp:docPr id="295" name="Samo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69392" cy="5450600"/>
                        </a:xfrm>
                        <a:prstGeom prst="bracketPair">
                          <a:avLst>
                            <a:gd name="adj" fmla="val 10861"/>
                          </a:avLst>
                        </a:prstGeom>
                        <a:solidFill>
                          <a:schemeClr val="accent5">
                            <a:lumMod val="20000"/>
                            <a:lumOff val="80000"/>
                          </a:schemeClr>
                        </a:solidFill>
                        <a:ln>
                          <a:headEnd/>
                          <a:tailEnd/>
                        </a:ln>
                        <a:extLst/>
                      </wps:spPr>
                      <wps:style>
                        <a:lnRef idx="1">
                          <a:schemeClr val="accent5"/>
                        </a:lnRef>
                        <a:fillRef idx="0">
                          <a:schemeClr val="accent5"/>
                        </a:fillRef>
                        <a:effectRef idx="0">
                          <a:schemeClr val="accent5"/>
                        </a:effectRef>
                        <a:fontRef idx="minor">
                          <a:schemeClr val="tx1"/>
                        </a:fontRef>
                      </wps:style>
                      <wps:txbx>
                        <w:txbxContent>
                          <w:p w14:paraId="3DEF6FF6" w14:textId="509FCB32" w:rsidR="00EE0E04" w:rsidRPr="00025AA2" w:rsidRDefault="00EE0E04" w:rsidP="008B5153">
                            <w:pPr>
                              <w:pStyle w:val="Obinitekst1"/>
                              <w:jc w:val="both"/>
                              <w:rPr>
                                <w:rFonts w:asciiTheme="minorHAnsi" w:hAnsiTheme="minorHAnsi"/>
                                <w:color w:val="1F497D" w:themeColor="text2"/>
                                <w:szCs w:val="22"/>
                                <w:lang w:val="hr-HR"/>
                              </w:rPr>
                            </w:pPr>
                            <w:r w:rsidRPr="00025AA2">
                              <w:rPr>
                                <w:rFonts w:asciiTheme="minorHAnsi" w:hAnsiTheme="minorHAnsi"/>
                                <w:color w:val="1F497D" w:themeColor="text2"/>
                                <w:szCs w:val="22"/>
                                <w:lang w:val="hr-HR"/>
                              </w:rPr>
                              <w:t>‘’Vlastitim primjerom moramo pokazati našim građanima realne mogućnosti energetskih i izravnih</w:t>
                            </w:r>
                            <w:r>
                              <w:rPr>
                                <w:rFonts w:asciiTheme="minorHAnsi" w:hAnsiTheme="minorHAnsi"/>
                                <w:color w:val="1F497D" w:themeColor="text2"/>
                                <w:szCs w:val="22"/>
                                <w:lang w:val="hr-HR"/>
                              </w:rPr>
                              <w:t xml:space="preserve"> </w:t>
                            </w:r>
                            <w:r w:rsidRPr="00025AA2">
                              <w:rPr>
                                <w:rFonts w:asciiTheme="minorHAnsi" w:hAnsiTheme="minorHAnsi"/>
                                <w:color w:val="1F497D" w:themeColor="text2"/>
                                <w:szCs w:val="22"/>
                                <w:lang w:val="hr-HR"/>
                              </w:rPr>
                              <w:t>financijskih ušteda, smanjenja štetnog utjecaj na okoliš, provoditi proaktivnu energetsku politiku i podizati svijest svojih djelatnika i građana Grada Zagreba o realnoj energetskoj problematici, zaštiti okoliša i nužnosti učinkovitog korištenja energije.’’</w:t>
                            </w:r>
                          </w:p>
                          <w:p w14:paraId="25A6F4DB" w14:textId="77777777" w:rsidR="00EE0E04" w:rsidRPr="00025AA2" w:rsidRDefault="00EE0E04" w:rsidP="008B5153">
                            <w:pPr>
                              <w:pStyle w:val="Obinitekst1"/>
                              <w:jc w:val="both"/>
                              <w:rPr>
                                <w:rFonts w:asciiTheme="minorHAnsi" w:hAnsiTheme="minorHAnsi"/>
                                <w:b/>
                                <w:sz w:val="22"/>
                                <w:szCs w:val="22"/>
                                <w:lang w:val="hr-HR"/>
                              </w:rPr>
                            </w:pPr>
                          </w:p>
                          <w:p w14:paraId="110C29C9" w14:textId="77777777" w:rsidR="00EE0E04" w:rsidRPr="00025AA2" w:rsidRDefault="00EE0E04" w:rsidP="008B5153">
                            <w:pPr>
                              <w:pStyle w:val="Obinitekst1"/>
                              <w:jc w:val="both"/>
                              <w:rPr>
                                <w:rFonts w:ascii="Calibri" w:hAnsi="Calibri" w:cs="Arial"/>
                                <w:color w:val="1F497D" w:themeColor="text2"/>
                                <w:sz w:val="18"/>
                                <w:szCs w:val="22"/>
                                <w:lang w:val="hr-HR"/>
                              </w:rPr>
                            </w:pPr>
                            <w:r w:rsidRPr="00025AA2">
                              <w:rPr>
                                <w:rFonts w:asciiTheme="minorHAnsi" w:hAnsiTheme="minorHAnsi"/>
                                <w:b/>
                                <w:color w:val="1F497D" w:themeColor="text2"/>
                                <w:sz w:val="18"/>
                                <w:szCs w:val="22"/>
                                <w:lang w:val="hr-HR"/>
                              </w:rPr>
                              <w:t xml:space="preserve">gradonačelnik Grada Zagreba, Milan Bandić, </w:t>
                            </w:r>
                            <w:r w:rsidRPr="00025AA2">
                              <w:rPr>
                                <w:rFonts w:asciiTheme="minorHAnsi" w:hAnsiTheme="minorHAnsi"/>
                                <w:color w:val="1F497D" w:themeColor="text2"/>
                                <w:sz w:val="18"/>
                                <w:szCs w:val="22"/>
                                <w:lang w:val="hr-HR"/>
                              </w:rPr>
                              <w:t xml:space="preserve">palača Dverce, </w:t>
                            </w:r>
                            <w:r>
                              <w:rPr>
                                <w:rFonts w:asciiTheme="minorHAnsi" w:hAnsiTheme="minorHAnsi"/>
                                <w:color w:val="1F497D" w:themeColor="text2"/>
                                <w:sz w:val="18"/>
                                <w:szCs w:val="22"/>
                                <w:lang w:val="hr-HR"/>
                              </w:rPr>
                              <w:t xml:space="preserve">14.svibnja 2014., </w:t>
                            </w:r>
                            <w:r w:rsidRPr="00025AA2">
                              <w:rPr>
                                <w:rFonts w:asciiTheme="minorHAnsi" w:hAnsiTheme="minorHAnsi"/>
                                <w:color w:val="1F497D" w:themeColor="text2"/>
                                <w:sz w:val="18"/>
                                <w:szCs w:val="22"/>
                                <w:lang w:val="hr-HR"/>
                              </w:rPr>
                              <w:t>povodom otvaranja 5. Zagrebačkog energetskog tjedna</w:t>
                            </w:r>
                          </w:p>
                          <w:p w14:paraId="1AABCEA7" w14:textId="77777777" w:rsidR="00EE0E04" w:rsidRDefault="00EE0E04" w:rsidP="008B5153">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inline>
            </w:drawing>
          </mc:Choice>
          <mc:Fallback>
            <w:pict>
              <v:shapetype w14:anchorId="40CE11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Samooblik 2" o:spid="_x0000_s1026" type="#_x0000_t185" style="width:147.2pt;height:429.2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" adj="2346" filled="t" fillcolor="#daeef3 [664]" strokecolor="#40a7c2 [3048]">
                <v:textbox inset="18pt,18pt,,18pt">
                  <w:txbxContent>
                    <w:p w14:paraId="3DEF6FF6" w14:textId="509FCB32" w:rsidR="00EE0E04" w:rsidRPr="00025AA2" w:rsidRDefault="00EE0E04" w:rsidP="008B5153">
                      <w:pPr>
                        <w:pStyle w:val="Obinitekst1"/>
                        <w:jc w:val="both"/>
                        <w:rPr>
                          <w:rFonts w:asciiTheme="minorHAnsi" w:hAnsiTheme="minorHAnsi"/>
                          <w:color w:val="1F497D" w:themeColor="text2"/>
                          <w:szCs w:val="22"/>
                          <w:lang w:val="hr-HR"/>
                        </w:rPr>
                      </w:pPr>
                      <w:r w:rsidRPr="00025AA2">
                        <w:rPr>
                          <w:rFonts w:asciiTheme="minorHAnsi" w:hAnsiTheme="minorHAnsi"/>
                          <w:color w:val="1F497D" w:themeColor="text2"/>
                          <w:szCs w:val="22"/>
                          <w:lang w:val="hr-HR"/>
                        </w:rPr>
                        <w:t>‘’Vlastitim primjerom moramo pokazati našim građanima realne mogućnosti energetskih i izravnih</w:t>
                      </w:r>
                      <w:r>
                        <w:rPr>
                          <w:rFonts w:asciiTheme="minorHAnsi" w:hAnsiTheme="minorHAnsi"/>
                          <w:color w:val="1F497D" w:themeColor="text2"/>
                          <w:szCs w:val="22"/>
                          <w:lang w:val="hr-HR"/>
                        </w:rPr>
                        <w:t xml:space="preserve"> </w:t>
                      </w:r>
                      <w:r w:rsidRPr="00025AA2">
                        <w:rPr>
                          <w:rFonts w:asciiTheme="minorHAnsi" w:hAnsiTheme="minorHAnsi"/>
                          <w:color w:val="1F497D" w:themeColor="text2"/>
                          <w:szCs w:val="22"/>
                          <w:lang w:val="hr-HR"/>
                        </w:rPr>
                        <w:t>financijskih ušteda, smanjenja štetnog utjecaj na okoliš, provoditi proaktivnu energetsku politiku i podizati svijest svojih djelatnika i građana Grada Zagreba o realnoj energetskoj problematici, zaštiti okoliša i nužnosti učinkovitog korištenja energije.’’</w:t>
                      </w:r>
                    </w:p>
                    <w:p w14:paraId="25A6F4DB" w14:textId="77777777" w:rsidR="00EE0E04" w:rsidRPr="00025AA2" w:rsidRDefault="00EE0E04" w:rsidP="008B5153">
                      <w:pPr>
                        <w:pStyle w:val="Obinitekst1"/>
                        <w:jc w:val="both"/>
                        <w:rPr>
                          <w:rFonts w:asciiTheme="minorHAnsi" w:hAnsiTheme="minorHAnsi"/>
                          <w:b/>
                          <w:sz w:val="22"/>
                          <w:szCs w:val="22"/>
                          <w:lang w:val="hr-HR"/>
                        </w:rPr>
                      </w:pPr>
                    </w:p>
                    <w:p w14:paraId="110C29C9" w14:textId="77777777" w:rsidR="00EE0E04" w:rsidRPr="00025AA2" w:rsidRDefault="00EE0E04" w:rsidP="008B5153">
                      <w:pPr>
                        <w:pStyle w:val="Obinitekst1"/>
                        <w:jc w:val="both"/>
                        <w:rPr>
                          <w:rFonts w:ascii="Calibri" w:hAnsi="Calibri" w:cs="Arial"/>
                          <w:color w:val="1F497D" w:themeColor="text2"/>
                          <w:sz w:val="18"/>
                          <w:szCs w:val="22"/>
                          <w:lang w:val="hr-HR"/>
                        </w:rPr>
                      </w:pPr>
                      <w:r w:rsidRPr="00025AA2">
                        <w:rPr>
                          <w:rFonts w:asciiTheme="minorHAnsi" w:hAnsiTheme="minorHAnsi"/>
                          <w:b/>
                          <w:color w:val="1F497D" w:themeColor="text2"/>
                          <w:sz w:val="18"/>
                          <w:szCs w:val="22"/>
                          <w:lang w:val="hr-HR"/>
                        </w:rPr>
                        <w:t xml:space="preserve">gradonačelnik Grada Zagreba, Milan Bandić, </w:t>
                      </w:r>
                      <w:r w:rsidRPr="00025AA2">
                        <w:rPr>
                          <w:rFonts w:asciiTheme="minorHAnsi" w:hAnsiTheme="minorHAnsi"/>
                          <w:color w:val="1F497D" w:themeColor="text2"/>
                          <w:sz w:val="18"/>
                          <w:szCs w:val="22"/>
                          <w:lang w:val="hr-HR"/>
                        </w:rPr>
                        <w:t xml:space="preserve">palača Dverce, </w:t>
                      </w:r>
                      <w:r>
                        <w:rPr>
                          <w:rFonts w:asciiTheme="minorHAnsi" w:hAnsiTheme="minorHAnsi"/>
                          <w:color w:val="1F497D" w:themeColor="text2"/>
                          <w:sz w:val="18"/>
                          <w:szCs w:val="22"/>
                          <w:lang w:val="hr-HR"/>
                        </w:rPr>
                        <w:t xml:space="preserve">14.svibnja 2014., </w:t>
                      </w:r>
                      <w:r w:rsidRPr="00025AA2">
                        <w:rPr>
                          <w:rFonts w:asciiTheme="minorHAnsi" w:hAnsiTheme="minorHAnsi"/>
                          <w:color w:val="1F497D" w:themeColor="text2"/>
                          <w:sz w:val="18"/>
                          <w:szCs w:val="22"/>
                          <w:lang w:val="hr-HR"/>
                        </w:rPr>
                        <w:t>povodom otvaranja 5. Zagrebačkog energetskog tjedna</w:t>
                      </w:r>
                    </w:p>
                    <w:p w14:paraId="1AABCEA7" w14:textId="77777777" w:rsidR="00EE0E04" w:rsidRDefault="00EE0E04" w:rsidP="008B5153">
                      <w:pPr>
                        <w:jc w:val="right"/>
                        <w:rPr>
                          <w:i/>
                          <w:iCs/>
                          <w:color w:val="948A54" w:themeColor="background2" w:themeShade="80"/>
                        </w:rPr>
                      </w:pPr>
                    </w:p>
                  </w:txbxContent>
                </v:textbox>
                <w10:anchorlock/>
              </v:shape>
            </w:pict>
          </mc:Fallback>
        </mc:AlternateContent>
      </w:r>
    </w:p>
    <w:p w14:paraId="01A5E898"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54D8C1F2" w14:textId="29B82FF0"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Korist od uspješno provedenog procesa izrade, provedbe</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praćenja Akcijskog plana je višestruka za sam Grad Zagreb</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 xml:space="preserve">njegove građane </w:t>
      </w:r>
      <w:r w:rsidRPr="00291DF5">
        <w:rPr>
          <w:rFonts w:asciiTheme="minorHAnsi" w:hAnsiTheme="minorHAnsi" w:cstheme="minorBidi"/>
          <w:sz w:val="22"/>
          <w:szCs w:val="22"/>
          <w:lang w:val="hr-HR"/>
        </w:rPr>
        <w:t>ali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za jačanje političke moći Gradske uprave koja će uspješnom realizacijom čitavog Procesa postići sljedeće:</w:t>
      </w:r>
    </w:p>
    <w:p w14:paraId="1A9539A2"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69D0BD30" w14:textId="1A13E0CF"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Demonstrirati svoju opredijeljenost za energetski održiv razvitak Grada Zagreba na načelima zaštite okoliša, energetske učinkovitosti</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obnovlj</w:t>
      </w:r>
      <w:r w:rsidRPr="00291DF5">
        <w:rPr>
          <w:rFonts w:asciiTheme="minorHAnsi" w:hAnsiTheme="minorHAnsi" w:cstheme="minorBidi"/>
          <w:sz w:val="22"/>
          <w:szCs w:val="22"/>
          <w:lang w:val="hr-HR"/>
        </w:rPr>
        <w:t>ivih izvora energije kao imperativa održivosti 21. stoljeća;</w:t>
      </w:r>
    </w:p>
    <w:p w14:paraId="07F6C344" w14:textId="77777777"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Ojačati kapacitete Grada Zagreba za suočavanje sa štetnim utjecajima klimatskih promjena;</w:t>
      </w:r>
    </w:p>
    <w:p w14:paraId="20ADBF9A" w14:textId="3D30F812"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Iskoristiti mogućnosti za napredak gospodarstva</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društva u cjelini koje pruža razvoj niskougljičnog druš</w:t>
      </w:r>
      <w:r w:rsidRPr="003E50D1">
        <w:rPr>
          <w:rFonts w:asciiTheme="minorHAnsi" w:hAnsiTheme="minorHAnsi" w:cstheme="minorBidi"/>
          <w:sz w:val="22"/>
          <w:szCs w:val="22"/>
          <w:lang w:val="hr-HR"/>
        </w:rPr>
        <w:t>tva;</w:t>
      </w:r>
    </w:p>
    <w:p w14:paraId="449C3DC1" w14:textId="77777777"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Postaviti temelje energetski održivom razvitku Grada Zagreba;</w:t>
      </w:r>
    </w:p>
    <w:p w14:paraId="38F9E18A" w14:textId="7AAC1C8B"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Pokrenuti nove financijske mehanizme za pokretanje</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provedbu mjera energetske učinkovitosti</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korištenja obnovljivih izvora energije u Gradu Zagrebu;</w:t>
      </w:r>
    </w:p>
    <w:p w14:paraId="654E4F76" w14:textId="77777777"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Osigurati dugoročnu sigurnu energetsku</w:t>
      </w:r>
      <w:r w:rsidRPr="003E50D1">
        <w:rPr>
          <w:rFonts w:asciiTheme="minorHAnsi" w:hAnsiTheme="minorHAnsi" w:cstheme="minorBidi"/>
          <w:sz w:val="22"/>
          <w:szCs w:val="22"/>
          <w:lang w:val="hr-HR"/>
        </w:rPr>
        <w:t xml:space="preserve"> opskrbu Grada Zagreba;</w:t>
      </w:r>
    </w:p>
    <w:p w14:paraId="084B4407" w14:textId="37CFF682" w:rsidR="008B5153" w:rsidRPr="005808FC" w:rsidRDefault="008B5153" w:rsidP="005808FC">
      <w:pPr>
        <w:pStyle w:val="Obinitekst1"/>
        <w:numPr>
          <w:ilvl w:val="0"/>
          <w:numId w:val="7"/>
        </w:numPr>
        <w:spacing w:line="276" w:lineRule="auto"/>
        <w:jc w:val="both"/>
        <w:rPr>
          <w:rFonts w:asciiTheme="minorHAnsi" w:hAnsiTheme="minorHAnsi" w:cstheme="minorBidi"/>
          <w:sz w:val="22"/>
          <w:szCs w:val="22"/>
          <w:lang w:val="hr-HR"/>
        </w:rPr>
      </w:pPr>
      <w:r w:rsidRPr="00315275">
        <w:rPr>
          <w:rFonts w:asciiTheme="minorHAnsi" w:hAnsiTheme="minorHAnsi" w:cstheme="minorBidi"/>
          <w:sz w:val="22"/>
          <w:szCs w:val="22"/>
          <w:lang w:val="hr-HR"/>
        </w:rPr>
        <w:t>Povećati kvalitetu života svojih građana (poboljšati kvalitetu zraka, smanjiti prometna zagušenja</w:t>
      </w:r>
      <w:r w:rsidR="000509A0">
        <w:rPr>
          <w:rFonts w:asciiTheme="minorHAnsi" w:hAnsiTheme="minorHAnsi" w:cstheme="minorBidi"/>
          <w:sz w:val="22"/>
          <w:szCs w:val="22"/>
          <w:lang w:val="hr-HR"/>
        </w:rPr>
        <w:t xml:space="preserve"> i </w:t>
      </w:r>
      <w:r w:rsidRPr="00315275">
        <w:rPr>
          <w:rFonts w:asciiTheme="minorHAnsi" w:hAnsiTheme="minorHAnsi" w:cstheme="minorBidi"/>
          <w:sz w:val="22"/>
          <w:szCs w:val="22"/>
          <w:lang w:val="hr-HR"/>
        </w:rPr>
        <w:t xml:space="preserve">sl.). </w:t>
      </w:r>
    </w:p>
    <w:p w14:paraId="4A7D7212"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498DF8DA"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669094A4" w14:textId="77777777"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Potpisnici Sporazuma potvrđuju zajedničku viziju za 2050. godinu:</w:t>
      </w:r>
      <w:r w:rsidRPr="003E50D1">
        <w:rPr>
          <w:rFonts w:asciiTheme="minorHAnsi" w:hAnsiTheme="minorHAnsi" w:cstheme="minorBidi"/>
          <w:sz w:val="22"/>
          <w:szCs w:val="22"/>
          <w:lang w:val="hr-HR"/>
        </w:rPr>
        <w:t xml:space="preserve"> </w:t>
      </w:r>
    </w:p>
    <w:p w14:paraId="53A3426D"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39382A30" w14:textId="4EF13509"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provođenje dekarbonizacije lokalnog teritorija</w:t>
      </w:r>
      <w:r w:rsidRPr="003E50D1">
        <w:rPr>
          <w:rFonts w:asciiTheme="minorHAnsi" w:hAnsiTheme="minorHAnsi" w:cstheme="minorBidi"/>
          <w:sz w:val="22"/>
          <w:szCs w:val="22"/>
          <w:lang w:val="hr-HR"/>
        </w:rPr>
        <w:t xml:space="preserve">, na taj </w:t>
      </w:r>
      <w:r w:rsidRPr="00291DF5">
        <w:rPr>
          <w:rFonts w:asciiTheme="minorHAnsi" w:hAnsiTheme="minorHAnsi" w:cstheme="minorBidi"/>
          <w:sz w:val="22"/>
          <w:szCs w:val="22"/>
          <w:lang w:val="hr-HR"/>
        </w:rPr>
        <w:t>način pridonoseći ograničavanju prosječnog globalnog porasta temperature ispod 2°C prema međunarodnom klimatskom sporazumu postignutom prilikom COP21 u Parizu u prosincu 2015. godine;</w:t>
      </w:r>
      <w:r w:rsidR="00B25B9E" w:rsidRPr="005808FC">
        <w:rPr>
          <w:rFonts w:asciiTheme="minorHAnsi" w:hAnsiTheme="minorHAnsi" w:cstheme="minorBidi"/>
          <w:sz w:val="22"/>
          <w:szCs w:val="22"/>
          <w:lang w:val="hr-HR"/>
        </w:rPr>
        <w:t xml:space="preserve"> </w:t>
      </w:r>
    </w:p>
    <w:p w14:paraId="3AB73E11" w14:textId="77777777"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t>povećanje otpornosti lokalnog teritorija</w:t>
      </w:r>
      <w:r w:rsidRPr="003E50D1">
        <w:rPr>
          <w:rFonts w:asciiTheme="minorHAnsi" w:hAnsiTheme="minorHAnsi" w:cstheme="minorBidi"/>
          <w:sz w:val="22"/>
          <w:szCs w:val="22"/>
          <w:lang w:val="hr-HR"/>
        </w:rPr>
        <w:t xml:space="preserve"> te u tom smislu jačanje kapaciteta za prilagodbu neizbježnim utjecajima klimatskih promjena;</w:t>
      </w:r>
    </w:p>
    <w:p w14:paraId="22D4E8B8" w14:textId="4030B65D" w:rsidR="008B5153" w:rsidRPr="005808FC" w:rsidRDefault="008B5153" w:rsidP="005808FC">
      <w:pPr>
        <w:pStyle w:val="Obinitekst1"/>
        <w:numPr>
          <w:ilvl w:val="0"/>
          <w:numId w:val="28"/>
        </w:numPr>
        <w:spacing w:line="276" w:lineRule="auto"/>
        <w:jc w:val="both"/>
        <w:rPr>
          <w:rFonts w:asciiTheme="minorHAnsi" w:hAnsiTheme="minorHAnsi" w:cstheme="minorBidi"/>
          <w:sz w:val="22"/>
          <w:szCs w:val="22"/>
          <w:lang w:val="hr-HR"/>
        </w:rPr>
      </w:pPr>
      <w:r w:rsidRPr="00315275">
        <w:rPr>
          <w:rFonts w:asciiTheme="minorHAnsi" w:hAnsiTheme="minorHAnsi" w:cstheme="minorBidi"/>
          <w:b/>
          <w:bCs/>
          <w:sz w:val="22"/>
          <w:szCs w:val="22"/>
          <w:lang w:val="hr-HR"/>
        </w:rPr>
        <w:lastRenderedPageBreak/>
        <w:t>omogućiti univerzalni pristup sigurnoj, održivoj</w:t>
      </w:r>
      <w:r w:rsidR="000509A0">
        <w:rPr>
          <w:rFonts w:asciiTheme="minorHAnsi" w:hAnsiTheme="minorHAnsi" w:cstheme="minorBidi"/>
          <w:b/>
          <w:bCs/>
          <w:sz w:val="22"/>
          <w:szCs w:val="22"/>
          <w:lang w:val="hr-HR"/>
        </w:rPr>
        <w:t xml:space="preserve"> i </w:t>
      </w:r>
      <w:r w:rsidRPr="00315275">
        <w:rPr>
          <w:rFonts w:asciiTheme="minorHAnsi" w:hAnsiTheme="minorHAnsi" w:cstheme="minorBidi"/>
          <w:b/>
          <w:bCs/>
          <w:sz w:val="22"/>
          <w:szCs w:val="22"/>
          <w:lang w:val="hr-HR"/>
        </w:rPr>
        <w:t>cjenovno dostupnoj energiji</w:t>
      </w:r>
      <w:r w:rsidRPr="003E50D1">
        <w:rPr>
          <w:rFonts w:asciiTheme="minorHAnsi" w:hAnsiTheme="minorHAnsi" w:cstheme="minorBidi"/>
          <w:sz w:val="22"/>
          <w:szCs w:val="22"/>
          <w:lang w:val="hr-HR"/>
        </w:rPr>
        <w:t xml:space="preserve"> svim građanima te time pridonijeti unaprjeđenju kvalitete života te povećanju energ</w:t>
      </w:r>
      <w:r w:rsidRPr="00291DF5">
        <w:rPr>
          <w:rFonts w:asciiTheme="minorHAnsi" w:hAnsiTheme="minorHAnsi" w:cstheme="minorBidi"/>
          <w:sz w:val="22"/>
          <w:szCs w:val="22"/>
          <w:lang w:val="hr-HR"/>
        </w:rPr>
        <w:t>etske sigurnosti.</w:t>
      </w:r>
    </w:p>
    <w:p w14:paraId="18229CD4"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2E72EC3" w14:textId="27D0DF29" w:rsidR="008B5153" w:rsidRPr="003E50D1" w:rsidRDefault="008B5153">
      <w:pPr>
        <w:pStyle w:val="Heading3"/>
        <w:rPr>
          <w:rFonts w:cstheme="minorBidi"/>
        </w:rPr>
      </w:pPr>
      <w:bookmarkStart w:id="29" w:name="_Toc4156064"/>
      <w:r w:rsidRPr="00315275">
        <w:rPr>
          <w:rFonts w:cstheme="minorBidi"/>
        </w:rPr>
        <w:t>Ciljevi Grada Zagreba u pogledu energetske</w:t>
      </w:r>
      <w:r w:rsidR="000509A0">
        <w:rPr>
          <w:rFonts w:cstheme="minorBidi"/>
        </w:rPr>
        <w:t xml:space="preserve"> i </w:t>
      </w:r>
      <w:r w:rsidRPr="00315275">
        <w:rPr>
          <w:rFonts w:cstheme="minorBidi"/>
        </w:rPr>
        <w:t>klimatske politike</w:t>
      </w:r>
      <w:bookmarkEnd w:id="29"/>
    </w:p>
    <w:p w14:paraId="76F1E4D3" w14:textId="46675AD0" w:rsidR="001770D7" w:rsidRPr="00922031" w:rsidRDefault="00C61843">
      <w:r w:rsidRPr="00291DF5">
        <w:t>Ciljevi Grada Zagreba u smislu energetske</w:t>
      </w:r>
      <w:r w:rsidR="000509A0">
        <w:t xml:space="preserve"> i </w:t>
      </w:r>
      <w:r w:rsidR="00BC2F98" w:rsidRPr="00291DF5">
        <w:t xml:space="preserve">klimatske </w:t>
      </w:r>
      <w:r w:rsidRPr="005808FC">
        <w:t>politike</w:t>
      </w:r>
      <w:r w:rsidR="0018428C" w:rsidRPr="005808FC">
        <w:t xml:space="preserve">, definirani su kroz uštede </w:t>
      </w:r>
      <w:r w:rsidR="001770D7" w:rsidRPr="005808FC">
        <w:t>energije</w:t>
      </w:r>
      <w:r w:rsidR="000509A0">
        <w:t xml:space="preserve"> i </w:t>
      </w:r>
      <w:r w:rsidR="001770D7" w:rsidRPr="00291DF5">
        <w:t>procijenjeno smanjenje emisija CO</w:t>
      </w:r>
      <w:r w:rsidR="001770D7" w:rsidRPr="005808FC">
        <w:rPr>
          <w:vertAlign w:val="subscript"/>
        </w:rPr>
        <w:t>2</w:t>
      </w:r>
      <w:r w:rsidR="001770D7" w:rsidRPr="005808FC">
        <w:t>.</w:t>
      </w:r>
    </w:p>
    <w:p w14:paraId="38E464EB" w14:textId="77777777" w:rsidR="001770D7" w:rsidRPr="00922031" w:rsidRDefault="001770D7">
      <w:r w:rsidRPr="00315275">
        <w:t>Ciljevi grada Zagreba preuzeti prili</w:t>
      </w:r>
      <w:r w:rsidRPr="003E50D1">
        <w:t xml:space="preserve">kom potpisivanja Sporazuma Gradonačelnika su </w:t>
      </w:r>
    </w:p>
    <w:p w14:paraId="2D00655D" w14:textId="30D1E74C" w:rsidR="001770D7" w:rsidRPr="005808FC" w:rsidRDefault="001770D7">
      <w:pPr>
        <w:pStyle w:val="ListParagraph"/>
        <w:numPr>
          <w:ilvl w:val="0"/>
          <w:numId w:val="36"/>
        </w:numPr>
        <w:rPr>
          <w:rFonts w:eastAsiaTheme="majorEastAsia"/>
        </w:rPr>
      </w:pPr>
      <w:r w:rsidRPr="005808FC">
        <w:rPr>
          <w:b/>
        </w:rPr>
        <w:t>smanjenje emisija CO</w:t>
      </w:r>
      <w:r w:rsidRPr="005808FC">
        <w:rPr>
          <w:b/>
          <w:vertAlign w:val="subscript"/>
        </w:rPr>
        <w:t>2</w:t>
      </w:r>
      <w:r w:rsidRPr="005808FC">
        <w:rPr>
          <w:b/>
        </w:rPr>
        <w:t xml:space="preserve"> za 40% do 2030. godine</w:t>
      </w:r>
      <w:r w:rsidRPr="00291DF5">
        <w:t xml:space="preserve"> u usporedbi s inventarom emisija </w:t>
      </w:r>
      <w:r w:rsidR="007944F2" w:rsidRPr="005808FC">
        <w:t>referentne</w:t>
      </w:r>
      <w:r w:rsidRPr="005808FC">
        <w:t xml:space="preserve"> 2008. godine;</w:t>
      </w:r>
    </w:p>
    <w:p w14:paraId="033D5A09" w14:textId="205D78E4" w:rsidR="001770D7" w:rsidRPr="005808FC" w:rsidRDefault="001770D7">
      <w:pPr>
        <w:pStyle w:val="ListParagraph"/>
        <w:numPr>
          <w:ilvl w:val="0"/>
          <w:numId w:val="36"/>
        </w:numPr>
        <w:rPr>
          <w:rFonts w:eastAsiaTheme="majorEastAsia"/>
        </w:rPr>
      </w:pPr>
      <w:r w:rsidRPr="005808FC">
        <w:rPr>
          <w:b/>
          <w:bCs/>
        </w:rPr>
        <w:t>povećanje otpornosti na klimatske promjene</w:t>
      </w:r>
      <w:r w:rsidRPr="005808FC">
        <w:t xml:space="preserve"> uslijed primjene principa prilagodbe klimatskim promjenama.</w:t>
      </w:r>
    </w:p>
    <w:p w14:paraId="1567FA25" w14:textId="77777777" w:rsidR="00CC1D6C" w:rsidRPr="00922031" w:rsidRDefault="00CC1D6C">
      <w:r w:rsidRPr="005808FC">
        <w:t>Na temelju izrađenog Referentnog inventara emisija stakleničkih plinova koji je iznosio 2 794 kt CO</w:t>
      </w:r>
      <w:r w:rsidRPr="005808FC">
        <w:rPr>
          <w:vertAlign w:val="subscript"/>
        </w:rPr>
        <w:t>2</w:t>
      </w:r>
      <w:r w:rsidRPr="005808FC">
        <w:t xml:space="preserve"> postavljen je indikativni cilj smanjenja emisije CO</w:t>
      </w:r>
      <w:r w:rsidRPr="005808FC">
        <w:rPr>
          <w:vertAlign w:val="subscript"/>
        </w:rPr>
        <w:t>2</w:t>
      </w:r>
      <w:r w:rsidRPr="005808FC">
        <w:t xml:space="preserve"> od 40% do 2030. u odnosu na 2008. godinu. </w:t>
      </w:r>
    </w:p>
    <w:p w14:paraId="26EDD73A" w14:textId="0613B7A1" w:rsidR="00CC1D6C" w:rsidRPr="005808FC" w:rsidRDefault="00CC1D6C">
      <w:pPr>
        <w:rPr>
          <w:b/>
          <w:bCs/>
        </w:rPr>
      </w:pPr>
      <w:r w:rsidRPr="00315275">
        <w:rPr>
          <w:b/>
          <w:bCs/>
        </w:rPr>
        <w:t>Postavljen indikativni cilj smanjenja emisije CO</w:t>
      </w:r>
      <w:r w:rsidRPr="003E50D1">
        <w:rPr>
          <w:b/>
          <w:bCs/>
          <w:vertAlign w:val="subscript"/>
        </w:rPr>
        <w:t>2</w:t>
      </w:r>
      <w:r w:rsidRPr="00291DF5">
        <w:rPr>
          <w:b/>
          <w:bCs/>
        </w:rPr>
        <w:t xml:space="preserve"> od 40% </w:t>
      </w:r>
      <w:r w:rsidR="001D7233" w:rsidRPr="005808FC">
        <w:rPr>
          <w:b/>
          <w:bCs/>
        </w:rPr>
        <w:t>u uspored</w:t>
      </w:r>
      <w:r w:rsidR="00343A48" w:rsidRPr="005808FC">
        <w:rPr>
          <w:b/>
          <w:bCs/>
        </w:rPr>
        <w:t>b</w:t>
      </w:r>
      <w:r w:rsidR="001D7233" w:rsidRPr="005808FC">
        <w:rPr>
          <w:b/>
          <w:bCs/>
        </w:rPr>
        <w:t xml:space="preserve">i s emisijama iz bazne 2008. godine </w:t>
      </w:r>
      <w:r w:rsidRPr="005808FC">
        <w:rPr>
          <w:b/>
          <w:bCs/>
        </w:rPr>
        <w:t>za Grad Zagreb iznosi 1118 kt CO</w:t>
      </w:r>
      <w:r w:rsidRPr="005808FC">
        <w:rPr>
          <w:b/>
          <w:bCs/>
          <w:vertAlign w:val="subscript"/>
        </w:rPr>
        <w:t>2</w:t>
      </w:r>
      <w:r w:rsidR="006E3FA2" w:rsidRPr="005808FC">
        <w:rPr>
          <w:b/>
          <w:bCs/>
        </w:rPr>
        <w:t>, što znači da bi ukupne emisije CO</w:t>
      </w:r>
      <w:r w:rsidR="006E3FA2" w:rsidRPr="005808FC">
        <w:rPr>
          <w:b/>
          <w:bCs/>
          <w:vertAlign w:val="subscript"/>
        </w:rPr>
        <w:t>2</w:t>
      </w:r>
      <w:r w:rsidR="006E3FA2" w:rsidRPr="005808FC">
        <w:rPr>
          <w:b/>
          <w:bCs/>
        </w:rPr>
        <w:t xml:space="preserve"> u 2030. godini trebale iznositi </w:t>
      </w:r>
      <w:r w:rsidR="00343A48" w:rsidRPr="005808FC">
        <w:rPr>
          <w:b/>
          <w:bCs/>
        </w:rPr>
        <w:t xml:space="preserve">manje od </w:t>
      </w:r>
      <w:r w:rsidR="001D7233" w:rsidRPr="005808FC">
        <w:rPr>
          <w:b/>
          <w:bCs/>
        </w:rPr>
        <w:t>1</w:t>
      </w:r>
      <w:r w:rsidR="00B2701B" w:rsidRPr="005808FC">
        <w:rPr>
          <w:b/>
          <w:bCs/>
        </w:rPr>
        <w:t>.677.630,53 t CO</w:t>
      </w:r>
      <w:r w:rsidR="00B2701B" w:rsidRPr="005808FC">
        <w:rPr>
          <w:b/>
          <w:bCs/>
          <w:vertAlign w:val="subscript"/>
        </w:rPr>
        <w:t>2</w:t>
      </w:r>
      <w:r w:rsidR="00B2701B" w:rsidRPr="00315275">
        <w:rPr>
          <w:b/>
          <w:bCs/>
        </w:rPr>
        <w:t>.</w:t>
      </w:r>
    </w:p>
    <w:p w14:paraId="2C029270" w14:textId="77777777" w:rsidR="00C35E2D" w:rsidRDefault="00C35E2D" w:rsidP="00C35E2D">
      <w:pPr>
        <w:rPr>
          <w:rFonts w:cstheme="minorHAnsi"/>
        </w:rPr>
      </w:pPr>
    </w:p>
    <w:p w14:paraId="005C0611" w14:textId="4B699193" w:rsidR="0018765E" w:rsidRPr="005808FC" w:rsidRDefault="0018765E" w:rsidP="005808FC">
      <w:pPr>
        <w:rPr>
          <w:rFonts w:eastAsiaTheme="majorEastAsia" w:cstheme="minorHAnsi"/>
        </w:rPr>
      </w:pPr>
      <w:r w:rsidRPr="00291DF5">
        <w:rPr>
          <w:rFonts w:cstheme="minorHAnsi"/>
        </w:rPr>
        <w:br w:type="page"/>
      </w:r>
    </w:p>
    <w:p w14:paraId="65616F86" w14:textId="37FB9D1A" w:rsidR="008B5153" w:rsidRPr="00922031" w:rsidRDefault="008B5153" w:rsidP="00C43F08">
      <w:pPr>
        <w:pStyle w:val="Heading1"/>
      </w:pPr>
      <w:bookmarkStart w:id="30" w:name="_Toc4156065"/>
      <w:r w:rsidRPr="00922031">
        <w:lastRenderedPageBreak/>
        <w:t>METODOLOGIJA</w:t>
      </w:r>
      <w:bookmarkEnd w:id="30"/>
    </w:p>
    <w:p w14:paraId="66004E1B" w14:textId="77777777" w:rsidR="008B5153" w:rsidRPr="00922031" w:rsidRDefault="008B5153" w:rsidP="00975CD4">
      <w:pPr>
        <w:rPr>
          <w:rFonts w:cstheme="minorHAnsi"/>
        </w:rPr>
      </w:pPr>
    </w:p>
    <w:p w14:paraId="34C155A6" w14:textId="78548E59" w:rsidR="008B5153" w:rsidRPr="00922031" w:rsidRDefault="008B5153">
      <w:r w:rsidRPr="003E50D1">
        <w:t>Akcijski plan energetski održivog razvitka</w:t>
      </w:r>
      <w:r w:rsidR="000509A0">
        <w:t xml:space="preserve"> i </w:t>
      </w:r>
      <w:r w:rsidRPr="003E50D1">
        <w:t xml:space="preserve">klimatskih promjena </w:t>
      </w:r>
      <w:r w:rsidR="00247B86" w:rsidRPr="005808FC">
        <w:rPr>
          <w:b/>
          <w:bCs/>
        </w:rPr>
        <w:t>(</w:t>
      </w:r>
      <w:r w:rsidR="00247B86">
        <w:rPr>
          <w:b/>
          <w:bCs/>
        </w:rPr>
        <w:t xml:space="preserve">engl. </w:t>
      </w:r>
      <w:r w:rsidR="00247B86" w:rsidRPr="00E04A0F">
        <w:rPr>
          <w:b/>
          <w:bCs/>
          <w:i/>
        </w:rPr>
        <w:t>Sustainable Energy and Climate Action Plan</w:t>
      </w:r>
      <w:r w:rsidR="00247B86">
        <w:rPr>
          <w:b/>
          <w:bCs/>
        </w:rPr>
        <w:t xml:space="preserve"> – </w:t>
      </w:r>
      <w:r w:rsidR="00247B86" w:rsidRPr="005808FC">
        <w:rPr>
          <w:b/>
          <w:bCs/>
        </w:rPr>
        <w:t>SECAP)</w:t>
      </w:r>
      <w:r w:rsidRPr="003E50D1">
        <w:t xml:space="preserve"> </w:t>
      </w:r>
      <w:r w:rsidR="003777EC">
        <w:t>izrađen je</w:t>
      </w:r>
      <w:r w:rsidRPr="003E50D1">
        <w:t xml:space="preserve"> se u skladu sa smjernicama izrađenim u sklopu Sporazuma gradonačelnika za klimu</w:t>
      </w:r>
      <w:r w:rsidR="000509A0">
        <w:t xml:space="preserve"> i </w:t>
      </w:r>
      <w:r w:rsidRPr="003E50D1">
        <w:t>energiju (</w:t>
      </w:r>
      <w:r w:rsidRPr="003E50D1">
        <w:rPr>
          <w:i/>
          <w:iCs/>
        </w:rPr>
        <w:t>engl</w:t>
      </w:r>
      <w:r w:rsidRPr="003E50D1">
        <w:t xml:space="preserve">. </w:t>
      </w:r>
      <w:r w:rsidRPr="003E50D1">
        <w:rPr>
          <w:i/>
          <w:iCs/>
        </w:rPr>
        <w:t>The Covenant of Mayors for Climate and Energy Reporting Guidelines</w:t>
      </w:r>
      <w:r w:rsidRPr="003E50D1">
        <w:t xml:space="preserve"> ) te predloškom Akcijskog plana za održivu energiju</w:t>
      </w:r>
      <w:r w:rsidR="000509A0">
        <w:t xml:space="preserve"> i </w:t>
      </w:r>
      <w:r w:rsidRPr="003E50D1">
        <w:t>borbu protiv klimatskih promjena koji su izradili Ured Sporazuma gradonačelnika</w:t>
      </w:r>
      <w:r w:rsidR="000509A0">
        <w:t xml:space="preserve"> i </w:t>
      </w:r>
      <w:r w:rsidRPr="003E50D1">
        <w:t xml:space="preserve">Ured inicijative </w:t>
      </w:r>
      <w:r w:rsidRPr="00544C30">
        <w:rPr>
          <w:i/>
        </w:rPr>
        <w:t>Mayors Adapt</w:t>
      </w:r>
      <w:r w:rsidRPr="003E50D1">
        <w:t xml:space="preserve"> u suradnji sa Zajedničkim istraživačkim centrom Europske komisije.</w:t>
      </w:r>
    </w:p>
    <w:p w14:paraId="77FF9419" w14:textId="061C9E6C"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Europska komisija je u cilju olakšavanja pripreme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provedbe SECAP-a te uspoređivanja postignutih rezultata među europskim gradovima pripremila prateće dokumente te je ovaj Akcijski plan izrađen u skladu s uputama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alatima</w:t>
      </w:r>
      <w:r w:rsidRPr="00291DF5">
        <w:rPr>
          <w:rFonts w:asciiTheme="minorHAnsi" w:hAnsiTheme="minorHAnsi" w:cstheme="minorBidi"/>
          <w:b/>
          <w:bCs/>
          <w:sz w:val="22"/>
          <w:szCs w:val="22"/>
          <w:lang w:val="hr-HR"/>
        </w:rPr>
        <w:t xml:space="preserve"> </w:t>
      </w:r>
      <w:r w:rsidRPr="005808FC">
        <w:rPr>
          <w:rFonts w:asciiTheme="minorHAnsi" w:hAnsiTheme="minorHAnsi" w:cstheme="minorBidi"/>
          <w:sz w:val="22"/>
          <w:szCs w:val="22"/>
          <w:lang w:val="hr-HR"/>
        </w:rPr>
        <w:t>unutar tih dokumenata:</w:t>
      </w:r>
    </w:p>
    <w:p w14:paraId="22E17846" w14:textId="77777777" w:rsidR="008B5153" w:rsidRPr="005808FC" w:rsidRDefault="008B5153" w:rsidP="005808FC">
      <w:pPr>
        <w:pStyle w:val="Obinitekst1"/>
        <w:numPr>
          <w:ilvl w:val="0"/>
          <w:numId w:val="38"/>
        </w:numPr>
        <w:spacing w:line="276" w:lineRule="auto"/>
        <w:jc w:val="both"/>
        <w:rPr>
          <w:rFonts w:asciiTheme="minorHAnsi" w:hAnsiTheme="minorHAnsi" w:cstheme="minorBidi"/>
          <w:sz w:val="22"/>
          <w:szCs w:val="22"/>
          <w:lang w:val="hr-HR"/>
        </w:rPr>
      </w:pPr>
      <w:r w:rsidRPr="003E50D1">
        <w:rPr>
          <w:rFonts w:asciiTheme="minorHAnsi" w:hAnsiTheme="minorHAnsi" w:cstheme="minorBidi"/>
          <w:i/>
          <w:iCs/>
          <w:sz w:val="22"/>
          <w:szCs w:val="22"/>
          <w:lang w:val="hr-HR"/>
        </w:rPr>
        <w:t>Priručnik za izradu Akcijskog plana energetski održivog razvitka grada</w:t>
      </w:r>
      <w:r w:rsidRPr="00291DF5">
        <w:rPr>
          <w:rFonts w:asciiTheme="minorHAnsi" w:hAnsiTheme="minorHAnsi" w:cstheme="minorBidi"/>
          <w:sz w:val="22"/>
          <w:szCs w:val="22"/>
          <w:lang w:val="hr-HR"/>
        </w:rPr>
        <w:t>;</w:t>
      </w:r>
    </w:p>
    <w:p w14:paraId="3ECFCC34" w14:textId="3F1E282F" w:rsidR="008B5153" w:rsidRPr="005808FC" w:rsidRDefault="008B5153" w:rsidP="005808FC">
      <w:pPr>
        <w:pStyle w:val="Obinitekst1"/>
        <w:numPr>
          <w:ilvl w:val="0"/>
          <w:numId w:val="38"/>
        </w:numPr>
        <w:spacing w:line="276" w:lineRule="auto"/>
        <w:jc w:val="both"/>
        <w:rPr>
          <w:rFonts w:asciiTheme="minorHAnsi" w:hAnsiTheme="minorHAnsi" w:cstheme="minorBidi"/>
          <w:sz w:val="22"/>
          <w:szCs w:val="22"/>
          <w:lang w:val="hr-HR"/>
        </w:rPr>
      </w:pPr>
      <w:r w:rsidRPr="003E50D1">
        <w:rPr>
          <w:rFonts w:asciiTheme="minorHAnsi" w:hAnsiTheme="minorHAnsi" w:cstheme="minorBidi"/>
          <w:i/>
          <w:iCs/>
          <w:sz w:val="22"/>
          <w:szCs w:val="22"/>
          <w:lang w:val="hr-HR"/>
        </w:rPr>
        <w:t>Preporuke za izvještavanje Sporazuma gradonačelnika za klimu</w:t>
      </w:r>
      <w:r w:rsidR="000509A0">
        <w:rPr>
          <w:rFonts w:asciiTheme="minorHAnsi" w:hAnsiTheme="minorHAnsi" w:cstheme="minorBidi"/>
          <w:i/>
          <w:iCs/>
          <w:sz w:val="22"/>
          <w:szCs w:val="22"/>
          <w:lang w:val="hr-HR"/>
        </w:rPr>
        <w:t xml:space="preserve"> i </w:t>
      </w:r>
      <w:r w:rsidRPr="003E50D1">
        <w:rPr>
          <w:rFonts w:asciiTheme="minorHAnsi" w:hAnsiTheme="minorHAnsi" w:cstheme="minorBidi"/>
          <w:i/>
          <w:iCs/>
          <w:sz w:val="22"/>
          <w:szCs w:val="22"/>
          <w:lang w:val="hr-HR"/>
        </w:rPr>
        <w:t>energiju</w:t>
      </w:r>
      <w:r w:rsidR="008A5AB5">
        <w:rPr>
          <w:rFonts w:asciiTheme="minorHAnsi" w:hAnsiTheme="minorHAnsi" w:cstheme="minorBidi"/>
          <w:i/>
          <w:iCs/>
          <w:sz w:val="22"/>
          <w:szCs w:val="22"/>
          <w:lang w:val="hr-HR"/>
        </w:rPr>
        <w:t>;</w:t>
      </w:r>
    </w:p>
    <w:p w14:paraId="44D9B843" w14:textId="02F8583D" w:rsidR="008B5153" w:rsidRPr="005808FC" w:rsidRDefault="00DA01A7" w:rsidP="005808FC">
      <w:pPr>
        <w:pStyle w:val="Obinitekst1"/>
        <w:numPr>
          <w:ilvl w:val="0"/>
          <w:numId w:val="38"/>
        </w:numPr>
        <w:spacing w:line="276" w:lineRule="auto"/>
        <w:jc w:val="both"/>
        <w:rPr>
          <w:rFonts w:asciiTheme="minorHAnsi" w:hAnsiTheme="minorHAnsi" w:cstheme="minorBidi"/>
          <w:sz w:val="22"/>
          <w:szCs w:val="22"/>
          <w:lang w:val="hr-HR"/>
        </w:rPr>
      </w:pPr>
      <w:r>
        <w:rPr>
          <w:rFonts w:asciiTheme="minorHAnsi" w:hAnsiTheme="minorHAnsi" w:cstheme="minorBidi"/>
          <w:sz w:val="22"/>
          <w:szCs w:val="22"/>
          <w:lang w:val="hr-HR"/>
        </w:rPr>
        <w:t>A</w:t>
      </w:r>
      <w:r w:rsidRPr="003E50D1">
        <w:rPr>
          <w:rFonts w:asciiTheme="minorHAnsi" w:hAnsiTheme="minorHAnsi" w:cstheme="minorBidi"/>
          <w:sz w:val="22"/>
          <w:szCs w:val="22"/>
          <w:lang w:val="hr-HR"/>
        </w:rPr>
        <w:t xml:space="preserve">late </w:t>
      </w:r>
      <w:r w:rsidR="008B5153" w:rsidRPr="003E50D1">
        <w:rPr>
          <w:rFonts w:asciiTheme="minorHAnsi" w:hAnsiTheme="minorHAnsi" w:cstheme="minorBidi"/>
          <w:sz w:val="22"/>
          <w:szCs w:val="22"/>
          <w:lang w:val="hr-HR"/>
        </w:rPr>
        <w:t xml:space="preserve">dostupne na platformi </w:t>
      </w:r>
      <w:r w:rsidR="008B5153" w:rsidRPr="003E50D1">
        <w:rPr>
          <w:rFonts w:asciiTheme="minorHAnsi" w:hAnsiTheme="minorHAnsi" w:cstheme="minorBidi"/>
          <w:i/>
          <w:iCs/>
          <w:sz w:val="22"/>
          <w:szCs w:val="22"/>
          <w:lang w:val="hr-HR"/>
        </w:rPr>
        <w:t>Urban-Adaptation Support Tool (Urban-AST)</w:t>
      </w:r>
    </w:p>
    <w:p w14:paraId="6F7EC637" w14:textId="77777777" w:rsidR="008B5153" w:rsidRPr="00922031" w:rsidRDefault="008B5153" w:rsidP="00975CD4">
      <w:pPr>
        <w:spacing w:after="0"/>
        <w:rPr>
          <w:rFonts w:cstheme="minorHAnsi"/>
        </w:rPr>
      </w:pPr>
    </w:p>
    <w:p w14:paraId="6D87310D" w14:textId="5BCFC14F" w:rsidR="008B5153" w:rsidRPr="00922031" w:rsidRDefault="008B5153">
      <w:r w:rsidRPr="003E50D1">
        <w:t xml:space="preserve">Prva inačica Akcijskog plana održivog razvoja Grada Zagreba izrađena je 2010. godine, pri čemu je odabrana </w:t>
      </w:r>
      <w:r w:rsidR="007944F2" w:rsidRPr="003E50D1">
        <w:t>referentna</w:t>
      </w:r>
      <w:r w:rsidRPr="00291DF5">
        <w:t xml:space="preserve"> godina za proračun ušteda bila 2008. godina. Godine 2015. izrađena su izvješća o provedbi plana u obliku dokumenta Revizija Akcijskog plan</w:t>
      </w:r>
      <w:r w:rsidRPr="005808FC">
        <w:t xml:space="preserve">a energetski održivog razvoja Grada Zagreba. </w:t>
      </w:r>
    </w:p>
    <w:p w14:paraId="7671B056" w14:textId="3084A546"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SECAP treba sadržavati:</w:t>
      </w:r>
    </w:p>
    <w:p w14:paraId="0286D3C0" w14:textId="77777777"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Referentni inventar emisija za praćenje aktivnosti ublažavanja učinaka klimatskih promjena</w:t>
      </w:r>
    </w:p>
    <w:p w14:paraId="09760DA6" w14:textId="77777777"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Mjere ublažavanja učinaka klimatskih promjena (eng. </w:t>
      </w:r>
      <w:r w:rsidRPr="003E50D1">
        <w:rPr>
          <w:rFonts w:asciiTheme="minorHAnsi" w:hAnsiTheme="minorHAnsi" w:cstheme="minorBidi"/>
          <w:i/>
          <w:iCs/>
          <w:sz w:val="22"/>
          <w:szCs w:val="22"/>
          <w:lang w:val="hr-HR"/>
        </w:rPr>
        <w:t>Mitigation</w:t>
      </w:r>
      <w:r w:rsidRPr="003E50D1">
        <w:rPr>
          <w:rFonts w:asciiTheme="minorHAnsi" w:hAnsiTheme="minorHAnsi" w:cstheme="minorBidi"/>
          <w:sz w:val="22"/>
          <w:szCs w:val="22"/>
          <w:lang w:val="hr-HR"/>
        </w:rPr>
        <w:t>)</w:t>
      </w:r>
    </w:p>
    <w:p w14:paraId="10F642D2" w14:textId="0C5DC261" w:rsidR="008B5153"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Analizu klimatskih rizika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procjene ranjivosti pojedinih sektora na utjecaje klimatskih promjena</w:t>
      </w:r>
    </w:p>
    <w:p w14:paraId="4DEF147E" w14:textId="1D36940C" w:rsidR="00CC1D6C" w:rsidRPr="005808FC" w:rsidRDefault="008B5153" w:rsidP="005808FC">
      <w:pPr>
        <w:pStyle w:val="Obinitekst1"/>
        <w:numPr>
          <w:ilvl w:val="0"/>
          <w:numId w:val="30"/>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Mjere prilagodbe klimatskim promjenama (eng. </w:t>
      </w:r>
      <w:r w:rsidRPr="003E50D1">
        <w:rPr>
          <w:rFonts w:asciiTheme="minorHAnsi" w:hAnsiTheme="minorHAnsi" w:cstheme="minorBidi"/>
          <w:i/>
          <w:iCs/>
          <w:sz w:val="22"/>
          <w:szCs w:val="22"/>
          <w:lang w:val="hr-HR"/>
        </w:rPr>
        <w:t>Adaptation</w:t>
      </w:r>
      <w:r w:rsidRPr="003E50D1">
        <w:rPr>
          <w:rFonts w:asciiTheme="minorHAnsi" w:hAnsiTheme="minorHAnsi" w:cstheme="minorBidi"/>
          <w:sz w:val="22"/>
          <w:szCs w:val="22"/>
          <w:lang w:val="hr-HR"/>
        </w:rPr>
        <w:t>)</w:t>
      </w:r>
      <w:bookmarkStart w:id="31" w:name="_Toc251920721"/>
    </w:p>
    <w:p w14:paraId="39D3DBAF" w14:textId="49DD6817" w:rsidR="008B5153" w:rsidRPr="00922031" w:rsidRDefault="008B5153" w:rsidP="00F5641B">
      <w:pPr>
        <w:pStyle w:val="Heading2"/>
      </w:pPr>
      <w:bookmarkStart w:id="32" w:name="_Toc4156066"/>
      <w:r w:rsidRPr="00922031">
        <w:t>Pripremne radnje za pokretanje procesa</w:t>
      </w:r>
      <w:bookmarkEnd w:id="31"/>
      <w:r w:rsidRPr="00922031">
        <w:t xml:space="preserve"> izrade SECAP-a</w:t>
      </w:r>
      <w:bookmarkEnd w:id="32"/>
    </w:p>
    <w:p w14:paraId="0F9F936E" w14:textId="0DFBDE8F"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Osnovna aktivnost pripremne faze Procesa izrade Akcijskog plana je postizanje političke volje za njegovo pokretanje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realizaciju. Za uspješnu realizaciju Procesa od iznimne je važnosti osigurati podršku Gradonačelnika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Skupštine Grada Zagreba. Pristupanje Sporazumu gradonačelnika pokazuje pozitivno stajalište Gradske uprave za održiv energetski razvitak Grada Zagreba, ali je samo prvi korak u pravom smjeru. Važno je da ga slijede drugi koraci, od kojih su među glavnima osiguranje ljudskih pote</w:t>
      </w:r>
      <w:r w:rsidRPr="00291DF5">
        <w:rPr>
          <w:rFonts w:asciiTheme="minorHAnsi" w:hAnsiTheme="minorHAnsi" w:cstheme="minorBidi"/>
          <w:sz w:val="22"/>
          <w:szCs w:val="22"/>
          <w:lang w:val="hr-HR"/>
        </w:rPr>
        <w:t>ncijala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potrebnih financijskih sredstava. </w:t>
      </w:r>
    </w:p>
    <w:p w14:paraId="77E7A80B"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D2699F9" w14:textId="77777777"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Zadaci Gradske uprave u realizaciji Akcijskog plana su sljedeći:</w:t>
      </w:r>
    </w:p>
    <w:p w14:paraId="1CED8F32" w14:textId="19B3F3E1"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Uspješno integrirati ciljeve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mjere Akcijskog plana u razvojnu strategiju Grada Zagreba, Strategiju razvoja Urbane aglomeracije Zagreb</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ostale relevantne strateške dokumente;</w:t>
      </w:r>
    </w:p>
    <w:p w14:paraId="609B2B4F" w14:textId="279FCEC3"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Osigurati stručni kadar za provedbu identificiranih mjera energetske učinkovitosti</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obnovljivih izvora energije, te mjera prilagodbi učincima klimatskih promjena;</w:t>
      </w:r>
    </w:p>
    <w:p w14:paraId="3BD94DBE" w14:textId="77777777"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Osigurati financijska sredstva za provedbu mjera za koje je Grad identificiran kao nositelj;</w:t>
      </w:r>
    </w:p>
    <w:p w14:paraId="1A8835E9" w14:textId="3F6F0BEE"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lastRenderedPageBreak/>
        <w:t xml:space="preserve">Pravovremeno </w:t>
      </w:r>
      <w:r w:rsidR="001770D7" w:rsidRPr="003E50D1">
        <w:rPr>
          <w:rFonts w:asciiTheme="minorHAnsi" w:hAnsiTheme="minorHAnsi" w:cstheme="minorBidi"/>
          <w:sz w:val="22"/>
          <w:szCs w:val="22"/>
          <w:lang w:val="hr-HR"/>
        </w:rPr>
        <w:t>komunicirati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zajednički usuglasiti provođenje mjera koje nisu u nadležnosti gradske uprave s predviđenim nositeljima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ostalim uključenim dionicima;</w:t>
      </w:r>
    </w:p>
    <w:p w14:paraId="7688F4D9" w14:textId="77777777"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Podupirati kontinuirano provođenje mjera kroz čitavo razdoblje provedbe Akcijskog plana do 2030. godine;</w:t>
      </w:r>
    </w:p>
    <w:p w14:paraId="7F26146D" w14:textId="22297631"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Osigurati praćenje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izvještavanje o dinamici provedbe plana do 2030. godine;</w:t>
      </w:r>
    </w:p>
    <w:p w14:paraId="72EA9381" w14:textId="77777777"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Kontinuirano informirati građane o provedbi plana;</w:t>
      </w:r>
    </w:p>
    <w:p w14:paraId="2C29AA16" w14:textId="2BA7F4BE"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Osigurati sudjelovanje dionika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građana u čitavom procesu od izrade do praćenja provedbe Akcijskog plana;</w:t>
      </w:r>
    </w:p>
    <w:p w14:paraId="556EC8F6" w14:textId="6564E6AD" w:rsidR="008B5153" w:rsidRPr="005808FC" w:rsidRDefault="008B5153" w:rsidP="005808FC">
      <w:pPr>
        <w:pStyle w:val="Obinitekst1"/>
        <w:numPr>
          <w:ilvl w:val="0"/>
          <w:numId w:val="34"/>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Uključiti se u mrežu gradova potpisnika Sporazuma gradonačelnika u cilju kontinuirane razmjene pozitivnih iskustava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zajedničke sinergije u izgradnji energetski održivih urbanih područja Europe.</w:t>
      </w:r>
    </w:p>
    <w:p w14:paraId="16205D56" w14:textId="77777777" w:rsidR="005E51BD" w:rsidRPr="00922031" w:rsidRDefault="005E51BD" w:rsidP="00975CD4">
      <w:pPr>
        <w:pStyle w:val="Obinitekst1"/>
        <w:spacing w:line="276" w:lineRule="auto"/>
        <w:jc w:val="both"/>
        <w:rPr>
          <w:rFonts w:asciiTheme="minorHAnsi" w:hAnsiTheme="minorHAnsi" w:cstheme="minorHAnsi"/>
          <w:sz w:val="22"/>
          <w:szCs w:val="22"/>
          <w:lang w:val="hr-HR"/>
        </w:rPr>
      </w:pPr>
    </w:p>
    <w:p w14:paraId="72A96928" w14:textId="1B4392F6" w:rsidR="005E51BD" w:rsidRPr="00922031" w:rsidRDefault="005E51BD">
      <w:r w:rsidRPr="003E50D1">
        <w:t>Ispred Gradske uprave je za koordinaciju poslova izrade SECAPa, implementacije (primjene)</w:t>
      </w:r>
      <w:r w:rsidR="000509A0">
        <w:t xml:space="preserve"> i </w:t>
      </w:r>
      <w:r w:rsidRPr="003E50D1">
        <w:t>praćenja te izvješćivanja odgovoran Gradski ured za gospodarstvo, energetiku</w:t>
      </w:r>
      <w:r w:rsidR="000509A0">
        <w:t xml:space="preserve"> i </w:t>
      </w:r>
      <w:r w:rsidRPr="003E50D1">
        <w:t xml:space="preserve">zaštitu okoliša. </w:t>
      </w:r>
      <w:r w:rsidRPr="00291DF5">
        <w:rPr>
          <w:lang w:eastAsia="hr-HR"/>
        </w:rPr>
        <w:t>Gradski ured za gospodarstv</w:t>
      </w:r>
      <w:r w:rsidRPr="005808FC">
        <w:rPr>
          <w:lang w:eastAsia="hr-HR"/>
        </w:rPr>
        <w:t>o, energetiku</w:t>
      </w:r>
      <w:r w:rsidR="000509A0">
        <w:rPr>
          <w:lang w:eastAsia="hr-HR"/>
        </w:rPr>
        <w:t xml:space="preserve"> i </w:t>
      </w:r>
      <w:r w:rsidRPr="00291DF5">
        <w:rPr>
          <w:lang w:eastAsia="hr-HR"/>
        </w:rPr>
        <w:t xml:space="preserve">zaštitu okoliša od 1. siječnja 2018. </w:t>
      </w:r>
      <w:r w:rsidR="00F158D4" w:rsidRPr="003E50D1">
        <w:rPr>
          <w:lang w:eastAsia="hr-HR"/>
        </w:rPr>
        <w:t xml:space="preserve">preuzeo je </w:t>
      </w:r>
      <w:r w:rsidRPr="003E50D1">
        <w:rPr>
          <w:lang w:eastAsia="hr-HR"/>
        </w:rPr>
        <w:t>poslove Gradskog ureda za energetiku, zaštitu okoliša</w:t>
      </w:r>
      <w:r w:rsidR="000509A0">
        <w:rPr>
          <w:lang w:eastAsia="hr-HR"/>
        </w:rPr>
        <w:t xml:space="preserve"> i </w:t>
      </w:r>
      <w:r w:rsidRPr="003E50D1">
        <w:rPr>
          <w:lang w:eastAsia="hr-HR"/>
        </w:rPr>
        <w:t>održivi razvoj</w:t>
      </w:r>
      <w:r w:rsidR="000509A0">
        <w:rPr>
          <w:lang w:eastAsia="hr-HR"/>
        </w:rPr>
        <w:t xml:space="preserve"> i </w:t>
      </w:r>
      <w:r w:rsidRPr="003E50D1">
        <w:rPr>
          <w:lang w:eastAsia="hr-HR"/>
        </w:rPr>
        <w:t>samim time glavnu ulogu u provođenju energetske</w:t>
      </w:r>
      <w:r w:rsidR="000509A0">
        <w:rPr>
          <w:lang w:eastAsia="hr-HR"/>
        </w:rPr>
        <w:t xml:space="preserve"> i </w:t>
      </w:r>
      <w:r w:rsidRPr="003E50D1">
        <w:rPr>
          <w:lang w:eastAsia="hr-HR"/>
        </w:rPr>
        <w:t xml:space="preserve">klimatske politike Grada Zagreba. Na koordinacijsku ulogu </w:t>
      </w:r>
      <w:r w:rsidRPr="00291DF5">
        <w:t>Gradskog ureda za gospodarstvo, energetiku</w:t>
      </w:r>
      <w:r w:rsidR="000509A0">
        <w:t xml:space="preserve"> i </w:t>
      </w:r>
      <w:r w:rsidRPr="00291DF5">
        <w:t>zaštitu okoliša se nadovezuju zadaci u realizaciji plana.</w:t>
      </w:r>
      <w:r w:rsidR="00B25B9E" w:rsidRPr="005808FC">
        <w:t xml:space="preserve"> </w:t>
      </w:r>
      <w:r w:rsidRPr="005808FC">
        <w:rPr>
          <w:lang w:eastAsia="hr-HR"/>
        </w:rPr>
        <w:t>Za svaku od pojedinih mjera je predviđen jedan nositelji aktivnosti te partneri unutar gradske uprave ili u nadležnosti Grada Zagreba. Uz svaku su aktivnost povezani</w:t>
      </w:r>
      <w:r w:rsidR="000509A0">
        <w:rPr>
          <w:lang w:eastAsia="hr-HR"/>
        </w:rPr>
        <w:t xml:space="preserve"> i </w:t>
      </w:r>
      <w:r w:rsidRPr="00291DF5">
        <w:rPr>
          <w:lang w:eastAsia="hr-HR"/>
        </w:rPr>
        <w:t xml:space="preserve">dionici na području Grada Zagreba koji svojom djelatnosti ulaze u opseg pojedine mjere. </w:t>
      </w:r>
    </w:p>
    <w:p w14:paraId="68341738" w14:textId="0A69A63C" w:rsidR="008B5153" w:rsidRPr="005808FC" w:rsidRDefault="005E51BD"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U pripremnoj fazi Akcijskog plana</w:t>
      </w:r>
      <w:r w:rsidR="003404B4" w:rsidRPr="003E50D1">
        <w:rPr>
          <w:rFonts w:asciiTheme="minorHAnsi" w:hAnsiTheme="minorHAnsi" w:cstheme="minorBidi"/>
          <w:sz w:val="22"/>
          <w:szCs w:val="22"/>
          <w:lang w:val="hr-HR"/>
        </w:rPr>
        <w:t xml:space="preserve"> je predviđeno s</w:t>
      </w:r>
      <w:r w:rsidR="008B5153" w:rsidRPr="00291DF5">
        <w:rPr>
          <w:rFonts w:asciiTheme="minorHAnsi" w:hAnsiTheme="minorHAnsi" w:cstheme="minorBidi"/>
          <w:sz w:val="22"/>
          <w:szCs w:val="22"/>
          <w:lang w:val="hr-HR"/>
        </w:rPr>
        <w:t xml:space="preserve">udjelovanje što većeg broja </w:t>
      </w:r>
      <w:r w:rsidR="008B5153" w:rsidRPr="005808FC">
        <w:rPr>
          <w:rFonts w:asciiTheme="minorHAnsi" w:hAnsiTheme="minorHAnsi" w:cstheme="minorBidi"/>
          <w:sz w:val="22"/>
          <w:szCs w:val="22"/>
          <w:lang w:val="hr-HR"/>
        </w:rPr>
        <w:t>dionika</w:t>
      </w:r>
      <w:r w:rsidR="003404B4" w:rsidRPr="005808FC">
        <w:rPr>
          <w:rFonts w:asciiTheme="minorHAnsi" w:hAnsiTheme="minorHAnsi" w:cstheme="minorBidi"/>
          <w:sz w:val="22"/>
          <w:szCs w:val="22"/>
          <w:lang w:val="hr-HR"/>
        </w:rPr>
        <w:t>, kao</w:t>
      </w:r>
      <w:r w:rsidR="008B5153" w:rsidRPr="005808FC">
        <w:rPr>
          <w:rFonts w:asciiTheme="minorHAnsi" w:hAnsiTheme="minorHAnsi" w:cstheme="minorBidi"/>
          <w:sz w:val="22"/>
          <w:szCs w:val="22"/>
          <w:lang w:val="hr-HR"/>
        </w:rPr>
        <w:t xml:space="preserve"> početni korak u procesu promjene energetskih stavova</w:t>
      </w:r>
      <w:r w:rsidR="000509A0">
        <w:rPr>
          <w:rFonts w:asciiTheme="minorHAnsi" w:hAnsiTheme="minorHAnsi" w:cstheme="minorBidi"/>
          <w:sz w:val="22"/>
          <w:szCs w:val="22"/>
          <w:lang w:val="hr-HR"/>
        </w:rPr>
        <w:t xml:space="preserve"> i </w:t>
      </w:r>
      <w:r w:rsidR="008B5153" w:rsidRPr="00291DF5">
        <w:rPr>
          <w:rFonts w:asciiTheme="minorHAnsi" w:hAnsiTheme="minorHAnsi" w:cstheme="minorBidi"/>
          <w:sz w:val="22"/>
          <w:szCs w:val="22"/>
          <w:lang w:val="hr-HR"/>
        </w:rPr>
        <w:t xml:space="preserve">ponašanja građana, te promjene svijesti spram učinaka klimatskih promjena. </w:t>
      </w:r>
    </w:p>
    <w:p w14:paraId="316BAA91" w14:textId="77777777" w:rsidR="003404B4" w:rsidRPr="00922031" w:rsidRDefault="003404B4" w:rsidP="00975CD4">
      <w:pPr>
        <w:pStyle w:val="Obinitekst1"/>
        <w:spacing w:line="276" w:lineRule="auto"/>
        <w:jc w:val="both"/>
        <w:rPr>
          <w:rFonts w:asciiTheme="minorHAnsi" w:hAnsiTheme="minorHAnsi" w:cstheme="minorHAnsi"/>
          <w:sz w:val="22"/>
          <w:szCs w:val="22"/>
          <w:lang w:val="hr-HR"/>
        </w:rPr>
      </w:pPr>
    </w:p>
    <w:p w14:paraId="0A7B53BF" w14:textId="6BC53F33"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Dionici u izradi</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 xml:space="preserve">provedbi Akcijskog plana </w:t>
      </w:r>
      <w:r w:rsidR="0058071B">
        <w:rPr>
          <w:rFonts w:asciiTheme="minorHAnsi" w:hAnsiTheme="minorHAnsi" w:cstheme="minorBidi"/>
          <w:sz w:val="22"/>
          <w:szCs w:val="22"/>
          <w:lang w:val="hr-HR"/>
        </w:rPr>
        <w:t>bili su</w:t>
      </w:r>
      <w:r w:rsidRPr="003E50D1">
        <w:rPr>
          <w:rFonts w:asciiTheme="minorHAnsi" w:hAnsiTheme="minorHAnsi" w:cstheme="minorBidi"/>
          <w:sz w:val="22"/>
          <w:szCs w:val="22"/>
          <w:lang w:val="hr-HR"/>
        </w:rPr>
        <w:t xml:space="preserve"> svi oni:</w:t>
      </w:r>
    </w:p>
    <w:p w14:paraId="38487C69" w14:textId="77777777" w:rsidR="008B5153" w:rsidRPr="005808FC" w:rsidRDefault="008B5153" w:rsidP="005808FC">
      <w:pPr>
        <w:pStyle w:val="Obinitekst1"/>
        <w:numPr>
          <w:ilvl w:val="0"/>
          <w:numId w:val="33"/>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čiji su interesi na bilo koji način povezani s Akcijskim planom;</w:t>
      </w:r>
    </w:p>
    <w:p w14:paraId="4FD9A08F" w14:textId="77777777" w:rsidR="008B5153" w:rsidRPr="005808FC" w:rsidRDefault="008B5153" w:rsidP="005808FC">
      <w:pPr>
        <w:pStyle w:val="Obinitekst1"/>
        <w:numPr>
          <w:ilvl w:val="0"/>
          <w:numId w:val="33"/>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čije aktivnosti utječu na Akcijski plan na bilo koji način;</w:t>
      </w:r>
    </w:p>
    <w:p w14:paraId="6AF174AC" w14:textId="408DA0A4" w:rsidR="008B5153" w:rsidRPr="005808FC" w:rsidRDefault="008B5153" w:rsidP="005808FC">
      <w:pPr>
        <w:pStyle w:val="Obinitekst1"/>
        <w:numPr>
          <w:ilvl w:val="0"/>
          <w:numId w:val="33"/>
        </w:numPr>
        <w:spacing w:line="276" w:lineRule="auto"/>
        <w:ind w:left="709" w:hanging="283"/>
        <w:jc w:val="both"/>
        <w:rPr>
          <w:rFonts w:asciiTheme="minorHAnsi" w:hAnsiTheme="minorHAnsi" w:cstheme="minorBidi"/>
          <w:sz w:val="22"/>
          <w:szCs w:val="22"/>
          <w:lang w:val="hr-HR"/>
        </w:rPr>
      </w:pPr>
      <w:r w:rsidRPr="003E50D1">
        <w:rPr>
          <w:rFonts w:asciiTheme="minorHAnsi" w:hAnsiTheme="minorHAnsi" w:cstheme="minorBidi"/>
          <w:sz w:val="22"/>
          <w:szCs w:val="22"/>
          <w:lang w:val="hr-HR"/>
        </w:rPr>
        <w:t>čije su vlasništvo, pristup informacijama, izvori, stručnost</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dr. potrebni za uspješnu izradu</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provedbu Akcijskog plana.</w:t>
      </w:r>
    </w:p>
    <w:p w14:paraId="4C15EBCF"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00451D3" w14:textId="6AFA67D7" w:rsidR="008B5153"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Prvi korak </w:t>
      </w:r>
      <w:r w:rsidR="006E5D2E">
        <w:rPr>
          <w:rFonts w:asciiTheme="minorHAnsi" w:hAnsiTheme="minorHAnsi" w:cstheme="minorBidi"/>
          <w:sz w:val="22"/>
          <w:szCs w:val="22"/>
          <w:lang w:val="hr-HR"/>
        </w:rPr>
        <w:t xml:space="preserve">bila </w:t>
      </w:r>
      <w:r w:rsidRPr="003E50D1">
        <w:rPr>
          <w:rFonts w:asciiTheme="minorHAnsi" w:hAnsiTheme="minorHAnsi" w:cstheme="minorBidi"/>
          <w:sz w:val="22"/>
          <w:szCs w:val="22"/>
          <w:lang w:val="hr-HR"/>
        </w:rPr>
        <w:t>je identifikacija dionika, a sljedeći specificiranje njihovih konkretnih uloga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zadataka u Procesu izrade, provedbe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praćenja Akcijskog plana. Ključni dionici su identificirani</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njiho</w:t>
      </w:r>
      <w:r w:rsidRPr="00291DF5">
        <w:rPr>
          <w:rFonts w:asciiTheme="minorHAnsi" w:hAnsiTheme="minorHAnsi" w:cstheme="minorBidi"/>
          <w:sz w:val="22"/>
          <w:szCs w:val="22"/>
          <w:lang w:val="hr-HR"/>
        </w:rPr>
        <w:t xml:space="preserve">v popis je dan u </w:t>
      </w:r>
      <w:r w:rsidRPr="005808FC">
        <w:rPr>
          <w:rFonts w:asciiTheme="minorHAnsi" w:hAnsiTheme="minorHAnsi" w:cstheme="minorBidi"/>
          <w:i/>
          <w:iCs/>
          <w:sz w:val="22"/>
          <w:szCs w:val="22"/>
          <w:lang w:val="hr-HR"/>
        </w:rPr>
        <w:t>Prilogu 2</w:t>
      </w:r>
      <w:r w:rsidR="00343A48" w:rsidRPr="005808FC">
        <w:rPr>
          <w:rFonts w:asciiTheme="minorHAnsi" w:hAnsiTheme="minorHAnsi" w:cstheme="minorBidi"/>
          <w:i/>
          <w:iCs/>
          <w:sz w:val="22"/>
          <w:szCs w:val="22"/>
          <w:lang w:val="hr-HR"/>
        </w:rPr>
        <w:t xml:space="preserve"> </w:t>
      </w:r>
      <w:r w:rsidR="00733D09" w:rsidRPr="005808FC">
        <w:rPr>
          <w:rFonts w:asciiTheme="minorHAnsi" w:hAnsiTheme="minorHAnsi" w:cstheme="minorBidi"/>
          <w:i/>
          <w:iCs/>
          <w:sz w:val="22"/>
          <w:szCs w:val="22"/>
          <w:lang w:val="hr-HR"/>
        </w:rPr>
        <w:t>–</w:t>
      </w:r>
      <w:r w:rsidR="00343A48" w:rsidRPr="005808FC">
        <w:rPr>
          <w:rFonts w:asciiTheme="minorHAnsi" w:hAnsiTheme="minorHAnsi" w:cstheme="minorBidi"/>
          <w:i/>
          <w:iCs/>
          <w:sz w:val="22"/>
          <w:szCs w:val="22"/>
          <w:lang w:val="hr-HR"/>
        </w:rPr>
        <w:t xml:space="preserve"> </w:t>
      </w:r>
      <w:r w:rsidR="00733D09" w:rsidRPr="005808FC">
        <w:rPr>
          <w:rFonts w:asciiTheme="minorHAnsi" w:hAnsiTheme="minorHAnsi" w:cstheme="minorBidi"/>
          <w:i/>
          <w:iCs/>
          <w:sz w:val="22"/>
          <w:szCs w:val="22"/>
          <w:lang w:val="hr-HR"/>
        </w:rPr>
        <w:t>Ključni dionici</w:t>
      </w:r>
      <w:r w:rsidRPr="003E50D1">
        <w:rPr>
          <w:rFonts w:asciiTheme="minorHAnsi" w:hAnsiTheme="minorHAnsi" w:cstheme="minorBidi"/>
          <w:sz w:val="22"/>
          <w:szCs w:val="22"/>
          <w:lang w:val="hr-HR"/>
        </w:rPr>
        <w:t>.</w:t>
      </w:r>
    </w:p>
    <w:p w14:paraId="236E9E5D" w14:textId="7C4EE1BD" w:rsidR="00276E3E" w:rsidRPr="005808FC" w:rsidRDefault="00276E3E" w:rsidP="005808FC">
      <w:pPr>
        <w:pStyle w:val="Obinitekst1"/>
        <w:spacing w:line="276" w:lineRule="auto"/>
        <w:jc w:val="both"/>
        <w:rPr>
          <w:rFonts w:asciiTheme="minorHAnsi" w:hAnsiTheme="minorHAnsi" w:cstheme="minorBidi"/>
          <w:sz w:val="22"/>
          <w:szCs w:val="22"/>
          <w:lang w:val="hr-HR"/>
        </w:rPr>
      </w:pPr>
      <w:r>
        <w:rPr>
          <w:rFonts w:asciiTheme="minorHAnsi" w:hAnsiTheme="minorHAnsi" w:cstheme="minorBidi"/>
          <w:sz w:val="22"/>
          <w:szCs w:val="22"/>
          <w:lang w:val="hr-HR"/>
        </w:rPr>
        <w:t>Uključenje dionika i konzultacijski proces baziran je dobrim dijelom na iskustvima i saznanjima stečenim na provedbi sličnih aktivnosti i projekata poput Pentahelixa</w:t>
      </w:r>
      <w:r w:rsidR="00544C30">
        <w:rPr>
          <w:rFonts w:asciiTheme="minorHAnsi" w:hAnsiTheme="minorHAnsi" w:cstheme="minorBidi"/>
          <w:sz w:val="22"/>
          <w:szCs w:val="22"/>
          <w:lang w:val="hr-HR"/>
        </w:rPr>
        <w:t xml:space="preserve"> (</w:t>
      </w:r>
      <w:hyperlink r:id="rId14" w:history="1">
        <w:r w:rsidR="00544C30" w:rsidRPr="003E4484">
          <w:rPr>
            <w:rStyle w:val="Hyperlink"/>
            <w:rFonts w:asciiTheme="minorHAnsi" w:hAnsiTheme="minorHAnsi" w:cstheme="minorBidi"/>
            <w:sz w:val="22"/>
            <w:szCs w:val="22"/>
            <w:lang w:val="hr-HR"/>
          </w:rPr>
          <w:t>www.pentahelix.eu</w:t>
        </w:r>
      </w:hyperlink>
      <w:r w:rsidR="00544C30">
        <w:rPr>
          <w:rFonts w:asciiTheme="minorHAnsi" w:hAnsiTheme="minorHAnsi" w:cstheme="minorBidi"/>
          <w:sz w:val="22"/>
          <w:szCs w:val="22"/>
          <w:lang w:val="hr-HR"/>
        </w:rPr>
        <w:t xml:space="preserve">) </w:t>
      </w:r>
      <w:r>
        <w:rPr>
          <w:rFonts w:asciiTheme="minorHAnsi" w:hAnsiTheme="minorHAnsi" w:cstheme="minorBidi"/>
          <w:sz w:val="22"/>
          <w:szCs w:val="22"/>
          <w:lang w:val="hr-HR"/>
        </w:rPr>
        <w:t xml:space="preserve"> financiranog </w:t>
      </w:r>
      <w:r w:rsidR="00544C30">
        <w:rPr>
          <w:rFonts w:asciiTheme="minorHAnsi" w:hAnsiTheme="minorHAnsi" w:cstheme="minorBidi"/>
          <w:sz w:val="22"/>
          <w:szCs w:val="22"/>
          <w:lang w:val="hr-HR"/>
        </w:rPr>
        <w:t>iz</w:t>
      </w:r>
      <w:r>
        <w:rPr>
          <w:rFonts w:asciiTheme="minorHAnsi" w:hAnsiTheme="minorHAnsi" w:cstheme="minorBidi"/>
          <w:sz w:val="22"/>
          <w:szCs w:val="22"/>
          <w:lang w:val="hr-HR"/>
        </w:rPr>
        <w:t xml:space="preserve"> programa Obzor 2020. </w:t>
      </w:r>
    </w:p>
    <w:p w14:paraId="40C3B52A"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27AB0530" w14:textId="79370D3D" w:rsidR="00230E36" w:rsidRPr="00922031" w:rsidRDefault="008B5153" w:rsidP="00975CD4">
      <w:pPr>
        <w:rPr>
          <w:rFonts w:cstheme="minorHAnsi"/>
          <w:lang w:eastAsia="hr-HR"/>
        </w:rPr>
      </w:pPr>
      <w:r w:rsidRPr="003E50D1">
        <w:rPr>
          <w:lang w:eastAsia="hr-HR"/>
        </w:rPr>
        <w:t>Ključni dionici uključeni su u proces pripreme</w:t>
      </w:r>
      <w:r w:rsidR="000509A0">
        <w:rPr>
          <w:lang w:eastAsia="hr-HR"/>
        </w:rPr>
        <w:t xml:space="preserve"> i </w:t>
      </w:r>
      <w:r w:rsidRPr="003E50D1">
        <w:rPr>
          <w:lang w:eastAsia="hr-HR"/>
        </w:rPr>
        <w:t xml:space="preserve">izrade Akcijskog plana kroz niz sektorski orijentiranih radionica. Radionice su organizirane na način da predstavnici dionika pružaju komentare </w:t>
      </w:r>
      <w:r w:rsidR="000A1B7A">
        <w:rPr>
          <w:lang w:eastAsia="hr-HR"/>
        </w:rPr>
        <w:t>i stručnu</w:t>
      </w:r>
      <w:r w:rsidR="000509A0">
        <w:rPr>
          <w:lang w:eastAsia="hr-HR"/>
        </w:rPr>
        <w:t xml:space="preserve"> </w:t>
      </w:r>
      <w:r w:rsidRPr="00291DF5">
        <w:rPr>
          <w:lang w:eastAsia="hr-HR"/>
        </w:rPr>
        <w:t xml:space="preserve">potporu prilikom kreiranja mjera za pojedine </w:t>
      </w:r>
      <w:r w:rsidRPr="005808FC">
        <w:rPr>
          <w:lang w:eastAsia="hr-HR"/>
        </w:rPr>
        <w:t>sektore.</w:t>
      </w:r>
      <w:r w:rsidR="00230E36" w:rsidRPr="00922031">
        <w:rPr>
          <w:rFonts w:cstheme="minorHAnsi"/>
          <w:lang w:eastAsia="hr-HR"/>
        </w:rPr>
        <w:br w:type="page"/>
      </w:r>
    </w:p>
    <w:p w14:paraId="66F2DC59" w14:textId="77777777" w:rsidR="008B5153" w:rsidRPr="00922031" w:rsidRDefault="008B5153" w:rsidP="00F5641B">
      <w:pPr>
        <w:pStyle w:val="Heading2"/>
      </w:pPr>
      <w:bookmarkStart w:id="33" w:name="_Toc4156067"/>
      <w:r w:rsidRPr="00922031">
        <w:lastRenderedPageBreak/>
        <w:t>Modeliranje uz pomoć LEAP sustava</w:t>
      </w:r>
      <w:bookmarkEnd w:id="33"/>
    </w:p>
    <w:p w14:paraId="0DFC4157" w14:textId="23689869" w:rsidR="008B5153" w:rsidRPr="00922031" w:rsidRDefault="008B5153">
      <w:bookmarkStart w:id="34" w:name="_Toc251920729"/>
      <w:r w:rsidRPr="003E50D1">
        <w:t>Za potrebe izrade scenarija za uštede energije</w:t>
      </w:r>
      <w:r w:rsidR="000509A0">
        <w:t xml:space="preserve"> i </w:t>
      </w:r>
      <w:r w:rsidRPr="003E50D1">
        <w:t>smanjenja emisija CO</w:t>
      </w:r>
      <w:r w:rsidRPr="003E50D1">
        <w:rPr>
          <w:vertAlign w:val="subscript"/>
        </w:rPr>
        <w:t>2</w:t>
      </w:r>
      <w:r w:rsidRPr="00291DF5">
        <w:t xml:space="preserve"> do 2030.godine na temelju predloženih mjera SECAP-a, korišten je program LEAP – </w:t>
      </w:r>
      <w:r w:rsidRPr="00544C30">
        <w:rPr>
          <w:i/>
        </w:rPr>
        <w:t>Long-range Energy Alternatives Planning</w:t>
      </w:r>
      <w:r w:rsidRPr="00291DF5">
        <w:t xml:space="preserve">. </w:t>
      </w:r>
    </w:p>
    <w:p w14:paraId="7AD45130" w14:textId="2F5CEBF5" w:rsidR="008B5153" w:rsidRPr="00922031" w:rsidRDefault="008B5153">
      <w:r w:rsidRPr="003E50D1">
        <w:t>LEAP</w:t>
      </w:r>
      <w:r w:rsidRPr="003E50D1">
        <w:rPr>
          <w:rStyle w:val="FootnoteReference"/>
          <w:rFonts w:cstheme="minorBidi"/>
        </w:rPr>
        <w:footnoteReference w:id="2"/>
      </w:r>
      <w:r w:rsidRPr="003E50D1">
        <w:t>, sustav dugoročnog planiranja energetskih alternativa, široko je korišten softverski alat za analizu energetske politike</w:t>
      </w:r>
      <w:r w:rsidR="000509A0">
        <w:t xml:space="preserve"> i </w:t>
      </w:r>
      <w:r w:rsidRPr="003E50D1">
        <w:t>procjenu ublažavanja klimatskih promjena razvijen na Institutu za zaštitu okoliša u Stockholmu.</w:t>
      </w:r>
      <w:r w:rsidR="001C2298" w:rsidRPr="00291DF5">
        <w:t xml:space="preserve"> </w:t>
      </w:r>
      <w:r w:rsidRPr="005808FC">
        <w:t>LEAP je usvojen od strane tisuća organizacija u više od 190 zemalja širom svijeta. Njegovi korisnici uključuju vladine agencije, akademike, nevladine organizacije, konzultantske tvrtke</w:t>
      </w:r>
      <w:r w:rsidR="000509A0">
        <w:t xml:space="preserve"> i </w:t>
      </w:r>
      <w:r w:rsidRPr="00291DF5">
        <w:t>opskrbljivači energijom. Koristi se u mnogim razmjerima od gradova</w:t>
      </w:r>
      <w:r w:rsidR="000509A0">
        <w:t xml:space="preserve"> i </w:t>
      </w:r>
      <w:r w:rsidRPr="00291DF5">
        <w:t>država do nacionalnih, regionalnih</w:t>
      </w:r>
      <w:r w:rsidR="000509A0">
        <w:t xml:space="preserve"> i </w:t>
      </w:r>
      <w:r w:rsidRPr="00291DF5">
        <w:t>globalnih aplikacija.</w:t>
      </w:r>
    </w:p>
    <w:p w14:paraId="3E3B8D08" w14:textId="726A2C86" w:rsidR="008B5153" w:rsidRPr="00922031" w:rsidRDefault="001C2298">
      <w:r w:rsidRPr="003E50D1">
        <w:t>Ovaj sustav predstavlja</w:t>
      </w:r>
      <w:r w:rsidR="008B5153" w:rsidRPr="003E50D1">
        <w:t xml:space="preserve"> integrirani alat za </w:t>
      </w:r>
      <w:r w:rsidR="008B5153" w:rsidRPr="00291DF5">
        <w:rPr>
          <w:b/>
          <w:bCs/>
        </w:rPr>
        <w:t>modeliranje na temelju scenarija</w:t>
      </w:r>
      <w:r w:rsidR="008B5153" w:rsidRPr="005808FC">
        <w:t xml:space="preserve"> koji se može koristiti za praćenje potrošnje energije, proizvodnje</w:t>
      </w:r>
      <w:r w:rsidR="000509A0">
        <w:t xml:space="preserve"> i </w:t>
      </w:r>
      <w:r w:rsidR="008B5153" w:rsidRPr="00291DF5">
        <w:t>potrošnje resursa u svim sektorima gospodarstva</w:t>
      </w:r>
      <w:r w:rsidRPr="005808FC">
        <w:t xml:space="preserve"> te </w:t>
      </w:r>
      <w:r w:rsidR="008B5153" w:rsidRPr="005808FC">
        <w:t xml:space="preserve">za prognozu izvora emisija stakleničkih plinova. </w:t>
      </w:r>
    </w:p>
    <w:p w14:paraId="0C7BFB56" w14:textId="6E3AF874" w:rsidR="008B5153" w:rsidRPr="00922031" w:rsidRDefault="008B5153">
      <w:r w:rsidRPr="003E50D1">
        <w:t>LEAP podržava širok spektar različitih metodologija modeliranja: na strani potražnje oni se kreću od tehnoloških alata ''odozdo prema gore'', krajnje upotreb</w:t>
      </w:r>
      <w:r w:rsidRPr="00291DF5">
        <w:t>e do ''</w:t>
      </w:r>
      <w:r w:rsidRPr="00544C30">
        <w:rPr>
          <w:i/>
        </w:rPr>
        <w:t>top-down</w:t>
      </w:r>
      <w:r w:rsidRPr="00291DF5">
        <w:t>'' m</w:t>
      </w:r>
      <w:r w:rsidRPr="005808FC">
        <w:t>akroekonomskih modela. Najnovija verzija LEAP-a također podržava modeliranje optimizacije: omogućava izgradnju modela s najmanjim troškovima, potencijalno pod različitim ograničenjima</w:t>
      </w:r>
      <w:r w:rsidR="00F35758">
        <w:t xml:space="preserve"> energetskog sustava</w:t>
      </w:r>
      <w:r w:rsidRPr="00291DF5">
        <w:t xml:space="preserve">, kao što </w:t>
      </w:r>
      <w:r w:rsidRPr="005808FC">
        <w:t>su granice CO</w:t>
      </w:r>
      <w:r w:rsidRPr="005808FC">
        <w:rPr>
          <w:vertAlign w:val="subscript"/>
        </w:rPr>
        <w:t>2</w:t>
      </w:r>
      <w:r w:rsidRPr="005808FC">
        <w:t xml:space="preserve"> ili lokalno onečišćenje zraka. </w:t>
      </w:r>
    </w:p>
    <w:p w14:paraId="0B65D528" w14:textId="7DC0824D" w:rsidR="008B5153" w:rsidRPr="00922031" w:rsidRDefault="008B5153">
      <w:r w:rsidRPr="003E50D1">
        <w:t>LEAP je namijenjen srednjoročnom</w:t>
      </w:r>
      <w:r w:rsidR="000509A0">
        <w:t xml:space="preserve"> i </w:t>
      </w:r>
      <w:r w:rsidRPr="003E50D1">
        <w:t>dugoročnom alatu za modeliranje. Većina njegovih izračuna događa se na godišnjem vremenskom koraku, a vremenski se horizont može produžiti neograničen broj godina. Studije obi</w:t>
      </w:r>
      <w:r w:rsidRPr="00291DF5">
        <w:t>čno uključuju</w:t>
      </w:r>
      <w:r w:rsidR="000509A0">
        <w:t xml:space="preserve"> i </w:t>
      </w:r>
      <w:r w:rsidRPr="00291DF5">
        <w:t>povijesno razdoblje poznato kao referentna godina u kojima se model provodi radi testiranja njegove sposobnosti repliciranja poznatih statističkih podataka, kao</w:t>
      </w:r>
      <w:r w:rsidR="000509A0">
        <w:t xml:space="preserve"> i </w:t>
      </w:r>
      <w:r w:rsidRPr="00291DF5">
        <w:t xml:space="preserve">višestrukih scenarija budućnosti. </w:t>
      </w:r>
      <w:r w:rsidR="00E52F96">
        <w:t>V</w:t>
      </w:r>
      <w:r w:rsidRPr="005808FC">
        <w:t>ećina studija koristi razdoblje predviđanja između 20</w:t>
      </w:r>
      <w:r w:rsidR="000509A0">
        <w:t xml:space="preserve"> i </w:t>
      </w:r>
      <w:r w:rsidRPr="00291DF5">
        <w:t xml:space="preserve">50 godina. </w:t>
      </w:r>
    </w:p>
    <w:p w14:paraId="2BE022C9" w14:textId="6E3C9842" w:rsidR="00822DA8" w:rsidRPr="00922031" w:rsidRDefault="00822DA8" w:rsidP="00351144">
      <w:pPr>
        <w:pStyle w:val="Heading3"/>
        <w:ind w:left="567" w:hanging="567"/>
      </w:pPr>
      <w:bookmarkStart w:id="35" w:name="_Toc4156068"/>
      <w:r w:rsidRPr="00922031">
        <w:t>Modeliranje u LEAP sustavu za potrebe izrade SECAP-a Grada Zagreba</w:t>
      </w:r>
      <w:bookmarkEnd w:id="35"/>
    </w:p>
    <w:p w14:paraId="4D55D073" w14:textId="08801C44" w:rsidR="00B52D22" w:rsidRPr="00922031" w:rsidRDefault="00B52D22">
      <w:r w:rsidRPr="003E50D1">
        <w:t>Kako bi se mogli usporediti različiti scenariji koji uključuju aktivnosti predviđene Akcijskim planom, potrebno je izraditi scenarij koji pruža pregled ut</w:t>
      </w:r>
      <w:r w:rsidRPr="00291DF5">
        <w:t xml:space="preserve">jecaja na klimatske prilike bez primjene aktivnosti Akcijskog plana. Taj scenarij naziva se </w:t>
      </w:r>
      <w:r w:rsidR="008E14C6" w:rsidRPr="00291DF5">
        <w:t>''</w:t>
      </w:r>
      <w:r w:rsidR="008E14C6" w:rsidRPr="00544C30">
        <w:rPr>
          <w:i/>
        </w:rPr>
        <w:t xml:space="preserve">Business </w:t>
      </w:r>
      <w:r w:rsidRPr="00544C30">
        <w:rPr>
          <w:i/>
        </w:rPr>
        <w:t xml:space="preserve">as </w:t>
      </w:r>
      <w:r w:rsidR="008E14C6" w:rsidRPr="00544C30">
        <w:rPr>
          <w:i/>
        </w:rPr>
        <w:t>Usual</w:t>
      </w:r>
      <w:r w:rsidR="008E14C6" w:rsidRPr="00291DF5">
        <w:t xml:space="preserve">'' </w:t>
      </w:r>
      <w:r w:rsidRPr="00291DF5">
        <w:t xml:space="preserve">(BAU) scenarij. Usporedbom scenarija koji predviđa primjenu mjera Akcijskog plana s BAU scenarijem dobiva se najjasniji </w:t>
      </w:r>
      <w:r w:rsidRPr="005808FC">
        <w:t>prikaz značaja Akcijskog plana energetski održivog razvitka</w:t>
      </w:r>
      <w:r w:rsidR="000509A0">
        <w:t xml:space="preserve"> i </w:t>
      </w:r>
      <w:r w:rsidRPr="00291DF5">
        <w:t xml:space="preserve">prilagodbe klimatskim promjenama. </w:t>
      </w:r>
    </w:p>
    <w:p w14:paraId="3BDC936E" w14:textId="35C90B16" w:rsidR="00417E90" w:rsidRPr="00922031" w:rsidRDefault="00417E90">
      <w:r w:rsidRPr="003E50D1">
        <w:t xml:space="preserve">Za potrebe izrade SECAP-a Grada Zagreba, u programu LEAP je izrađeni je scenarij potrošnje u slučaju </w:t>
      </w:r>
      <w:r w:rsidR="008E14C6">
        <w:t xml:space="preserve">BAU </w:t>
      </w:r>
      <w:r w:rsidRPr="003E50D1">
        <w:t xml:space="preserve">(odnosno bez primjene mjera uštede energije) te višestruke </w:t>
      </w:r>
      <w:r w:rsidRPr="00291DF5">
        <w:t>iteracije scenarija sa primjenom predloženih mjera radi prognoze smanjenja emisija stakleničkih plinova.</w:t>
      </w:r>
      <w:r w:rsidR="00975CD4" w:rsidRPr="005808FC">
        <w:t xml:space="preserve"> </w:t>
      </w:r>
      <w:r w:rsidRPr="005808FC">
        <w:t>Korištena je metodologija ''</w:t>
      </w:r>
      <w:r w:rsidRPr="00544C30">
        <w:rPr>
          <w:i/>
        </w:rPr>
        <w:t>bottom up</w:t>
      </w:r>
      <w:r w:rsidRPr="005808FC">
        <w:t>'' (odozdo prema gore) koja podrazumijeva prikupljanje</w:t>
      </w:r>
      <w:r w:rsidR="000509A0">
        <w:t xml:space="preserve"> i </w:t>
      </w:r>
      <w:r w:rsidRPr="00291DF5">
        <w:t>unos podataka od strane pojedinih gradskih ureda</w:t>
      </w:r>
      <w:r w:rsidR="000509A0">
        <w:t xml:space="preserve"> i </w:t>
      </w:r>
      <w:r w:rsidRPr="00291DF5">
        <w:t>poduzeća u nadležnosti Grada Zagreba za potrebe kreiranja inventara energetske potrošnje</w:t>
      </w:r>
      <w:r w:rsidR="000509A0">
        <w:t xml:space="preserve"> i </w:t>
      </w:r>
      <w:r w:rsidRPr="00291DF5">
        <w:t>emisija CO</w:t>
      </w:r>
      <w:r w:rsidRPr="005808FC">
        <w:rPr>
          <w:vertAlign w:val="subscript"/>
        </w:rPr>
        <w:t>2</w:t>
      </w:r>
      <w:r w:rsidRPr="005808FC">
        <w:t xml:space="preserve">. </w:t>
      </w:r>
    </w:p>
    <w:p w14:paraId="2B09F0BA" w14:textId="436254F0" w:rsidR="007E0458" w:rsidRPr="00922031" w:rsidRDefault="007E0458">
      <w:r w:rsidRPr="003E50D1">
        <w:rPr>
          <w:b/>
          <w:bCs/>
        </w:rPr>
        <w:lastRenderedPageBreak/>
        <w:t>Pretpostavke</w:t>
      </w:r>
      <w:r w:rsidRPr="003E50D1">
        <w:t xml:space="preserve"> korištene kod modeliranja scenarija</w:t>
      </w:r>
      <w:r w:rsidR="00271FE8" w:rsidRPr="00291DF5">
        <w:t xml:space="preserve"> uštede energije</w:t>
      </w:r>
      <w:r w:rsidRPr="005808FC">
        <w:t xml:space="preserve"> </w:t>
      </w:r>
      <w:r w:rsidR="00B52D22" w:rsidRPr="005808FC">
        <w:t xml:space="preserve">do 2030. godine </w:t>
      </w:r>
      <w:r w:rsidRPr="005808FC">
        <w:t>uz pomoć LEAP sustava</w:t>
      </w:r>
      <w:r w:rsidR="00417E90" w:rsidRPr="005808FC">
        <w:t xml:space="preserve"> izneseni su unutar </w:t>
      </w:r>
      <w:r w:rsidR="00417E90" w:rsidRPr="005808FC">
        <w:rPr>
          <w:i/>
          <w:iCs/>
        </w:rPr>
        <w:t>Priloga 3</w:t>
      </w:r>
      <w:r w:rsidR="00733D09" w:rsidRPr="005808FC">
        <w:rPr>
          <w:i/>
          <w:iCs/>
        </w:rPr>
        <w:t xml:space="preserve"> - </w:t>
      </w:r>
      <w:r w:rsidR="003143A4" w:rsidRPr="005808FC">
        <w:rPr>
          <w:i/>
          <w:iCs/>
        </w:rPr>
        <w:t>Pretpostavke korištene kod modeliranja scenarija za SECAP grada Zagreba do 2030</w:t>
      </w:r>
      <w:r w:rsidR="00417E90" w:rsidRPr="003E50D1">
        <w:t>.</w:t>
      </w:r>
    </w:p>
    <w:p w14:paraId="04852C22" w14:textId="77777777" w:rsidR="00417E90" w:rsidRPr="00922031" w:rsidRDefault="00417E90" w:rsidP="00975CD4">
      <w:pPr>
        <w:rPr>
          <w:rFonts w:cstheme="minorHAnsi"/>
        </w:rPr>
      </w:pPr>
    </w:p>
    <w:p w14:paraId="44A6D7D2" w14:textId="09897876" w:rsidR="008B5153" w:rsidRPr="00922031" w:rsidRDefault="008B5153" w:rsidP="00F5641B">
      <w:pPr>
        <w:pStyle w:val="Heading2"/>
      </w:pPr>
      <w:bookmarkStart w:id="36" w:name="_Toc251920722"/>
      <w:bookmarkStart w:id="37" w:name="_Toc4156069"/>
      <w:r w:rsidRPr="00922031">
        <w:t>Izrada Akcijskog plana energetski održivog razvitka Grada Zagreba</w:t>
      </w:r>
      <w:bookmarkEnd w:id="36"/>
      <w:bookmarkEnd w:id="37"/>
    </w:p>
    <w:p w14:paraId="4FB261F7" w14:textId="0C356802"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Ključni element Akcijskog plana je postavljanje cilja smanjenja emisija CO</w:t>
      </w:r>
      <w:r w:rsidRPr="003E50D1">
        <w:rPr>
          <w:rFonts w:asciiTheme="minorHAnsi" w:hAnsiTheme="minorHAnsi" w:cstheme="minorBidi"/>
          <w:sz w:val="22"/>
          <w:szCs w:val="22"/>
          <w:vertAlign w:val="subscript"/>
          <w:lang w:val="hr-HR"/>
        </w:rPr>
        <w:t>2</w:t>
      </w:r>
      <w:r w:rsidRPr="00291DF5">
        <w:rPr>
          <w:rFonts w:asciiTheme="minorHAnsi" w:hAnsiTheme="minorHAnsi" w:cstheme="minorBidi"/>
          <w:sz w:val="22"/>
          <w:szCs w:val="22"/>
          <w:lang w:val="hr-HR"/>
        </w:rPr>
        <w:t xml:space="preserve"> na razini grada do 2030. godine. Akcijski plan treba postaviti ciljeve smanjenja emisija CO</w:t>
      </w:r>
      <w:r w:rsidRPr="005808FC">
        <w:rPr>
          <w:rFonts w:asciiTheme="minorHAnsi" w:hAnsiTheme="minorHAnsi" w:cstheme="minorBidi"/>
          <w:sz w:val="22"/>
          <w:szCs w:val="22"/>
          <w:vertAlign w:val="subscript"/>
          <w:lang w:val="hr-HR"/>
        </w:rPr>
        <w:t>2</w:t>
      </w:r>
      <w:r w:rsidR="00B25B9E" w:rsidRPr="005808FC">
        <w:rPr>
          <w:rFonts w:asciiTheme="minorHAnsi" w:hAnsiTheme="minorHAnsi" w:cstheme="minorBidi"/>
          <w:sz w:val="22"/>
          <w:szCs w:val="22"/>
          <w:vertAlign w:val="subscript"/>
          <w:lang w:val="hr-HR"/>
        </w:rPr>
        <w:t xml:space="preserve"> </w:t>
      </w:r>
      <w:r w:rsidRPr="005808FC">
        <w:rPr>
          <w:rFonts w:asciiTheme="minorHAnsi" w:hAnsiTheme="minorHAnsi" w:cstheme="minorBidi"/>
          <w:sz w:val="22"/>
          <w:szCs w:val="22"/>
          <w:lang w:val="hr-HR"/>
        </w:rPr>
        <w:t>po pojedinim sektorima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podsektorima</w:t>
      </w:r>
      <w:r w:rsidRPr="005808FC">
        <w:rPr>
          <w:rFonts w:asciiTheme="minorHAnsi" w:hAnsiTheme="minorHAnsi" w:cstheme="minorBidi"/>
          <w:sz w:val="22"/>
          <w:szCs w:val="22"/>
          <w:lang w:val="hr-HR"/>
        </w:rPr>
        <w:t xml:space="preserve"> energetske potrošnje na području Grada Zagreba.</w:t>
      </w:r>
    </w:p>
    <w:p w14:paraId="09650FEF"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0520F714" w14:textId="0B526652"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U </w:t>
      </w:r>
      <w:r w:rsidR="00707D6C">
        <w:rPr>
          <w:rFonts w:asciiTheme="minorHAnsi" w:hAnsiTheme="minorHAnsi" w:cstheme="minorBidi"/>
          <w:sz w:val="22"/>
          <w:szCs w:val="22"/>
          <w:lang w:val="hr-HR"/>
        </w:rPr>
        <w:t>svrhu</w:t>
      </w:r>
      <w:r w:rsidR="00707D6C" w:rsidRPr="003E50D1">
        <w:rPr>
          <w:rFonts w:asciiTheme="minorHAnsi" w:hAnsiTheme="minorHAnsi" w:cstheme="minorBidi"/>
          <w:sz w:val="22"/>
          <w:szCs w:val="22"/>
          <w:lang w:val="hr-HR"/>
        </w:rPr>
        <w:t xml:space="preserve"> </w:t>
      </w:r>
      <w:r w:rsidRPr="003E50D1">
        <w:rPr>
          <w:rFonts w:asciiTheme="minorHAnsi" w:hAnsiTheme="minorHAnsi" w:cstheme="minorBidi"/>
          <w:sz w:val="22"/>
          <w:szCs w:val="22"/>
          <w:lang w:val="hr-HR"/>
        </w:rPr>
        <w:t>postavljanja realnih ciljeva uštede energije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smanjenja CO</w:t>
      </w:r>
      <w:r w:rsidRPr="003E50D1">
        <w:rPr>
          <w:rFonts w:asciiTheme="minorHAnsi" w:hAnsiTheme="minorHAnsi" w:cstheme="minorBidi"/>
          <w:sz w:val="22"/>
          <w:szCs w:val="22"/>
          <w:vertAlign w:val="subscript"/>
          <w:lang w:val="hr-HR"/>
        </w:rPr>
        <w:t>2</w:t>
      </w:r>
      <w:r w:rsidRPr="00291DF5">
        <w:rPr>
          <w:rFonts w:asciiTheme="minorHAnsi" w:hAnsiTheme="minorHAnsi" w:cstheme="minorBidi"/>
          <w:sz w:val="22"/>
          <w:szCs w:val="22"/>
          <w:lang w:val="hr-HR"/>
        </w:rPr>
        <w:t xml:space="preserve"> do 2030. godine važno je prikupiti kvalitetne podatke o energetskoj situaciji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potrošnji energije za referentnu godinu, pri čemu j</w:t>
      </w:r>
      <w:r w:rsidRPr="005808FC">
        <w:rPr>
          <w:rFonts w:asciiTheme="minorHAnsi" w:hAnsiTheme="minorHAnsi" w:cstheme="minorBidi"/>
          <w:sz w:val="22"/>
          <w:szCs w:val="22"/>
          <w:lang w:val="hr-HR"/>
        </w:rPr>
        <w:t xml:space="preserve">e prvi korak klasifikacija sektora energetske potrošnje u Zagrebu. </w:t>
      </w:r>
    </w:p>
    <w:p w14:paraId="5CB37708"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6BEA53A8" w14:textId="7517187C"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U skladu s preporukama Europske komisije, sektori energetske potrošnje Grada podijeljeni su na tri osnovna sektora, te je uz njih uključen</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sektor daljinskog grijanja (centralni toplinski sustav):</w:t>
      </w:r>
    </w:p>
    <w:p w14:paraId="17984780" w14:textId="77777777" w:rsidR="008B5153" w:rsidRPr="005808FC" w:rsidRDefault="008B5153" w:rsidP="005808FC">
      <w:pPr>
        <w:pStyle w:val="Obinitekst1"/>
        <w:numPr>
          <w:ilvl w:val="0"/>
          <w:numId w:val="3"/>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Zgradarstvo;</w:t>
      </w:r>
    </w:p>
    <w:p w14:paraId="47FBA987" w14:textId="77777777" w:rsidR="008B5153" w:rsidRPr="005808FC" w:rsidRDefault="008B5153" w:rsidP="005808FC">
      <w:pPr>
        <w:pStyle w:val="Obinitekst1"/>
        <w:numPr>
          <w:ilvl w:val="0"/>
          <w:numId w:val="3"/>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Promet;</w:t>
      </w:r>
    </w:p>
    <w:p w14:paraId="1CA38A72" w14:textId="77777777" w:rsidR="008B5153" w:rsidRPr="005808FC" w:rsidRDefault="008B5153" w:rsidP="005808FC">
      <w:pPr>
        <w:pStyle w:val="Obinitekst1"/>
        <w:numPr>
          <w:ilvl w:val="0"/>
          <w:numId w:val="3"/>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Javna rasvjeta;</w:t>
      </w:r>
    </w:p>
    <w:p w14:paraId="4902E831" w14:textId="77777777" w:rsidR="008B5153" w:rsidRPr="005808FC" w:rsidRDefault="008B5153" w:rsidP="005808FC">
      <w:pPr>
        <w:pStyle w:val="Obinitekst1"/>
        <w:numPr>
          <w:ilvl w:val="0"/>
          <w:numId w:val="3"/>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Daljinsko grijanje (centralni toplinski sustav).</w:t>
      </w:r>
    </w:p>
    <w:p w14:paraId="0F928329" w14:textId="77777777" w:rsidR="008B5153" w:rsidRPr="00922031" w:rsidRDefault="008B5153" w:rsidP="00975CD4">
      <w:pPr>
        <w:spacing w:after="0"/>
        <w:rPr>
          <w:rFonts w:eastAsia="Times New Roman" w:cstheme="minorHAnsi"/>
        </w:rPr>
      </w:pPr>
    </w:p>
    <w:p w14:paraId="02BE69D4" w14:textId="77777777"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b/>
          <w:bCs/>
          <w:sz w:val="22"/>
          <w:szCs w:val="22"/>
          <w:lang w:val="hr-HR"/>
        </w:rPr>
        <w:t>Sektor zgradarstva</w:t>
      </w:r>
      <w:r w:rsidRPr="003E50D1">
        <w:rPr>
          <w:rFonts w:asciiTheme="minorHAnsi" w:hAnsiTheme="minorHAnsi" w:cstheme="minorBidi"/>
          <w:sz w:val="22"/>
          <w:szCs w:val="22"/>
          <w:lang w:val="hr-HR"/>
        </w:rPr>
        <w:t xml:space="preserve"> se dije</w:t>
      </w:r>
      <w:r w:rsidRPr="00291DF5">
        <w:rPr>
          <w:rFonts w:asciiTheme="minorHAnsi" w:hAnsiTheme="minorHAnsi" w:cstheme="minorBidi"/>
          <w:sz w:val="22"/>
          <w:szCs w:val="22"/>
          <w:lang w:val="hr-HR"/>
        </w:rPr>
        <w:t>li na sljedeća tri podsektora:</w:t>
      </w:r>
    </w:p>
    <w:p w14:paraId="5DEEAAC1" w14:textId="1213337A" w:rsidR="008B5153" w:rsidRPr="00922031" w:rsidRDefault="008B5153" w:rsidP="005808FC">
      <w:pPr>
        <w:pStyle w:val="ListParagraph"/>
        <w:numPr>
          <w:ilvl w:val="0"/>
          <w:numId w:val="1"/>
        </w:numPr>
        <w:spacing w:after="0"/>
      </w:pPr>
      <w:r w:rsidRPr="003E50D1">
        <w:t>Zgrade stambene</w:t>
      </w:r>
      <w:r w:rsidR="000509A0">
        <w:t xml:space="preserve"> i </w:t>
      </w:r>
      <w:r w:rsidRPr="003E50D1">
        <w:t>javne namjene te poduzeća u vlasništvu Grada Zagreba;</w:t>
      </w:r>
      <w:r w:rsidR="00B25B9E" w:rsidRPr="003E50D1">
        <w:t xml:space="preserve"> </w:t>
      </w:r>
    </w:p>
    <w:p w14:paraId="2819858F" w14:textId="05AA8E7D" w:rsidR="008B5153" w:rsidRPr="00922031" w:rsidRDefault="008B5153" w:rsidP="005808FC">
      <w:pPr>
        <w:pStyle w:val="ListParagraph"/>
        <w:numPr>
          <w:ilvl w:val="0"/>
          <w:numId w:val="1"/>
        </w:numPr>
        <w:spacing w:after="0"/>
      </w:pPr>
      <w:r w:rsidRPr="003E50D1">
        <w:t>Zgrade komercijalnih</w:t>
      </w:r>
      <w:r w:rsidR="000509A0">
        <w:t xml:space="preserve"> i </w:t>
      </w:r>
      <w:r w:rsidRPr="003E50D1">
        <w:t xml:space="preserve">uslužnih djelatnosti koje nisu u vlasništvu Grada Zagreba; </w:t>
      </w:r>
    </w:p>
    <w:p w14:paraId="76258873" w14:textId="77777777" w:rsidR="008B5153" w:rsidRPr="00922031" w:rsidRDefault="008B5153" w:rsidP="005808FC">
      <w:pPr>
        <w:pStyle w:val="ListParagraph"/>
        <w:numPr>
          <w:ilvl w:val="0"/>
          <w:numId w:val="1"/>
        </w:numPr>
        <w:spacing w:after="0"/>
      </w:pPr>
      <w:r w:rsidRPr="003E50D1">
        <w:t>Stambene zgrade (bez stambenih zgrada u vlasništvu Grada Zagreba).</w:t>
      </w:r>
    </w:p>
    <w:p w14:paraId="18F0AB40" w14:textId="77777777" w:rsidR="008B5153" w:rsidRPr="00922031" w:rsidRDefault="008B5153" w:rsidP="00975CD4">
      <w:pPr>
        <w:pStyle w:val="NoSpacing"/>
        <w:spacing w:line="276" w:lineRule="auto"/>
        <w:rPr>
          <w:rFonts w:asciiTheme="minorHAnsi" w:hAnsiTheme="minorHAnsi" w:cstheme="minorHAnsi"/>
        </w:rPr>
      </w:pPr>
    </w:p>
    <w:p w14:paraId="63E6794F" w14:textId="77777777" w:rsidR="008B5153" w:rsidRPr="005808FC" w:rsidRDefault="008B5153" w:rsidP="005808FC">
      <w:pPr>
        <w:pStyle w:val="NoSpacing"/>
        <w:spacing w:line="276" w:lineRule="auto"/>
        <w:rPr>
          <w:rFonts w:asciiTheme="minorHAnsi" w:hAnsiTheme="minorHAnsi" w:cstheme="minorBidi"/>
        </w:rPr>
      </w:pPr>
      <w:r w:rsidRPr="003E50D1">
        <w:rPr>
          <w:rFonts w:asciiTheme="minorHAnsi" w:hAnsiTheme="minorHAnsi" w:cstheme="minorBidi"/>
          <w:b/>
          <w:bCs/>
        </w:rPr>
        <w:t>Sektor prometa</w:t>
      </w:r>
      <w:r w:rsidRPr="003E50D1">
        <w:rPr>
          <w:rFonts w:asciiTheme="minorHAnsi" w:hAnsiTheme="minorHAnsi" w:cstheme="minorBidi"/>
        </w:rPr>
        <w:t xml:space="preserve"> sadrži tri podsektora:</w:t>
      </w:r>
    </w:p>
    <w:p w14:paraId="1BC8BB58" w14:textId="77777777" w:rsidR="008B5153" w:rsidRPr="005808FC" w:rsidRDefault="008B5153" w:rsidP="005808FC">
      <w:pPr>
        <w:pStyle w:val="NoSpacing"/>
        <w:numPr>
          <w:ilvl w:val="0"/>
          <w:numId w:val="4"/>
        </w:numPr>
        <w:spacing w:line="276" w:lineRule="auto"/>
        <w:rPr>
          <w:rFonts w:asciiTheme="minorHAnsi" w:hAnsiTheme="minorHAnsi" w:cstheme="minorBidi"/>
        </w:rPr>
      </w:pPr>
      <w:r w:rsidRPr="003E50D1">
        <w:rPr>
          <w:rFonts w:asciiTheme="minorHAnsi" w:hAnsiTheme="minorHAnsi" w:cstheme="minorBidi"/>
        </w:rPr>
        <w:t>Vozni park u vlasništvu Grada Zagreba;</w:t>
      </w:r>
    </w:p>
    <w:p w14:paraId="7EC7EB2B" w14:textId="77777777" w:rsidR="008B5153" w:rsidRPr="00922031" w:rsidRDefault="008B5153" w:rsidP="005808FC">
      <w:pPr>
        <w:pStyle w:val="ListParagraph"/>
        <w:numPr>
          <w:ilvl w:val="0"/>
          <w:numId w:val="2"/>
        </w:numPr>
        <w:spacing w:after="0"/>
      </w:pPr>
      <w:r w:rsidRPr="003E50D1">
        <w:t>Javni prijevoz na području Grada Zagreba;</w:t>
      </w:r>
    </w:p>
    <w:p w14:paraId="5695C668" w14:textId="7B29099A" w:rsidR="008B5153" w:rsidRPr="00922031" w:rsidRDefault="008B5153" w:rsidP="005808FC">
      <w:pPr>
        <w:pStyle w:val="ListParagraph"/>
        <w:numPr>
          <w:ilvl w:val="0"/>
          <w:numId w:val="2"/>
        </w:numPr>
        <w:spacing w:after="0"/>
      </w:pPr>
      <w:r w:rsidRPr="003E50D1">
        <w:t>Osobna</w:t>
      </w:r>
      <w:r w:rsidR="000509A0">
        <w:t xml:space="preserve"> i </w:t>
      </w:r>
      <w:r w:rsidRPr="003E50D1">
        <w:t>komercijalna vozila.</w:t>
      </w:r>
    </w:p>
    <w:p w14:paraId="4AE9724D" w14:textId="77777777" w:rsidR="008B5153" w:rsidRPr="00922031" w:rsidRDefault="008B5153" w:rsidP="00975CD4">
      <w:pPr>
        <w:spacing w:after="0"/>
        <w:rPr>
          <w:rFonts w:cstheme="minorHAnsi"/>
        </w:rPr>
      </w:pPr>
    </w:p>
    <w:p w14:paraId="78D2CABD" w14:textId="706261FD" w:rsidR="008B5153" w:rsidRPr="005808FC" w:rsidRDefault="008B5153" w:rsidP="005808FC">
      <w:pPr>
        <w:pStyle w:val="NoSpacing"/>
        <w:spacing w:line="276" w:lineRule="auto"/>
        <w:rPr>
          <w:rFonts w:asciiTheme="minorHAnsi" w:hAnsiTheme="minorHAnsi" w:cstheme="minorBidi"/>
        </w:rPr>
      </w:pPr>
      <w:r w:rsidRPr="003E50D1">
        <w:rPr>
          <w:rFonts w:asciiTheme="minorHAnsi" w:hAnsiTheme="minorHAnsi" w:cstheme="minorBidi"/>
          <w:b/>
          <w:bCs/>
        </w:rPr>
        <w:t>Sektor javne rasvjete</w:t>
      </w:r>
      <w:r w:rsidRPr="003E50D1">
        <w:rPr>
          <w:rFonts w:asciiTheme="minorHAnsi" w:hAnsiTheme="minorHAnsi" w:cstheme="minorBidi"/>
        </w:rPr>
        <w:t xml:space="preserve"> čine električna</w:t>
      </w:r>
      <w:r w:rsidR="000509A0">
        <w:rPr>
          <w:rFonts w:asciiTheme="minorHAnsi" w:hAnsiTheme="minorHAnsi" w:cstheme="minorBidi"/>
        </w:rPr>
        <w:t xml:space="preserve"> i </w:t>
      </w:r>
      <w:r w:rsidRPr="003E50D1">
        <w:rPr>
          <w:rFonts w:asciiTheme="minorHAnsi" w:hAnsiTheme="minorHAnsi" w:cstheme="minorBidi"/>
        </w:rPr>
        <w:t>plinska mreža javne rasvjete na području Grada.</w:t>
      </w:r>
    </w:p>
    <w:p w14:paraId="49B89B89" w14:textId="77777777" w:rsidR="008B5153" w:rsidRPr="00922031" w:rsidRDefault="008B5153" w:rsidP="00975CD4">
      <w:pPr>
        <w:pStyle w:val="NoSpacing"/>
        <w:spacing w:line="276" w:lineRule="auto"/>
        <w:rPr>
          <w:rFonts w:asciiTheme="minorHAnsi" w:hAnsiTheme="minorHAnsi" w:cstheme="minorHAnsi"/>
        </w:rPr>
      </w:pPr>
    </w:p>
    <w:p w14:paraId="4A33BFBE" w14:textId="77777777" w:rsidR="008B5153" w:rsidRPr="005808FC" w:rsidRDefault="008B5153" w:rsidP="005808FC">
      <w:pPr>
        <w:pStyle w:val="NoSpacing"/>
        <w:spacing w:line="276" w:lineRule="auto"/>
        <w:rPr>
          <w:rFonts w:asciiTheme="minorHAnsi" w:hAnsiTheme="minorHAnsi" w:cstheme="minorBidi"/>
        </w:rPr>
      </w:pPr>
      <w:r w:rsidRPr="00693B4B">
        <w:rPr>
          <w:rFonts w:asciiTheme="minorHAnsi" w:hAnsiTheme="minorHAnsi" w:cstheme="minorBidi"/>
          <w:b/>
        </w:rPr>
        <w:t>Sektor daljinskog grijanja</w:t>
      </w:r>
      <w:r w:rsidRPr="003E50D1">
        <w:rPr>
          <w:rFonts w:asciiTheme="minorHAnsi" w:hAnsiTheme="minorHAnsi" w:cstheme="minorBidi"/>
        </w:rPr>
        <w:t xml:space="preserve"> obuhvaća centralni toplinski sustav na području grada.</w:t>
      </w:r>
    </w:p>
    <w:p w14:paraId="3E4FC838"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15C0F146" w14:textId="44AF48C1" w:rsidR="008B5153" w:rsidRPr="00922031" w:rsidRDefault="008B5153">
      <w:r w:rsidRPr="003E50D1">
        <w:rPr>
          <w:b/>
          <w:bCs/>
        </w:rPr>
        <w:t>Popis ključnih podataka</w:t>
      </w:r>
      <w:r w:rsidRPr="003E50D1">
        <w:t xml:space="preserve"> potrebnih za izradu SECAP-a</w:t>
      </w:r>
      <w:r w:rsidR="000509A0">
        <w:t xml:space="preserve"> i </w:t>
      </w:r>
      <w:r w:rsidRPr="00291DF5">
        <w:rPr>
          <w:b/>
          <w:bCs/>
        </w:rPr>
        <w:t>izvori svih navedenih podataka</w:t>
      </w:r>
      <w:r w:rsidRPr="005808FC">
        <w:t xml:space="preserve">, na temelju kojih su izrađene energetske bilance, Referentni inventar emisija, </w:t>
      </w:r>
      <w:r w:rsidR="008173A9" w:rsidRPr="005808FC">
        <w:t>Kontrolni</w:t>
      </w:r>
      <w:r w:rsidRPr="005808FC">
        <w:t xml:space="preserve"> inventar emisija, Analiza klimatskih promjena u Gradu Zagrebu te koji su kao posljedica izrade ovih podloga služili za kreiranje mjera</w:t>
      </w:r>
      <w:r w:rsidR="000509A0">
        <w:t xml:space="preserve"> i </w:t>
      </w:r>
      <w:r w:rsidRPr="00291DF5">
        <w:t xml:space="preserve">aktivnosti SECAP-a, izneseni su unutar </w:t>
      </w:r>
      <w:r w:rsidRPr="005808FC">
        <w:rPr>
          <w:i/>
          <w:iCs/>
        </w:rPr>
        <w:t xml:space="preserve">Priloga </w:t>
      </w:r>
      <w:r w:rsidR="00417E90" w:rsidRPr="005808FC">
        <w:rPr>
          <w:i/>
          <w:iCs/>
        </w:rPr>
        <w:t>4</w:t>
      </w:r>
      <w:r w:rsidRPr="005808FC">
        <w:rPr>
          <w:i/>
          <w:iCs/>
        </w:rPr>
        <w:t xml:space="preserve"> – Izvori podataka</w:t>
      </w:r>
      <w:r w:rsidRPr="003E50D1">
        <w:t>.</w:t>
      </w:r>
    </w:p>
    <w:p w14:paraId="3D003298" w14:textId="6FCC6856" w:rsidR="008B5153" w:rsidRPr="00922031" w:rsidRDefault="008B5153">
      <w:r w:rsidRPr="003E50D1">
        <w:lastRenderedPageBreak/>
        <w:t>Referentni inventar emisija CO</w:t>
      </w:r>
      <w:r w:rsidRPr="00120783">
        <w:rPr>
          <w:vertAlign w:val="subscript"/>
        </w:rPr>
        <w:t>2</w:t>
      </w:r>
      <w:r w:rsidRPr="003E50D1">
        <w:t xml:space="preserve"> (engl. </w:t>
      </w:r>
      <w:r w:rsidRPr="00AC057A">
        <w:rPr>
          <w:i/>
        </w:rPr>
        <w:t xml:space="preserve">Baseline </w:t>
      </w:r>
      <w:r w:rsidR="00C762A1" w:rsidRPr="00AC057A">
        <w:rPr>
          <w:i/>
        </w:rPr>
        <w:t>e</w:t>
      </w:r>
      <w:r w:rsidRPr="00AC057A">
        <w:rPr>
          <w:i/>
        </w:rPr>
        <w:t>mission inventory</w:t>
      </w:r>
      <w:r w:rsidRPr="005808FC">
        <w:t xml:space="preserve"> - BEI) izrađen je za 2008. godinu na temelju prikupljenih podataka. </w:t>
      </w:r>
      <w:r w:rsidR="008173A9" w:rsidRPr="005808FC">
        <w:t>Kontrolni</w:t>
      </w:r>
      <w:r w:rsidRPr="005808FC">
        <w:t xml:space="preserve"> inventar emisija CO</w:t>
      </w:r>
      <w:r w:rsidRPr="00120783">
        <w:rPr>
          <w:vertAlign w:val="subscript"/>
        </w:rPr>
        <w:t>2</w:t>
      </w:r>
      <w:r w:rsidRPr="005808FC">
        <w:t xml:space="preserve"> (engl. Monitoring emission inventory - MEI) izrađen je za 2015. godinu.</w:t>
      </w:r>
    </w:p>
    <w:p w14:paraId="4BA1D087" w14:textId="732C0A96"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Oba inventara su izrađena prema </w:t>
      </w:r>
      <w:r w:rsidRPr="003E50D1">
        <w:rPr>
          <w:rFonts w:asciiTheme="minorHAnsi" w:hAnsiTheme="minorHAnsi" w:cstheme="minorBidi"/>
          <w:b/>
          <w:bCs/>
          <w:sz w:val="22"/>
          <w:szCs w:val="22"/>
          <w:lang w:val="hr-HR"/>
        </w:rPr>
        <w:t>IPCC protokolu</w:t>
      </w:r>
      <w:r w:rsidRPr="00291DF5">
        <w:rPr>
          <w:rFonts w:asciiTheme="minorHAnsi" w:hAnsiTheme="minorHAnsi" w:cstheme="minorBidi"/>
          <w:sz w:val="22"/>
          <w:szCs w:val="22"/>
          <w:lang w:val="hr-HR"/>
        </w:rPr>
        <w:t>. IPCC protokol za određivanje e</w:t>
      </w:r>
      <w:r w:rsidRPr="005808FC">
        <w:rPr>
          <w:rFonts w:asciiTheme="minorHAnsi" w:hAnsiTheme="minorHAnsi" w:cstheme="minorBidi"/>
          <w:sz w:val="22"/>
          <w:szCs w:val="22"/>
          <w:lang w:val="hr-HR"/>
        </w:rPr>
        <w:t>misija onečišćujućih tvari u atmosferu je protokol Međuvladinog tijela za klimatske promjene (</w:t>
      </w:r>
      <w:r w:rsidRPr="003E50D1">
        <w:rPr>
          <w:rFonts w:asciiTheme="minorHAnsi" w:hAnsiTheme="minorHAnsi" w:cstheme="minorBidi"/>
          <w:i/>
          <w:iCs/>
          <w:sz w:val="22"/>
          <w:szCs w:val="22"/>
          <w:lang w:val="hr-HR"/>
        </w:rPr>
        <w:t>Intergovernmental Panel on Climate Change – IPCC</w:t>
      </w:r>
      <w:r w:rsidRPr="003E50D1">
        <w:rPr>
          <w:rFonts w:asciiTheme="minorHAnsi" w:hAnsiTheme="minorHAnsi" w:cstheme="minorBidi"/>
          <w:sz w:val="22"/>
          <w:szCs w:val="22"/>
          <w:lang w:val="hr-HR"/>
        </w:rPr>
        <w:t>) kao izvršnog tijela Programa za okoliš Ujedinjenih naroda (</w:t>
      </w:r>
      <w:r w:rsidRPr="003E50D1">
        <w:rPr>
          <w:rFonts w:asciiTheme="minorHAnsi" w:hAnsiTheme="minorHAnsi" w:cstheme="minorBidi"/>
          <w:i/>
          <w:iCs/>
          <w:sz w:val="22"/>
          <w:szCs w:val="22"/>
          <w:lang w:val="hr-HR"/>
        </w:rPr>
        <w:t>United Nations Environment Programme - UNEP</w:t>
      </w:r>
      <w:r w:rsidRPr="003E50D1">
        <w:rPr>
          <w:rFonts w:asciiTheme="minorHAnsi" w:hAnsiTheme="minorHAnsi" w:cstheme="minorBidi"/>
          <w:sz w:val="22"/>
          <w:szCs w:val="22"/>
          <w:lang w:val="hr-HR"/>
        </w:rPr>
        <w:t>)</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Svjetske meteorološke organizacije (</w:t>
      </w:r>
      <w:r w:rsidRPr="003E50D1">
        <w:rPr>
          <w:rFonts w:asciiTheme="minorHAnsi" w:hAnsiTheme="minorHAnsi" w:cstheme="minorBidi"/>
          <w:i/>
          <w:iCs/>
          <w:sz w:val="22"/>
          <w:szCs w:val="22"/>
          <w:lang w:val="hr-HR"/>
        </w:rPr>
        <w:t>WMO</w:t>
      </w:r>
      <w:r w:rsidRPr="003E50D1">
        <w:rPr>
          <w:rFonts w:asciiTheme="minorHAnsi" w:hAnsiTheme="minorHAnsi" w:cstheme="minorBidi"/>
          <w:sz w:val="22"/>
          <w:szCs w:val="22"/>
          <w:lang w:val="hr-HR"/>
        </w:rPr>
        <w:t>) u provođenju Okvirne konvencije Ujedinjenih naroda o promjeni klime (</w:t>
      </w:r>
      <w:r w:rsidRPr="003E50D1">
        <w:rPr>
          <w:rFonts w:asciiTheme="minorHAnsi" w:hAnsiTheme="minorHAnsi" w:cstheme="minorBidi"/>
          <w:i/>
          <w:iCs/>
          <w:sz w:val="22"/>
          <w:szCs w:val="22"/>
          <w:lang w:val="hr-HR"/>
        </w:rPr>
        <w:t>United Nation Framework Convention on Climate Change – UNFCCC</w:t>
      </w:r>
      <w:r w:rsidRPr="003E50D1">
        <w:rPr>
          <w:rFonts w:asciiTheme="minorHAnsi" w:hAnsiTheme="minorHAnsi" w:cstheme="minorBidi"/>
          <w:sz w:val="22"/>
          <w:szCs w:val="22"/>
          <w:lang w:val="hr-HR"/>
        </w:rPr>
        <w:t>). Hrvatska se ratificiranjem Kyotskog protokola 2007. godine obvezala na p</w:t>
      </w:r>
      <w:r w:rsidRPr="00291DF5">
        <w:rPr>
          <w:rFonts w:asciiTheme="minorHAnsi" w:hAnsiTheme="minorHAnsi" w:cstheme="minorBidi"/>
          <w:sz w:val="22"/>
          <w:szCs w:val="22"/>
          <w:lang w:val="hr-HR"/>
        </w:rPr>
        <w:t>raćenje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izvještavanje o emisijama onečišćujućih tvari u</w:t>
      </w:r>
      <w:r w:rsidR="00B25B9E" w:rsidRPr="005808FC">
        <w:rPr>
          <w:rFonts w:asciiTheme="minorHAnsi" w:hAnsiTheme="minorHAnsi" w:cstheme="minorBidi"/>
          <w:sz w:val="22"/>
          <w:szCs w:val="22"/>
          <w:lang w:val="hr-HR"/>
        </w:rPr>
        <w:t xml:space="preserve"> </w:t>
      </w:r>
      <w:r w:rsidRPr="005808FC">
        <w:rPr>
          <w:rFonts w:asciiTheme="minorHAnsi" w:hAnsiTheme="minorHAnsi" w:cstheme="minorBidi"/>
          <w:sz w:val="22"/>
          <w:szCs w:val="22"/>
          <w:lang w:val="hr-HR"/>
        </w:rPr>
        <w:t>atmosferu prema IPCC protokolu, pa se on kao nacionalno priznat protokol koristiti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za izradu Referentnog inventara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 Grad Zagreb. </w:t>
      </w:r>
    </w:p>
    <w:p w14:paraId="19C9A6AF"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680C40AB" w14:textId="2527797E"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Na osnovu podataka o emisijama CO</w:t>
      </w:r>
      <w:r w:rsidRPr="003E50D1">
        <w:rPr>
          <w:rFonts w:asciiTheme="minorHAnsi" w:hAnsiTheme="minorHAnsi" w:cstheme="minorBidi"/>
          <w:sz w:val="22"/>
          <w:szCs w:val="22"/>
          <w:vertAlign w:val="subscript"/>
          <w:lang w:val="hr-HR"/>
        </w:rPr>
        <w:t>2</w:t>
      </w:r>
      <w:r w:rsidRPr="00291DF5">
        <w:rPr>
          <w:rFonts w:asciiTheme="minorHAnsi" w:hAnsiTheme="minorHAnsi" w:cstheme="minorBidi"/>
          <w:sz w:val="22"/>
          <w:szCs w:val="22"/>
          <w:lang w:val="hr-HR"/>
        </w:rPr>
        <w:t xml:space="preserve"> za različite sektore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podsektore energetske potrošnje Grada, analize energetske situacije u energetskim bilancama za nekoliko posljednjih godina, prognoza energetske potrošnje u vremenskom razdoblju do 2030. godine kao</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brojnih, drugih relevantnih</w:t>
      </w:r>
      <w:r w:rsidRPr="005808FC">
        <w:rPr>
          <w:rFonts w:asciiTheme="minorHAnsi" w:hAnsiTheme="minorHAnsi" w:cstheme="minorBidi"/>
          <w:sz w:val="22"/>
          <w:szCs w:val="22"/>
          <w:lang w:val="hr-HR"/>
        </w:rPr>
        <w:t xml:space="preserve"> čimbenika (</w:t>
      </w:r>
      <w:r w:rsidR="00120783">
        <w:rPr>
          <w:rFonts w:asciiTheme="minorHAnsi" w:hAnsiTheme="minorHAnsi" w:cstheme="minorBidi"/>
          <w:sz w:val="22"/>
          <w:szCs w:val="22"/>
          <w:lang w:val="hr-HR"/>
        </w:rPr>
        <w:t>U</w:t>
      </w:r>
      <w:r w:rsidRPr="005808FC">
        <w:rPr>
          <w:rFonts w:asciiTheme="minorHAnsi" w:hAnsiTheme="minorHAnsi" w:cstheme="minorBidi"/>
          <w:sz w:val="22"/>
          <w:szCs w:val="22"/>
          <w:lang w:val="hr-HR"/>
        </w:rPr>
        <w:t>rbanistički plan Grada Zagreba, razvojna strategija, Masterplan prometa</w:t>
      </w:r>
      <w:r w:rsidR="00120783">
        <w:rPr>
          <w:rFonts w:asciiTheme="minorHAnsi" w:hAnsiTheme="minorHAnsi" w:cstheme="minorBidi"/>
          <w:sz w:val="22"/>
          <w:szCs w:val="22"/>
          <w:lang w:val="hr-HR"/>
        </w:rPr>
        <w:t>, Strategija razvoja urbane aglomeracije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dr.) </w:t>
      </w:r>
      <w:r w:rsidRPr="005808FC">
        <w:rPr>
          <w:rFonts w:asciiTheme="minorHAnsi" w:hAnsiTheme="minorHAnsi" w:cstheme="minorBidi"/>
          <w:b/>
          <w:bCs/>
          <w:sz w:val="22"/>
          <w:szCs w:val="22"/>
          <w:lang w:val="hr-HR"/>
        </w:rPr>
        <w:t>identificiraju se mjere</w:t>
      </w:r>
      <w:r w:rsidR="000509A0">
        <w:rPr>
          <w:rFonts w:asciiTheme="minorHAnsi" w:hAnsiTheme="minorHAnsi" w:cstheme="minorBidi"/>
          <w:b/>
          <w:bCs/>
          <w:sz w:val="22"/>
          <w:szCs w:val="22"/>
          <w:lang w:val="hr-HR"/>
        </w:rPr>
        <w:t xml:space="preserve"> i </w:t>
      </w:r>
      <w:r w:rsidRPr="00291DF5">
        <w:rPr>
          <w:rFonts w:asciiTheme="minorHAnsi" w:hAnsiTheme="minorHAnsi" w:cstheme="minorBidi"/>
          <w:b/>
          <w:bCs/>
          <w:sz w:val="22"/>
          <w:szCs w:val="22"/>
          <w:lang w:val="hr-HR"/>
        </w:rPr>
        <w:t>aktivnosti</w:t>
      </w:r>
      <w:r w:rsidRPr="005808FC">
        <w:rPr>
          <w:rFonts w:asciiTheme="minorHAnsi" w:hAnsiTheme="minorHAnsi" w:cstheme="minorBidi"/>
          <w:sz w:val="22"/>
          <w:szCs w:val="22"/>
          <w:lang w:val="hr-HR"/>
        </w:rPr>
        <w:t xml:space="preserve"> energetske učinkovitosti</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obnovljivih izvora energije te mjere adaptacije na klimatske promjene. </w:t>
      </w:r>
    </w:p>
    <w:p w14:paraId="3919C9B2"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2D5B88E2" w14:textId="0C9FB2A8"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Za identificirane mjere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aktivnosti čija provedba do 2030. godine može rezultirati smanjenjem emisija CO</w:t>
      </w:r>
      <w:r w:rsidRPr="00291DF5">
        <w:rPr>
          <w:rFonts w:asciiTheme="minorHAnsi" w:hAnsiTheme="minorHAnsi" w:cstheme="minorBidi"/>
          <w:sz w:val="22"/>
          <w:szCs w:val="22"/>
          <w:vertAlign w:val="subscript"/>
          <w:lang w:val="hr-HR"/>
        </w:rPr>
        <w:t xml:space="preserve">2 </w:t>
      </w:r>
      <w:r w:rsidRPr="005808FC">
        <w:rPr>
          <w:rFonts w:asciiTheme="minorHAnsi" w:hAnsiTheme="minorHAnsi" w:cstheme="minorBidi"/>
          <w:sz w:val="22"/>
          <w:szCs w:val="22"/>
          <w:lang w:val="hr-HR"/>
        </w:rPr>
        <w:t>uz zadovoljavajuće ekonomsko-energetske parametre u Planu biti će određeni:</w:t>
      </w:r>
    </w:p>
    <w:p w14:paraId="2B9F0A10" w14:textId="77777777" w:rsidR="008B5153" w:rsidRPr="005808FC" w:rsidRDefault="008B5153" w:rsidP="005808FC">
      <w:pPr>
        <w:pStyle w:val="Obinitekst1"/>
        <w:numPr>
          <w:ilvl w:val="0"/>
          <w:numId w:val="5"/>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Potencijali energetskih ušteda do 2030. godine;</w:t>
      </w:r>
    </w:p>
    <w:p w14:paraId="0F51D7FD" w14:textId="28C7EA01" w:rsidR="008B5153" w:rsidRPr="005808FC" w:rsidRDefault="008B5153" w:rsidP="005808FC">
      <w:pPr>
        <w:pStyle w:val="Obinitekst1"/>
        <w:numPr>
          <w:ilvl w:val="0"/>
          <w:numId w:val="5"/>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Potencijali smanjenja emisija CO</w:t>
      </w:r>
      <w:r w:rsidRPr="003E50D1">
        <w:rPr>
          <w:rFonts w:asciiTheme="minorHAnsi" w:hAnsiTheme="minorHAnsi" w:cstheme="minorBidi"/>
          <w:sz w:val="22"/>
          <w:szCs w:val="22"/>
          <w:vertAlign w:val="subscript"/>
          <w:lang w:val="hr-HR"/>
        </w:rPr>
        <w:t>2</w:t>
      </w:r>
      <w:r w:rsidRPr="00291DF5">
        <w:rPr>
          <w:rFonts w:asciiTheme="minorHAnsi" w:hAnsiTheme="minorHAnsi" w:cstheme="minorBidi"/>
          <w:sz w:val="22"/>
          <w:szCs w:val="22"/>
          <w:lang w:val="hr-HR"/>
        </w:rPr>
        <w:t xml:space="preserve"> do 2030. godine</w:t>
      </w:r>
      <w:r w:rsidR="009211AD">
        <w:rPr>
          <w:rFonts w:asciiTheme="minorHAnsi" w:hAnsiTheme="minorHAnsi" w:cstheme="minorBidi"/>
          <w:sz w:val="22"/>
          <w:szCs w:val="22"/>
          <w:lang w:val="hr-HR"/>
        </w:rPr>
        <w:t>;</w:t>
      </w:r>
      <w:r w:rsidRPr="00291DF5">
        <w:rPr>
          <w:rFonts w:asciiTheme="minorHAnsi" w:hAnsiTheme="minorHAnsi" w:cstheme="minorBidi"/>
          <w:sz w:val="22"/>
          <w:szCs w:val="22"/>
          <w:lang w:val="hr-HR"/>
        </w:rPr>
        <w:t xml:space="preserve"> </w:t>
      </w:r>
    </w:p>
    <w:p w14:paraId="51D7C606" w14:textId="65958E7A" w:rsidR="008B5153" w:rsidRPr="005808FC" w:rsidRDefault="008B5153" w:rsidP="005808FC">
      <w:pPr>
        <w:pStyle w:val="Obinitekst1"/>
        <w:numPr>
          <w:ilvl w:val="0"/>
          <w:numId w:val="5"/>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Vremenski okvir</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dinamika provedbe;</w:t>
      </w:r>
    </w:p>
    <w:p w14:paraId="5DD4A819" w14:textId="77777777" w:rsidR="008B5153" w:rsidRPr="005808FC" w:rsidRDefault="008B5153" w:rsidP="005808FC">
      <w:pPr>
        <w:pStyle w:val="Obinitekst1"/>
        <w:numPr>
          <w:ilvl w:val="0"/>
          <w:numId w:val="5"/>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Mogućnosti financiranja;</w:t>
      </w:r>
    </w:p>
    <w:p w14:paraId="6D4B326F" w14:textId="685B0097" w:rsidR="008B5153" w:rsidRPr="005808FC" w:rsidRDefault="008B5153" w:rsidP="005808FC">
      <w:pPr>
        <w:pStyle w:val="Obinitekst1"/>
        <w:numPr>
          <w:ilvl w:val="0"/>
          <w:numId w:val="5"/>
        </w:numPr>
        <w:shd w:val="clear" w:color="auto" w:fill="FFFFFF" w:themeFill="background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Investicijski troškovi provedbe.</w:t>
      </w:r>
    </w:p>
    <w:p w14:paraId="78DAC9AD"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1FE6F5F9" w14:textId="35123326" w:rsidR="008B5153" w:rsidRPr="00922031" w:rsidRDefault="008B5153" w:rsidP="00F5641B">
      <w:pPr>
        <w:pStyle w:val="Heading2"/>
        <w:rPr>
          <w:rFonts w:eastAsia="Times New Roman"/>
        </w:rPr>
      </w:pPr>
      <w:bookmarkStart w:id="38" w:name="_Toc4156070"/>
      <w:r w:rsidRPr="00922031">
        <w:t>Provedba</w:t>
      </w:r>
      <w:r w:rsidR="000509A0">
        <w:t xml:space="preserve"> i </w:t>
      </w:r>
      <w:r w:rsidR="007E0458" w:rsidRPr="00922031">
        <w:t xml:space="preserve">izvještavanje o provedbi </w:t>
      </w:r>
      <w:r w:rsidRPr="00922031">
        <w:t>Akcijskog plana energetski održivog razvoja</w:t>
      </w:r>
      <w:r w:rsidR="000509A0">
        <w:t xml:space="preserve"> i </w:t>
      </w:r>
      <w:r w:rsidRPr="00922031">
        <w:t>klimatskih promjena Grada Zagreba</w:t>
      </w:r>
      <w:bookmarkEnd w:id="38"/>
    </w:p>
    <w:p w14:paraId="24D6B1A5" w14:textId="0B85AD6E" w:rsidR="00501944" w:rsidRPr="005808FC" w:rsidRDefault="008B5153">
      <w:pPr>
        <w:rPr>
          <w:b/>
          <w:bCs/>
        </w:rPr>
      </w:pPr>
      <w:r w:rsidRPr="003E50D1">
        <w:rPr>
          <w:rFonts w:eastAsia="Times New Roman"/>
        </w:rPr>
        <w:t>Za koordinaciju izrade,</w:t>
      </w:r>
      <w:r w:rsidRPr="003E50D1">
        <w:t xml:space="preserve"> provedbe, implementacije</w:t>
      </w:r>
      <w:r w:rsidR="000509A0">
        <w:t xml:space="preserve"> i </w:t>
      </w:r>
      <w:r w:rsidRPr="003E50D1">
        <w:t>za praćenje Akcijskog plana unutar Gradske uprave zadužen je Gradski Ured za gospodarstvo, energetiku</w:t>
      </w:r>
      <w:r w:rsidR="000509A0">
        <w:t xml:space="preserve"> i </w:t>
      </w:r>
      <w:r w:rsidRPr="003E50D1">
        <w:t xml:space="preserve">zaštitu okoliša. Europska komisija predlaže da svi veći gradovi osnuju Odjel za provođenje Akcijskog plana. U Gradu Zagrebu </w:t>
      </w:r>
      <w:r w:rsidRPr="00291DF5">
        <w:t>je od 2. listopada 2009. Gradski ured za energetiku, zaštitu okoliša</w:t>
      </w:r>
      <w:r w:rsidR="000509A0">
        <w:t xml:space="preserve"> i </w:t>
      </w:r>
      <w:r w:rsidRPr="00291DF5">
        <w:t>održivi razvoj počeo obavljati poslove koji se odnose na e</w:t>
      </w:r>
      <w:r w:rsidRPr="005808FC">
        <w:t>nergetiku, toplinsku energiju, energetsku učinkovitost, tržište plina, zaštitu okoliša, održivi razvoj, zaštitu zraka</w:t>
      </w:r>
      <w:r w:rsidR="000509A0">
        <w:t xml:space="preserve"> i </w:t>
      </w:r>
      <w:r w:rsidRPr="00291DF5">
        <w:t>voda, gospodarenje otpadom, zaštitu od buke, te održavanje objekata instalacija, postrojenja, opreme</w:t>
      </w:r>
      <w:r w:rsidR="000509A0">
        <w:t xml:space="preserve"> i </w:t>
      </w:r>
      <w:r w:rsidRPr="00291DF5">
        <w:t>uređaja.</w:t>
      </w:r>
      <w:r w:rsidR="00B25B9E" w:rsidRPr="005808FC">
        <w:t xml:space="preserve"> </w:t>
      </w:r>
      <w:r w:rsidRPr="005808FC">
        <w:t>Gradski ured za gospodarstvo, energetiku</w:t>
      </w:r>
      <w:r w:rsidR="000509A0">
        <w:t xml:space="preserve"> i </w:t>
      </w:r>
      <w:r w:rsidRPr="00291DF5">
        <w:t>zaštitu okoliša od 1. siječnja 2018. preuzima poslove Gradskog ureda za energetiku, zaštitu okoliša</w:t>
      </w:r>
      <w:r w:rsidR="000509A0">
        <w:t xml:space="preserve"> i </w:t>
      </w:r>
      <w:r w:rsidRPr="00291DF5">
        <w:t>održivi razvoj</w:t>
      </w:r>
      <w:r w:rsidR="000509A0">
        <w:t xml:space="preserve"> i </w:t>
      </w:r>
      <w:r w:rsidRPr="00291DF5">
        <w:t>samim time</w:t>
      </w:r>
      <w:r w:rsidR="000509A0">
        <w:t xml:space="preserve"> i </w:t>
      </w:r>
      <w:r w:rsidRPr="00291DF5">
        <w:t>sve djelatnosti vezane uz pripremu, provođenje</w:t>
      </w:r>
      <w:r w:rsidR="000509A0">
        <w:t xml:space="preserve"> i </w:t>
      </w:r>
      <w:r w:rsidRPr="00291DF5">
        <w:t>praćenje Akcijskog plana.</w:t>
      </w:r>
      <w:r w:rsidR="00501944" w:rsidRPr="005808FC">
        <w:rPr>
          <w:b/>
          <w:bCs/>
        </w:rPr>
        <w:br w:type="page"/>
      </w:r>
    </w:p>
    <w:p w14:paraId="45553BDB" w14:textId="225B1E65" w:rsidR="008B5153" w:rsidRPr="00922031" w:rsidRDefault="008B5153" w:rsidP="00316500">
      <w:pPr>
        <w:pStyle w:val="Heading3"/>
      </w:pPr>
      <w:bookmarkStart w:id="39" w:name="_Toc4156071"/>
      <w:r w:rsidRPr="00922031">
        <w:lastRenderedPageBreak/>
        <w:t>Praćenje</w:t>
      </w:r>
      <w:r w:rsidR="000509A0">
        <w:t xml:space="preserve"> i </w:t>
      </w:r>
      <w:r w:rsidRPr="00922031">
        <w:t>kontrola provedbe</w:t>
      </w:r>
      <w:bookmarkEnd w:id="39"/>
    </w:p>
    <w:p w14:paraId="71E61500" w14:textId="1CA9BC78"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Faza praćenja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kontrole provedbe Akcijskog plana treba se istovremeno odvijati na nekoliko razina:</w:t>
      </w:r>
    </w:p>
    <w:p w14:paraId="22C0960A" w14:textId="36B00EC7" w:rsidR="008B5153" w:rsidRPr="005808FC" w:rsidRDefault="008B5153" w:rsidP="005808FC">
      <w:pPr>
        <w:pStyle w:val="Obinitekst1"/>
        <w:numPr>
          <w:ilvl w:val="0"/>
          <w:numId w:val="6"/>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Praćenje dinamike provedbe konkretnih mjera energetske učinkovitosti prema Planu prioritetnih mjera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aktivnosti;</w:t>
      </w:r>
    </w:p>
    <w:p w14:paraId="5148CCFB" w14:textId="77777777" w:rsidR="008B5153" w:rsidRPr="005808FC" w:rsidRDefault="008B5153" w:rsidP="005808FC">
      <w:pPr>
        <w:pStyle w:val="Obinitekst1"/>
        <w:numPr>
          <w:ilvl w:val="0"/>
          <w:numId w:val="6"/>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Praćenje uspješnosti provedbe projekata;</w:t>
      </w:r>
    </w:p>
    <w:p w14:paraId="70ECA0BB" w14:textId="1B33B133" w:rsidR="008B5153" w:rsidRPr="005808FC" w:rsidRDefault="008B5153" w:rsidP="005808FC">
      <w:pPr>
        <w:pStyle w:val="Obinitekst1"/>
        <w:numPr>
          <w:ilvl w:val="0"/>
          <w:numId w:val="6"/>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Praćenje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kontrola postavljenih ciljeva energetskih ušteda za svaku pojedinu mjeru unutar Plana;</w:t>
      </w:r>
    </w:p>
    <w:p w14:paraId="40DF272F" w14:textId="2921C141" w:rsidR="008B5153" w:rsidRPr="005808FC" w:rsidRDefault="008B5153" w:rsidP="005808FC">
      <w:pPr>
        <w:pStyle w:val="Obinitekst1"/>
        <w:numPr>
          <w:ilvl w:val="0"/>
          <w:numId w:val="6"/>
        </w:numPr>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Praćenje</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kontrola postignutih smanjenja emisija CO</w:t>
      </w:r>
      <w:r w:rsidRPr="00291DF5">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 svaku mjeru prema Planu.</w:t>
      </w:r>
    </w:p>
    <w:p w14:paraId="4BEF1CA7"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2F2AFFB2" w14:textId="39AC95B4"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Jedini način uspješnog praćenja postignutih ušteda u različitim sektorima</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njihovim podsektorima kao</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zadovoljenja postavljenih ciljeva smanjenja emisija CO</w:t>
      </w:r>
      <w:r w:rsidRPr="00291DF5">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kako za pojedinu mjeru tako</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za provedbu Plana u cjelini je izrada novog Registra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 Grad Zagreb. Prema preporukama Europske komisije najbolji bi se rezultati cjelokupnog Procesa izrade, provedbe</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praćenja Akcijskog plana energetski održivog razvitka Grada Zagreba postigli izradom novog Registra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svake dvije godine pri čemu je važno da je metodologija njegove izrade identična metodologiji prema kojoj je izrađen Referentni registar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 2008. godinu.</w:t>
      </w:r>
    </w:p>
    <w:p w14:paraId="1FA01F04" w14:textId="1334A335"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Jedino unificirana metodologija izrade registra omogućuje njihovu usporedbu</w:t>
      </w:r>
      <w:r w:rsidR="000509A0">
        <w:rPr>
          <w:rFonts w:asciiTheme="minorHAnsi" w:hAnsiTheme="minorHAnsi" w:cstheme="minorBidi"/>
          <w:sz w:val="22"/>
          <w:szCs w:val="22"/>
          <w:lang w:val="hr-HR"/>
        </w:rPr>
        <w:t xml:space="preserve"> i </w:t>
      </w:r>
      <w:r w:rsidRPr="003E50D1">
        <w:rPr>
          <w:rFonts w:asciiTheme="minorHAnsi" w:hAnsiTheme="minorHAnsi" w:cstheme="minorBidi"/>
          <w:sz w:val="22"/>
          <w:szCs w:val="22"/>
          <w:lang w:val="hr-HR"/>
        </w:rPr>
        <w:t>u konačnici odgovor na pitanje da li su postavljeni ciljevi smanjenja emisija CO</w:t>
      </w:r>
      <w:r w:rsidRPr="00291DF5">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xml:space="preserve"> zadovoljeni. Najbolji rezultati postižu se revizijama Akcijskog plana na bazi analize postignutih rezultata (provedenih mjera, ostvarenih ušteda, smanjenja emisija CO</w:t>
      </w:r>
      <w:r w:rsidRPr="005808FC">
        <w:rPr>
          <w:rFonts w:asciiTheme="minorHAnsi" w:hAnsiTheme="minorHAnsi" w:cstheme="minorBidi"/>
          <w:sz w:val="22"/>
          <w:szCs w:val="22"/>
          <w:vertAlign w:val="subscript"/>
          <w:lang w:val="hr-HR"/>
        </w:rPr>
        <w:t>2</w:t>
      </w:r>
      <w:r w:rsidRPr="005808FC">
        <w:rPr>
          <w:rFonts w:asciiTheme="minorHAnsi" w:hAnsiTheme="minorHAnsi" w:cstheme="minorBidi"/>
          <w:sz w:val="22"/>
          <w:szCs w:val="22"/>
          <w:lang w:val="hr-HR"/>
        </w:rPr>
        <w:t>) te prijedlog eventualnih novih mjera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prioritetnih aktivnosti bazirano na konkretnim rezultatima</w:t>
      </w:r>
      <w:r w:rsidR="000509A0">
        <w:rPr>
          <w:rFonts w:asciiTheme="minorHAnsi" w:hAnsiTheme="minorHAnsi" w:cstheme="minorBidi"/>
          <w:sz w:val="22"/>
          <w:szCs w:val="22"/>
          <w:lang w:val="hr-HR"/>
        </w:rPr>
        <w:t xml:space="preserve"> i </w:t>
      </w:r>
      <w:r w:rsidRPr="00291DF5">
        <w:rPr>
          <w:rFonts w:asciiTheme="minorHAnsi" w:hAnsiTheme="minorHAnsi" w:cstheme="minorBidi"/>
          <w:sz w:val="22"/>
          <w:szCs w:val="22"/>
          <w:lang w:val="hr-HR"/>
        </w:rPr>
        <w:t xml:space="preserve">podacima iz Registra emisija. </w:t>
      </w:r>
    </w:p>
    <w:p w14:paraId="5CD29DA4" w14:textId="77777777" w:rsidR="008B5153" w:rsidRPr="00922031" w:rsidRDefault="008B5153" w:rsidP="00975CD4">
      <w:pPr>
        <w:pStyle w:val="Obinitekst1"/>
        <w:spacing w:line="276" w:lineRule="auto"/>
        <w:jc w:val="both"/>
        <w:rPr>
          <w:rFonts w:asciiTheme="minorHAnsi" w:hAnsiTheme="minorHAnsi" w:cstheme="minorHAnsi"/>
          <w:sz w:val="22"/>
          <w:szCs w:val="22"/>
          <w:lang w:val="hr-HR"/>
        </w:rPr>
      </w:pPr>
    </w:p>
    <w:p w14:paraId="16F67778" w14:textId="766CA3A6" w:rsidR="008B5153" w:rsidRPr="005808FC" w:rsidRDefault="008B5153" w:rsidP="005808FC">
      <w:pPr>
        <w:pStyle w:val="Obinitekst1"/>
        <w:spacing w:line="276" w:lineRule="auto"/>
        <w:jc w:val="both"/>
        <w:rPr>
          <w:rFonts w:asciiTheme="minorHAnsi" w:hAnsiTheme="minorHAnsi" w:cstheme="minorBidi"/>
          <w:sz w:val="22"/>
          <w:szCs w:val="22"/>
          <w:lang w:val="hr-HR"/>
        </w:rPr>
      </w:pPr>
      <w:r w:rsidRPr="003E50D1">
        <w:rPr>
          <w:rFonts w:asciiTheme="minorHAnsi" w:hAnsiTheme="minorHAnsi" w:cstheme="minorBidi"/>
          <w:sz w:val="22"/>
          <w:szCs w:val="22"/>
          <w:lang w:val="hr-HR"/>
        </w:rPr>
        <w:t xml:space="preserve">Prema tim uputama, u okviru Revizije Akcijskog plana energetske učinkovitosti, 2015. godine je izrađen </w:t>
      </w:r>
      <w:r w:rsidR="008173A9" w:rsidRPr="00291DF5">
        <w:rPr>
          <w:rFonts w:asciiTheme="minorHAnsi" w:hAnsiTheme="minorHAnsi" w:cstheme="minorBidi"/>
          <w:sz w:val="22"/>
          <w:szCs w:val="22"/>
          <w:lang w:val="hr-HR"/>
        </w:rPr>
        <w:t>Kontrolni</w:t>
      </w:r>
      <w:r w:rsidRPr="005808FC">
        <w:rPr>
          <w:rFonts w:asciiTheme="minorHAnsi" w:hAnsiTheme="minorHAnsi" w:cstheme="minorBidi"/>
          <w:sz w:val="22"/>
          <w:szCs w:val="22"/>
          <w:lang w:val="hr-HR"/>
        </w:rPr>
        <w:t xml:space="preserve"> inventar emisija CO</w:t>
      </w:r>
      <w:r w:rsidRPr="005808FC">
        <w:rPr>
          <w:rFonts w:asciiTheme="minorHAnsi" w:hAnsiTheme="minorHAnsi" w:cstheme="minorBidi"/>
          <w:sz w:val="22"/>
          <w:szCs w:val="22"/>
          <w:vertAlign w:val="subscript"/>
          <w:lang w:val="hr-HR"/>
        </w:rPr>
        <w:t>2</w:t>
      </w:r>
      <w:r w:rsidR="00120783">
        <w:rPr>
          <w:rFonts w:asciiTheme="minorHAnsi" w:hAnsiTheme="minorHAnsi" w:cstheme="minorBidi"/>
          <w:sz w:val="22"/>
          <w:szCs w:val="22"/>
          <w:vertAlign w:val="subscript"/>
          <w:lang w:val="hr-HR"/>
        </w:rPr>
        <w:t xml:space="preserve"> </w:t>
      </w:r>
      <w:r w:rsidR="00C762A1" w:rsidRPr="005808FC">
        <w:rPr>
          <w:rFonts w:asciiTheme="minorHAnsi" w:hAnsiTheme="minorHAnsi" w:cstheme="minorBidi"/>
          <w:sz w:val="22"/>
          <w:szCs w:val="22"/>
          <w:lang w:val="hr-HR"/>
        </w:rPr>
        <w:t>(MEI)</w:t>
      </w:r>
      <w:r w:rsidRPr="005808FC">
        <w:rPr>
          <w:rFonts w:asciiTheme="minorHAnsi" w:hAnsiTheme="minorHAnsi" w:cstheme="minorBidi"/>
          <w:sz w:val="22"/>
          <w:szCs w:val="22"/>
          <w:lang w:val="hr-HR"/>
        </w:rPr>
        <w:t xml:space="preserve">. </w:t>
      </w:r>
    </w:p>
    <w:p w14:paraId="37DD00AE" w14:textId="346FDE5D" w:rsidR="00612F5E" w:rsidRPr="00922031" w:rsidRDefault="00612F5E" w:rsidP="00975CD4">
      <w:pPr>
        <w:pStyle w:val="Obinitekst1"/>
        <w:spacing w:line="276" w:lineRule="auto"/>
        <w:jc w:val="both"/>
        <w:rPr>
          <w:rFonts w:asciiTheme="minorHAnsi" w:hAnsiTheme="minorHAnsi" w:cstheme="minorHAnsi"/>
          <w:sz w:val="22"/>
          <w:szCs w:val="22"/>
          <w:lang w:val="hr-HR"/>
        </w:rPr>
      </w:pPr>
    </w:p>
    <w:p w14:paraId="567651C1" w14:textId="105ABEB8" w:rsidR="00EB7193" w:rsidRPr="00922031" w:rsidRDefault="00EB7193">
      <w:r w:rsidRPr="003E50D1">
        <w:t xml:space="preserve">Grad Zagreb </w:t>
      </w:r>
      <w:r w:rsidR="00975CD4" w:rsidRPr="003E50D1">
        <w:t>odabrao je</w:t>
      </w:r>
      <w:r w:rsidRPr="00291DF5">
        <w:t xml:space="preserve"> opciju praćenja postignutih ušteda</w:t>
      </w:r>
      <w:r w:rsidR="000509A0">
        <w:t xml:space="preserve"> i </w:t>
      </w:r>
      <w:r w:rsidRPr="00291DF5">
        <w:t>napretka u smanjenju emisija CO</w:t>
      </w:r>
      <w:r w:rsidRPr="005808FC">
        <w:rPr>
          <w:vertAlign w:val="subscript"/>
        </w:rPr>
        <w:t>2</w:t>
      </w:r>
      <w:r w:rsidRPr="005808FC">
        <w:t xml:space="preserve"> te izradu Izvješća o statusu aktivnosti svake dvije godine (prijava obrasca koji ne uključuje inventar emisija) te Ukupnog izvješća svaka četiri godine uključivo sa statusom aktivnosti</w:t>
      </w:r>
      <w:r w:rsidR="000509A0">
        <w:t xml:space="preserve"> i </w:t>
      </w:r>
      <w:r w:rsidRPr="00291DF5">
        <w:t xml:space="preserve">barem jednim </w:t>
      </w:r>
      <w:r w:rsidR="00C762A1" w:rsidRPr="005808FC">
        <w:t>Kontrolnim</w:t>
      </w:r>
      <w:r w:rsidRPr="005808FC">
        <w:t xml:space="preserve"> inventarom emisija (MEI obrazac).</w:t>
      </w:r>
    </w:p>
    <w:p w14:paraId="0A64C215" w14:textId="77777777" w:rsidR="00EB7193" w:rsidRPr="00922031" w:rsidRDefault="00EB7193" w:rsidP="00975CD4">
      <w:pPr>
        <w:pStyle w:val="Obinitekst1"/>
        <w:spacing w:line="276" w:lineRule="auto"/>
        <w:jc w:val="both"/>
        <w:rPr>
          <w:rFonts w:asciiTheme="minorHAnsi" w:hAnsiTheme="minorHAnsi" w:cstheme="minorHAnsi"/>
          <w:sz w:val="22"/>
          <w:szCs w:val="22"/>
          <w:lang w:val="hr-HR"/>
        </w:rPr>
      </w:pPr>
    </w:p>
    <w:p w14:paraId="4B73505B" w14:textId="7386392A" w:rsidR="008B5153" w:rsidRPr="00922031" w:rsidRDefault="008B5153" w:rsidP="00316500">
      <w:pPr>
        <w:pStyle w:val="Heading3"/>
      </w:pPr>
      <w:bookmarkStart w:id="40" w:name="_Toc4156072"/>
      <w:r w:rsidRPr="00922031">
        <w:t>Identificirani rizici provedbe</w:t>
      </w:r>
      <w:bookmarkEnd w:id="40"/>
    </w:p>
    <w:p w14:paraId="21DE8688" w14:textId="7B9F2289" w:rsidR="00501944" w:rsidRPr="00922031" w:rsidRDefault="2C71D356">
      <w:r>
        <w:t>Prilikom praćenja procesa provedbe, važno je pratiti i minimalizirati rizike. Covenant of Mayors u dokumentu ''</w:t>
      </w:r>
      <w:r w:rsidRPr="00544C30">
        <w:rPr>
          <w:i/>
        </w:rPr>
        <w:t>Reporting template</w:t>
      </w:r>
      <w:r>
        <w:t>'' iznosi rizike koji su uočeni na najvećem broju primjera. Prema tom dokumentu, rizici za provedbu Plana su dani u Tablici 3.1. Identificirani rizici za provedbu Akcijskog plana energetski održivog razvoja i prilagodbe na klimatske promjene prema Obrascu za izvještavanje Sporazuma gradonačelnika. Ovi rizici će se pratiti prilikom provedbe Plana kako bi se umanjio njihov utjecaj. Za potrebe planiranja i upravljanja rizicima, u tablici je dana kvalitativna procjena iznesenih rizika.</w:t>
      </w:r>
    </w:p>
    <w:p w14:paraId="5C8DB7A8" w14:textId="77777777" w:rsidR="00501944" w:rsidRPr="00922031" w:rsidRDefault="00501944">
      <w:pPr>
        <w:rPr>
          <w:rFonts w:cstheme="minorHAnsi"/>
        </w:rPr>
      </w:pPr>
      <w:r w:rsidRPr="00922031">
        <w:rPr>
          <w:rFonts w:cstheme="minorHAnsi"/>
        </w:rPr>
        <w:br w:type="page"/>
      </w:r>
    </w:p>
    <w:p w14:paraId="70DBD037" w14:textId="556636EE" w:rsidR="008B5153" w:rsidRPr="00922031" w:rsidRDefault="00C678AC" w:rsidP="00C678AC">
      <w:pPr>
        <w:pStyle w:val="Heading8"/>
      </w:pPr>
      <w:bookmarkStart w:id="41" w:name="_Toc4155990"/>
      <w:r>
        <w:lastRenderedPageBreak/>
        <w:t xml:space="preserve">Tablica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3</w:t>
      </w:r>
      <w:r w:rsidR="00CA6C6C" w:rsidRPr="005808FC">
        <w:fldChar w:fldCharType="end"/>
      </w:r>
      <w:r w:rsidR="0019556A">
        <w:t>.</w:t>
      </w:r>
      <w:r w:rsidR="00CA6C6C" w:rsidRPr="005808FC">
        <w:fldChar w:fldCharType="begin"/>
      </w:r>
      <w:r w:rsidR="00CA6C6C">
        <w:rPr>
          <w:noProof/>
        </w:rPr>
        <w:instrText xml:space="preserve"> SEQ Tablica \* ARABIC \s 1 </w:instrText>
      </w:r>
      <w:r w:rsidR="00CA6C6C" w:rsidRPr="005808FC">
        <w:rPr>
          <w:noProof/>
        </w:rPr>
        <w:fldChar w:fldCharType="separate"/>
      </w:r>
      <w:r w:rsidR="0019556A">
        <w:rPr>
          <w:noProof/>
        </w:rPr>
        <w:t>1</w:t>
      </w:r>
      <w:r w:rsidR="00CA6C6C" w:rsidRPr="005808FC">
        <w:fldChar w:fldCharType="end"/>
      </w:r>
      <w:r w:rsidR="00244D74">
        <w:t xml:space="preserve"> -</w:t>
      </w:r>
      <w:r w:rsidR="00B25B9E">
        <w:t xml:space="preserve"> </w:t>
      </w:r>
      <w:r w:rsidR="008B5153" w:rsidRPr="00922031">
        <w:t>Identificirani rizici za provedbu Akcijskog plana energetski održivog razvoja</w:t>
      </w:r>
      <w:r w:rsidR="000509A0">
        <w:t xml:space="preserve"> i </w:t>
      </w:r>
      <w:r w:rsidR="008B5153" w:rsidRPr="00922031">
        <w:t xml:space="preserve">prilagodbe na klimatske promjene prema </w:t>
      </w:r>
      <w:r w:rsidR="00EC2297" w:rsidRPr="00922031">
        <w:t>Obrascu</w:t>
      </w:r>
      <w:r w:rsidR="008B5153" w:rsidRPr="00922031">
        <w:t xml:space="preserve"> za izvještavanje Sporazuma gradonačelnika</w:t>
      </w:r>
      <w:r w:rsidR="000509A0">
        <w:t xml:space="preserve"> i </w:t>
      </w:r>
      <w:r w:rsidR="008B5153" w:rsidRPr="00922031">
        <w:t>kvalitativna ocjena identificiranih rizika</w:t>
      </w:r>
      <w:bookmarkEnd w:id="41"/>
      <w:r w:rsidR="008B5153" w:rsidRPr="00922031">
        <w:t xml:space="preserve"> </w:t>
      </w:r>
    </w:p>
    <w:tbl>
      <w:tblPr>
        <w:tblStyle w:val="TableGrid"/>
        <w:tblW w:w="9134" w:type="dxa"/>
        <w:jc w:val="center"/>
        <w:tblLook w:val="04A0" w:firstRow="1" w:lastRow="0" w:firstColumn="1" w:lastColumn="0" w:noHBand="0" w:noVBand="1"/>
      </w:tblPr>
      <w:tblGrid>
        <w:gridCol w:w="6115"/>
        <w:gridCol w:w="3019"/>
      </w:tblGrid>
      <w:tr w:rsidR="008B5153" w:rsidRPr="00922031" w14:paraId="3E0E5E1B" w14:textId="77777777" w:rsidTr="00693B4B">
        <w:trPr>
          <w:trHeight w:val="20"/>
          <w:jc w:val="center"/>
        </w:trPr>
        <w:tc>
          <w:tcPr>
            <w:tcW w:w="6115" w:type="dxa"/>
            <w:shd w:val="clear" w:color="auto" w:fill="C6D9F1" w:themeFill="text2" w:themeFillTint="33"/>
            <w:noWrap/>
          </w:tcPr>
          <w:p w14:paraId="3BCFD2C1" w14:textId="77777777" w:rsidR="008B5153" w:rsidRPr="005808FC" w:rsidRDefault="008B5153" w:rsidP="005808FC">
            <w:pPr>
              <w:spacing w:line="276" w:lineRule="auto"/>
              <w:rPr>
                <w:rFonts w:eastAsia="Times New Roman"/>
                <w:b/>
                <w:bCs/>
                <w:sz w:val="20"/>
                <w:szCs w:val="20"/>
                <w:lang w:eastAsia="hr-HR"/>
              </w:rPr>
            </w:pPr>
            <w:r w:rsidRPr="003E50D1">
              <w:rPr>
                <w:rFonts w:eastAsia="Times New Roman"/>
                <w:b/>
                <w:bCs/>
                <w:sz w:val="20"/>
                <w:szCs w:val="20"/>
                <w:lang w:eastAsia="hr-HR"/>
              </w:rPr>
              <w:t>Rizik</w:t>
            </w:r>
          </w:p>
        </w:tc>
        <w:tc>
          <w:tcPr>
            <w:tcW w:w="3019" w:type="dxa"/>
            <w:shd w:val="clear" w:color="auto" w:fill="C6D9F1" w:themeFill="text2" w:themeFillTint="33"/>
          </w:tcPr>
          <w:p w14:paraId="2ED50ADC" w14:textId="77777777" w:rsidR="008B5153" w:rsidRPr="005808FC" w:rsidRDefault="008B5153" w:rsidP="005808FC">
            <w:pPr>
              <w:spacing w:line="276" w:lineRule="auto"/>
              <w:rPr>
                <w:rFonts w:eastAsia="Times New Roman"/>
                <w:b/>
                <w:bCs/>
                <w:sz w:val="20"/>
                <w:szCs w:val="20"/>
                <w:lang w:eastAsia="hr-HR"/>
              </w:rPr>
            </w:pPr>
            <w:r w:rsidRPr="003E50D1">
              <w:rPr>
                <w:rFonts w:eastAsia="Times New Roman"/>
                <w:b/>
                <w:bCs/>
                <w:sz w:val="20"/>
                <w:szCs w:val="20"/>
                <w:lang w:eastAsia="hr-HR"/>
              </w:rPr>
              <w:t>Ocjena – visoki /srednji/niski</w:t>
            </w:r>
          </w:p>
        </w:tc>
      </w:tr>
      <w:tr w:rsidR="008B5153" w:rsidRPr="00922031" w14:paraId="2B784BD0" w14:textId="77777777" w:rsidTr="00693B4B">
        <w:trPr>
          <w:trHeight w:val="20"/>
          <w:jc w:val="center"/>
        </w:trPr>
        <w:tc>
          <w:tcPr>
            <w:tcW w:w="6115" w:type="dxa"/>
            <w:shd w:val="clear" w:color="auto" w:fill="F2DBDB" w:themeFill="accent2" w:themeFillTint="33"/>
            <w:noWrap/>
            <w:hideMark/>
          </w:tcPr>
          <w:p w14:paraId="483D16E3"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Ograničena financijska sredstva</w:t>
            </w:r>
          </w:p>
        </w:tc>
        <w:tc>
          <w:tcPr>
            <w:tcW w:w="3019" w:type="dxa"/>
            <w:vAlign w:val="center"/>
          </w:tcPr>
          <w:p w14:paraId="6AA3DD93"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srednji</w:t>
            </w:r>
          </w:p>
        </w:tc>
      </w:tr>
      <w:tr w:rsidR="008B5153" w:rsidRPr="00922031" w14:paraId="0F2CD9A7" w14:textId="77777777" w:rsidTr="00693B4B">
        <w:trPr>
          <w:trHeight w:val="20"/>
          <w:jc w:val="center"/>
        </w:trPr>
        <w:tc>
          <w:tcPr>
            <w:tcW w:w="6115" w:type="dxa"/>
            <w:shd w:val="clear" w:color="auto" w:fill="F2DBDB" w:themeFill="accent2" w:themeFillTint="33"/>
            <w:noWrap/>
            <w:hideMark/>
          </w:tcPr>
          <w:p w14:paraId="41012442"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Nepostojanje ili slabi regulatorni okviri</w:t>
            </w:r>
          </w:p>
        </w:tc>
        <w:tc>
          <w:tcPr>
            <w:tcW w:w="3019" w:type="dxa"/>
            <w:vAlign w:val="center"/>
          </w:tcPr>
          <w:p w14:paraId="63D8CC92"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niski</w:t>
            </w:r>
          </w:p>
        </w:tc>
      </w:tr>
      <w:tr w:rsidR="008B5153" w:rsidRPr="00922031" w14:paraId="4B67CD7F" w14:textId="77777777" w:rsidTr="00693B4B">
        <w:trPr>
          <w:trHeight w:val="20"/>
          <w:jc w:val="center"/>
        </w:trPr>
        <w:tc>
          <w:tcPr>
            <w:tcW w:w="6115" w:type="dxa"/>
            <w:shd w:val="clear" w:color="auto" w:fill="F2DBDB" w:themeFill="accent2" w:themeFillTint="33"/>
            <w:noWrap/>
            <w:hideMark/>
          </w:tcPr>
          <w:p w14:paraId="46A6A2A0"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Pomanjkanje tehničke ekspertize</w:t>
            </w:r>
          </w:p>
        </w:tc>
        <w:tc>
          <w:tcPr>
            <w:tcW w:w="3019" w:type="dxa"/>
            <w:vAlign w:val="center"/>
          </w:tcPr>
          <w:p w14:paraId="01B9AE7E"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niski</w:t>
            </w:r>
          </w:p>
        </w:tc>
      </w:tr>
      <w:tr w:rsidR="008B5153" w:rsidRPr="00922031" w14:paraId="5222123B" w14:textId="77777777" w:rsidTr="00693B4B">
        <w:trPr>
          <w:trHeight w:val="20"/>
          <w:jc w:val="center"/>
        </w:trPr>
        <w:tc>
          <w:tcPr>
            <w:tcW w:w="6115" w:type="dxa"/>
            <w:shd w:val="clear" w:color="auto" w:fill="F2DBDB" w:themeFill="accent2" w:themeFillTint="33"/>
          </w:tcPr>
          <w:p w14:paraId="6843640B"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Pomanjkanje podrške ključnih dionika</w:t>
            </w:r>
          </w:p>
        </w:tc>
        <w:tc>
          <w:tcPr>
            <w:tcW w:w="3019" w:type="dxa"/>
            <w:vAlign w:val="center"/>
          </w:tcPr>
          <w:p w14:paraId="7C61E1D8"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visoki</w:t>
            </w:r>
          </w:p>
        </w:tc>
      </w:tr>
      <w:tr w:rsidR="008B5153" w:rsidRPr="00922031" w14:paraId="43F1164E" w14:textId="77777777" w:rsidTr="00693B4B">
        <w:trPr>
          <w:trHeight w:val="20"/>
          <w:jc w:val="center"/>
        </w:trPr>
        <w:tc>
          <w:tcPr>
            <w:tcW w:w="6115" w:type="dxa"/>
            <w:shd w:val="clear" w:color="auto" w:fill="F2DBDB" w:themeFill="accent2" w:themeFillTint="33"/>
            <w:noWrap/>
            <w:hideMark/>
          </w:tcPr>
          <w:p w14:paraId="00223788"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Pomanjkanje političke podrške na drugim administrativnim razinama</w:t>
            </w:r>
          </w:p>
        </w:tc>
        <w:tc>
          <w:tcPr>
            <w:tcW w:w="3019" w:type="dxa"/>
            <w:vAlign w:val="center"/>
          </w:tcPr>
          <w:p w14:paraId="3BB90492"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srednji</w:t>
            </w:r>
          </w:p>
        </w:tc>
      </w:tr>
      <w:tr w:rsidR="008B5153" w:rsidRPr="00922031" w14:paraId="40FE967F" w14:textId="77777777" w:rsidTr="00693B4B">
        <w:trPr>
          <w:trHeight w:val="20"/>
          <w:jc w:val="center"/>
        </w:trPr>
        <w:tc>
          <w:tcPr>
            <w:tcW w:w="6115" w:type="dxa"/>
            <w:shd w:val="clear" w:color="auto" w:fill="F2DBDB" w:themeFill="accent2" w:themeFillTint="33"/>
            <w:noWrap/>
            <w:hideMark/>
          </w:tcPr>
          <w:p w14:paraId="12F17838"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Promjene prioriteta lokalne politike</w:t>
            </w:r>
          </w:p>
        </w:tc>
        <w:tc>
          <w:tcPr>
            <w:tcW w:w="3019" w:type="dxa"/>
            <w:vAlign w:val="center"/>
          </w:tcPr>
          <w:p w14:paraId="549DB391"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srednji</w:t>
            </w:r>
          </w:p>
        </w:tc>
      </w:tr>
      <w:tr w:rsidR="008B5153" w:rsidRPr="00922031" w14:paraId="05786799" w14:textId="77777777" w:rsidTr="00693B4B">
        <w:trPr>
          <w:trHeight w:val="20"/>
          <w:jc w:val="center"/>
        </w:trPr>
        <w:tc>
          <w:tcPr>
            <w:tcW w:w="6115" w:type="dxa"/>
            <w:shd w:val="clear" w:color="auto" w:fill="F2DBDB" w:themeFill="accent2" w:themeFillTint="33"/>
            <w:noWrap/>
            <w:hideMark/>
          </w:tcPr>
          <w:p w14:paraId="01E0514B"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Nekompatibilnost s nacionalnim političkim orijentacijama</w:t>
            </w:r>
          </w:p>
        </w:tc>
        <w:tc>
          <w:tcPr>
            <w:tcW w:w="3019" w:type="dxa"/>
            <w:vAlign w:val="center"/>
          </w:tcPr>
          <w:p w14:paraId="159B64D8"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niski</w:t>
            </w:r>
          </w:p>
        </w:tc>
      </w:tr>
      <w:tr w:rsidR="008B5153" w:rsidRPr="00922031" w14:paraId="66A22A5E" w14:textId="77777777" w:rsidTr="00693B4B">
        <w:trPr>
          <w:trHeight w:val="20"/>
          <w:jc w:val="center"/>
        </w:trPr>
        <w:tc>
          <w:tcPr>
            <w:tcW w:w="6115" w:type="dxa"/>
            <w:shd w:val="clear" w:color="auto" w:fill="F2DBDB" w:themeFill="accent2" w:themeFillTint="33"/>
            <w:noWrap/>
          </w:tcPr>
          <w:p w14:paraId="772B1ABE" w14:textId="77777777" w:rsidR="008B5153" w:rsidRPr="005808FC" w:rsidRDefault="008B5153" w:rsidP="005808FC">
            <w:pPr>
              <w:spacing w:line="276" w:lineRule="auto"/>
              <w:jc w:val="left"/>
              <w:rPr>
                <w:rFonts w:eastAsia="Times New Roman"/>
                <w:b/>
                <w:bCs/>
                <w:sz w:val="20"/>
                <w:szCs w:val="20"/>
                <w:lang w:eastAsia="hr-HR"/>
              </w:rPr>
            </w:pPr>
            <w:r w:rsidRPr="003E50D1">
              <w:rPr>
                <w:rFonts w:eastAsia="Times New Roman"/>
                <w:b/>
                <w:bCs/>
                <w:sz w:val="20"/>
                <w:szCs w:val="20"/>
                <w:lang w:eastAsia="hr-HR"/>
              </w:rPr>
              <w:t>Visoki troškovi ili nezrelost dostupnih tehnologija</w:t>
            </w:r>
          </w:p>
        </w:tc>
        <w:tc>
          <w:tcPr>
            <w:tcW w:w="3019" w:type="dxa"/>
            <w:vAlign w:val="center"/>
          </w:tcPr>
          <w:p w14:paraId="4BADD3C6" w14:textId="77777777" w:rsidR="008B5153" w:rsidRPr="005808FC" w:rsidRDefault="008B5153" w:rsidP="005808FC">
            <w:pPr>
              <w:spacing w:line="276" w:lineRule="auto"/>
              <w:jc w:val="center"/>
              <w:rPr>
                <w:rFonts w:eastAsia="Times New Roman"/>
                <w:sz w:val="20"/>
                <w:szCs w:val="20"/>
                <w:lang w:eastAsia="hr-HR"/>
              </w:rPr>
            </w:pPr>
            <w:r w:rsidRPr="003E50D1">
              <w:rPr>
                <w:rFonts w:eastAsia="Times New Roman"/>
                <w:sz w:val="20"/>
                <w:szCs w:val="20"/>
                <w:lang w:eastAsia="hr-HR"/>
              </w:rPr>
              <w:t>visoki</w:t>
            </w:r>
          </w:p>
        </w:tc>
      </w:tr>
    </w:tbl>
    <w:p w14:paraId="3E9EEF34" w14:textId="77777777" w:rsidR="00427D89" w:rsidRPr="00922031" w:rsidRDefault="00427D89" w:rsidP="00975CD4">
      <w:pPr>
        <w:rPr>
          <w:rFonts w:cstheme="minorHAnsi"/>
          <w:b/>
        </w:rPr>
      </w:pPr>
    </w:p>
    <w:p w14:paraId="76405760" w14:textId="5B67F7EC" w:rsidR="008B5153" w:rsidRPr="00922031" w:rsidRDefault="008B5153" w:rsidP="00316500">
      <w:pPr>
        <w:pStyle w:val="Heading3"/>
      </w:pPr>
      <w:bookmarkStart w:id="42" w:name="_Toc4156073"/>
      <w:r w:rsidRPr="00922031">
        <w:t>Izvještavanje</w:t>
      </w:r>
      <w:bookmarkEnd w:id="42"/>
    </w:p>
    <w:p w14:paraId="1D64E80D" w14:textId="22FCE053" w:rsidR="008B5153" w:rsidRPr="00922031" w:rsidRDefault="008B5153">
      <w:r w:rsidRPr="003E50D1">
        <w:t>Pristupanjem Sporazumu gradonačelnika gradovi su se obvezali na izradu Akcijskog plana energetski održivog razvitka</w:t>
      </w:r>
      <w:r w:rsidR="000509A0">
        <w:t xml:space="preserve"> i </w:t>
      </w:r>
      <w:r w:rsidRPr="003E50D1">
        <w:t xml:space="preserve">prilagodbe </w:t>
      </w:r>
      <w:r w:rsidR="006655F9">
        <w:t>klimatskim</w:t>
      </w:r>
      <w:r w:rsidR="006655F9" w:rsidRPr="003E50D1">
        <w:t xml:space="preserve"> </w:t>
      </w:r>
      <w:r w:rsidRPr="003E50D1">
        <w:t xml:space="preserve">promjenama unutar </w:t>
      </w:r>
      <w:r w:rsidR="00975CD4" w:rsidRPr="00291DF5">
        <w:t>dvije</w:t>
      </w:r>
      <w:r w:rsidRPr="005808FC">
        <w:t xml:space="preserve"> godine od dana pristupanja Sporazumu te na kontinuirano izvještavanje Europske komisije o dinamici</w:t>
      </w:r>
      <w:r w:rsidR="000509A0">
        <w:t xml:space="preserve"> i </w:t>
      </w:r>
      <w:r w:rsidRPr="00291DF5">
        <w:t xml:space="preserve">uspješnosti njegove provedbe. </w:t>
      </w:r>
    </w:p>
    <w:p w14:paraId="4326FD09" w14:textId="1E4120FD" w:rsidR="008B5153" w:rsidRPr="00922031" w:rsidRDefault="008B5153">
      <w:r w:rsidRPr="003E50D1">
        <w:t>Sporazum gradonačelnika je</w:t>
      </w:r>
      <w:r w:rsidRPr="003E50D1">
        <w:rPr>
          <w:color w:val="FF0000"/>
        </w:rPr>
        <w:t xml:space="preserve"> </w:t>
      </w:r>
      <w:r w:rsidRPr="00291DF5">
        <w:t>objavio obrasce u koje treba unijeti glavne par</w:t>
      </w:r>
      <w:r w:rsidRPr="005808FC">
        <w:t>ametre Akcijskog plana (odgovornu osobu, energetske potrošnje</w:t>
      </w:r>
      <w:r w:rsidR="000509A0">
        <w:t xml:space="preserve"> i </w:t>
      </w:r>
      <w:r w:rsidRPr="00291DF5">
        <w:t>emisije CO</w:t>
      </w:r>
      <w:r w:rsidRPr="005808FC">
        <w:rPr>
          <w:vertAlign w:val="subscript"/>
        </w:rPr>
        <w:t>2</w:t>
      </w:r>
      <w:r w:rsidRPr="005808FC">
        <w:t xml:space="preserve"> prema EC klasifikaciji sektora, identificirane mjere energetske učinkovitosti, postavljene ciljeve</w:t>
      </w:r>
      <w:r w:rsidR="000509A0">
        <w:t xml:space="preserve"> i </w:t>
      </w:r>
      <w:r w:rsidRPr="00291DF5">
        <w:t xml:space="preserve">dr.). </w:t>
      </w:r>
    </w:p>
    <w:p w14:paraId="49C61298" w14:textId="439B469A" w:rsidR="008B5153" w:rsidRPr="00922031" w:rsidRDefault="008B5153">
      <w:r w:rsidRPr="003E50D1">
        <w:t>Zajednica Sporazuma gradonačelnika uvidjela je da proces izvještavanja unutar svake dvije godine zahtjeva alokaciju značajnih financijskih</w:t>
      </w:r>
      <w:r w:rsidR="000509A0">
        <w:t xml:space="preserve"> i </w:t>
      </w:r>
      <w:r w:rsidRPr="003E50D1">
        <w:t>ljudskih resursa te iz tog razloga ostavlja na izbor dvije mogućnosti:</w:t>
      </w:r>
    </w:p>
    <w:p w14:paraId="4EC42044" w14:textId="77777777" w:rsidR="008B5153" w:rsidRPr="00922031" w:rsidRDefault="008B5153">
      <w:pPr>
        <w:pStyle w:val="ListParagraph"/>
        <w:numPr>
          <w:ilvl w:val="0"/>
          <w:numId w:val="12"/>
        </w:numPr>
      </w:pPr>
      <w:r w:rsidRPr="003E50D1">
        <w:t>Izvještavanje svake dvije godine;</w:t>
      </w:r>
    </w:p>
    <w:p w14:paraId="5516C2BE" w14:textId="36F060BB" w:rsidR="008B5153" w:rsidRPr="00922031" w:rsidRDefault="008B5153">
      <w:pPr>
        <w:pStyle w:val="ListParagraph"/>
        <w:numPr>
          <w:ilvl w:val="0"/>
          <w:numId w:val="12"/>
        </w:numPr>
      </w:pPr>
      <w:r w:rsidRPr="003E50D1">
        <w:t>Izrada Izvješća o statusu aktivnosti svake dvije godine (prijava obrasca koji ne uključuje inventar emisija) te Ukupnog izvješća svake četiri godine uključivo sa statusom aktivnosti</w:t>
      </w:r>
      <w:r w:rsidR="000509A0">
        <w:t xml:space="preserve"> i </w:t>
      </w:r>
      <w:r w:rsidRPr="003E50D1">
        <w:t xml:space="preserve">barem jednim </w:t>
      </w:r>
      <w:r w:rsidR="008173A9" w:rsidRPr="00291DF5">
        <w:t>Kontrolni</w:t>
      </w:r>
      <w:r w:rsidRPr="005808FC">
        <w:t>m inventarom emisija (MEI obrazac)</w:t>
      </w:r>
    </w:p>
    <w:p w14:paraId="6539DE65" w14:textId="3EBBB728" w:rsidR="008B5153" w:rsidRPr="00922031" w:rsidRDefault="008B5153">
      <w:r w:rsidRPr="003E50D1">
        <w:t>Grad Zagreb odlučio se za opciju izrade Izvješća o statusu aktivnosti svake dvije godine (prijava obrasca koji ne uključuje inventar emisija) te Ukupnog izvješća svaka četiri godine uključivo sa statusom aktivnosti</w:t>
      </w:r>
      <w:r w:rsidR="000509A0">
        <w:t xml:space="preserve"> i </w:t>
      </w:r>
      <w:r w:rsidRPr="003E50D1">
        <w:t xml:space="preserve">barem jednim </w:t>
      </w:r>
      <w:r w:rsidR="00C762A1" w:rsidRPr="00291DF5">
        <w:t>Kontrolnim</w:t>
      </w:r>
      <w:r w:rsidRPr="005808FC">
        <w:t xml:space="preserve"> inventarom emisija (MEI obrazac).</w:t>
      </w:r>
    </w:p>
    <w:bookmarkEnd w:id="34"/>
    <w:p w14:paraId="7815ADB1" w14:textId="77777777" w:rsidR="0016227F" w:rsidRPr="00922031" w:rsidRDefault="0016227F" w:rsidP="00975CD4">
      <w:pPr>
        <w:rPr>
          <w:rFonts w:cstheme="minorHAnsi"/>
          <w:noProof/>
        </w:rPr>
      </w:pPr>
      <w:r w:rsidRPr="00922031">
        <w:rPr>
          <w:rFonts w:cstheme="minorHAnsi"/>
          <w:noProof/>
        </w:rPr>
        <w:br w:type="page"/>
      </w:r>
    </w:p>
    <w:p w14:paraId="3698B7FC" w14:textId="3FDCCF23" w:rsidR="00D4384A" w:rsidRPr="00922031" w:rsidRDefault="00D4384A" w:rsidP="00C43F08">
      <w:pPr>
        <w:pStyle w:val="Heading1"/>
        <w:rPr>
          <w:noProof/>
        </w:rPr>
      </w:pPr>
      <w:bookmarkStart w:id="43" w:name="_Toc4156074"/>
      <w:r w:rsidRPr="00922031">
        <w:lastRenderedPageBreak/>
        <w:t>REFRENTNI INVENTAR EMISIJA CO</w:t>
      </w:r>
      <w:r w:rsidRPr="00922031">
        <w:rPr>
          <w:vertAlign w:val="subscript"/>
        </w:rPr>
        <w:t>2</w:t>
      </w:r>
      <w:r w:rsidRPr="00922031">
        <w:rPr>
          <w:noProof/>
        </w:rPr>
        <w:t xml:space="preserve"> – Baseline emission inventory (BEI)</w:t>
      </w:r>
      <w:bookmarkEnd w:id="43"/>
    </w:p>
    <w:p w14:paraId="22B1EE22" w14:textId="77777777" w:rsidR="00B055DF" w:rsidRPr="00922031" w:rsidRDefault="00B055DF" w:rsidP="00975CD4">
      <w:pPr>
        <w:rPr>
          <w:rFonts w:cstheme="minorHAnsi"/>
        </w:rPr>
      </w:pPr>
    </w:p>
    <w:p w14:paraId="1181E43D" w14:textId="426E4F79" w:rsidR="008173A9" w:rsidRPr="00922031" w:rsidRDefault="00C1157B">
      <w:r w:rsidRPr="003E50D1">
        <w:t xml:space="preserve">Sporazum gradonačelnika obvezuje potpisnike da izrađuju Inventare emisija. Prilikom izrade prvog Akcijskog plana potrebno je definirati </w:t>
      </w:r>
      <w:r w:rsidR="008173A9" w:rsidRPr="00291DF5">
        <w:t>R</w:t>
      </w:r>
      <w:r w:rsidRPr="005808FC">
        <w:t xml:space="preserve">eferentnu </w:t>
      </w:r>
      <w:r w:rsidR="008173A9" w:rsidRPr="005808FC">
        <w:t>godinu</w:t>
      </w:r>
      <w:r w:rsidR="000509A0">
        <w:t xml:space="preserve"> i </w:t>
      </w:r>
      <w:r w:rsidR="008173A9" w:rsidRPr="00291DF5">
        <w:t>i</w:t>
      </w:r>
      <w:r w:rsidRPr="005808FC">
        <w:t xml:space="preserve">zraditi inventar emisija za tu godinu odnosno </w:t>
      </w:r>
      <w:r w:rsidR="008173A9" w:rsidRPr="005808FC">
        <w:t>R</w:t>
      </w:r>
      <w:r w:rsidRPr="005808FC">
        <w:t xml:space="preserve">eferentni inventar emisija. </w:t>
      </w:r>
    </w:p>
    <w:p w14:paraId="4FB2DB71" w14:textId="1CEBBBE9" w:rsidR="00503C38" w:rsidRPr="00922031" w:rsidRDefault="006623D6">
      <w:r w:rsidRPr="003E50D1">
        <w:t>Referentni inventar emisija CO</w:t>
      </w:r>
      <w:r w:rsidRPr="00291DF5">
        <w:rPr>
          <w:vertAlign w:val="subscript"/>
        </w:rPr>
        <w:t>2</w:t>
      </w:r>
      <w:r w:rsidR="00B25B9E" w:rsidRPr="005808FC">
        <w:t xml:space="preserve"> </w:t>
      </w:r>
      <w:r w:rsidRPr="005808FC">
        <w:t>daje brojčani prikaz količine emitiranog CO</w:t>
      </w:r>
      <w:r w:rsidRPr="005808FC">
        <w:rPr>
          <w:vertAlign w:val="subscript"/>
        </w:rPr>
        <w:t>2</w:t>
      </w:r>
      <w:r w:rsidR="00B25B9E" w:rsidRPr="005808FC">
        <w:t xml:space="preserve"> </w:t>
      </w:r>
      <w:r w:rsidR="001E1DB2" w:rsidRPr="005808FC">
        <w:t>u</w:t>
      </w:r>
      <w:r w:rsidR="00B25B9E" w:rsidRPr="005808FC">
        <w:t xml:space="preserve"> </w:t>
      </w:r>
      <w:r w:rsidR="001E1DB2" w:rsidRPr="005808FC">
        <w:t>referentnoj godini radi energetske potrošnje na teritoriju jedinice lokalne samouprave koja je potpisnik Sporazuma gradonačelnika.</w:t>
      </w:r>
      <w:r w:rsidR="00A50346" w:rsidRPr="005808FC">
        <w:t xml:space="preserve"> </w:t>
      </w:r>
      <w:r w:rsidR="00C1157B" w:rsidRPr="005808FC">
        <w:t>Na temelju referentnog i</w:t>
      </w:r>
      <w:r w:rsidR="001E1DB2" w:rsidRPr="005808FC">
        <w:t xml:space="preserve">nventara </w:t>
      </w:r>
      <w:r w:rsidR="00A50346" w:rsidRPr="005808FC">
        <w:t>zaključuju se izvori ljudskog doprinosa emisijama CO</w:t>
      </w:r>
      <w:r w:rsidR="00A50346" w:rsidRPr="005808FC">
        <w:rPr>
          <w:vertAlign w:val="subscript"/>
        </w:rPr>
        <w:t>2</w:t>
      </w:r>
      <w:r w:rsidR="00A50346" w:rsidRPr="003E50D1">
        <w:t xml:space="preserve"> te se postavljaju prioriteti mjera redukcije.</w:t>
      </w:r>
      <w:r w:rsidR="00B25B9E" w:rsidRPr="00291DF5">
        <w:t xml:space="preserve"> </w:t>
      </w:r>
      <w:r w:rsidR="00975CD4" w:rsidRPr="005808FC">
        <w:t>Referentni i</w:t>
      </w:r>
      <w:r w:rsidR="00A50346" w:rsidRPr="005808FC">
        <w:t xml:space="preserve">nventar je ključan instrument u određivanju </w:t>
      </w:r>
      <w:r w:rsidR="00503C38" w:rsidRPr="005808FC">
        <w:t xml:space="preserve">uspješnosti planiranih aktivnosti </w:t>
      </w:r>
      <w:r w:rsidR="00975CD4" w:rsidRPr="005808FC">
        <w:t>za</w:t>
      </w:r>
      <w:r w:rsidR="00503C38" w:rsidRPr="005808FC">
        <w:t xml:space="preserve"> postizanj</w:t>
      </w:r>
      <w:r w:rsidR="00975CD4" w:rsidRPr="005808FC">
        <w:t>e</w:t>
      </w:r>
      <w:r w:rsidR="00503C38" w:rsidRPr="005808FC">
        <w:t xml:space="preserve"> energetske učinkovitosti</w:t>
      </w:r>
      <w:r w:rsidR="000509A0">
        <w:t xml:space="preserve"> i </w:t>
      </w:r>
      <w:r w:rsidR="00503C38" w:rsidRPr="00291DF5">
        <w:t>utjecaja na emisije</w:t>
      </w:r>
      <w:r w:rsidR="00975CD4" w:rsidRPr="005808FC">
        <w:t xml:space="preserve"> CO</w:t>
      </w:r>
      <w:r w:rsidR="00975CD4" w:rsidRPr="005808FC">
        <w:rPr>
          <w:vertAlign w:val="subscript"/>
        </w:rPr>
        <w:t>2</w:t>
      </w:r>
      <w:r w:rsidR="00503C38" w:rsidRPr="005808FC">
        <w:t>.</w:t>
      </w:r>
      <w:r w:rsidR="00B25B9E" w:rsidRPr="005808FC">
        <w:t xml:space="preserve"> </w:t>
      </w:r>
    </w:p>
    <w:p w14:paraId="3660186C" w14:textId="77777777" w:rsidR="009C1ED7" w:rsidRPr="00922031" w:rsidRDefault="009C1ED7" w:rsidP="005808FC">
      <w:pPr>
        <w:spacing w:after="0"/>
      </w:pPr>
      <w:r w:rsidRPr="003E50D1">
        <w:t>Referentni inventar emisija CO</w:t>
      </w:r>
      <w:r w:rsidRPr="00291DF5">
        <w:rPr>
          <w:vertAlign w:val="subscript"/>
        </w:rPr>
        <w:t>2</w:t>
      </w:r>
      <w:r w:rsidRPr="005808FC">
        <w:t xml:space="preserve"> Grada Zagreba izrađen je za </w:t>
      </w:r>
      <w:r w:rsidRPr="005808FC">
        <w:rPr>
          <w:b/>
          <w:bCs/>
        </w:rPr>
        <w:t>2008. godinu</w:t>
      </w:r>
      <w:r w:rsidRPr="005808FC">
        <w:t xml:space="preserve"> koja je odabrana kao </w:t>
      </w:r>
      <w:r w:rsidRPr="005808FC">
        <w:rPr>
          <w:b/>
          <w:bCs/>
        </w:rPr>
        <w:t>referentna godina</w:t>
      </w:r>
      <w:r w:rsidRPr="005808FC">
        <w:t>. Glavni kriterij prilikom odabira referentne godine bila je raspoloživost podataka potrebnih za proračun emisija CO</w:t>
      </w:r>
      <w:r w:rsidRPr="005808FC">
        <w:rPr>
          <w:vertAlign w:val="subscript"/>
        </w:rPr>
        <w:t>2</w:t>
      </w:r>
      <w:r w:rsidRPr="005808FC">
        <w:t xml:space="preserve">. </w:t>
      </w:r>
    </w:p>
    <w:p w14:paraId="1F95B038" w14:textId="77777777" w:rsidR="009C1ED7" w:rsidRPr="00922031" w:rsidRDefault="009C1ED7" w:rsidP="00975CD4">
      <w:pPr>
        <w:spacing w:after="0"/>
        <w:rPr>
          <w:rFonts w:cstheme="minorHAnsi"/>
        </w:rPr>
      </w:pPr>
    </w:p>
    <w:p w14:paraId="4C9604AC" w14:textId="102BDED1" w:rsidR="00503C38" w:rsidRPr="00922031" w:rsidRDefault="009C1ED7" w:rsidP="005808FC">
      <w:pPr>
        <w:spacing w:after="0"/>
      </w:pPr>
      <w:r w:rsidRPr="003E50D1">
        <w:t xml:space="preserve">Inventar je obuhvatio </w:t>
      </w:r>
      <w:r w:rsidRPr="00291DF5">
        <w:rPr>
          <w:b/>
          <w:bCs/>
        </w:rPr>
        <w:t>tri sektora finalne potrošnje energije</w:t>
      </w:r>
      <w:r w:rsidRPr="005808FC">
        <w:t xml:space="preserve"> u Gradu</w:t>
      </w:r>
      <w:r w:rsidR="00D50B68">
        <w:t xml:space="preserve"> Zagrebu</w:t>
      </w:r>
      <w:r w:rsidRPr="005808FC">
        <w:t>: zgradarstvo, promet</w:t>
      </w:r>
      <w:r w:rsidR="000509A0">
        <w:t xml:space="preserve"> i </w:t>
      </w:r>
      <w:r w:rsidRPr="00291DF5">
        <w:t xml:space="preserve">javnu rasvjetu, a u skladu s klasifikacijom sektora prema preporukama Europske komisije. </w:t>
      </w:r>
      <w:r w:rsidR="001D03F0" w:rsidRPr="005808FC">
        <w:t>Za izradu Referentnog inventara izrađene su detaljne energetske analize po sektorima</w:t>
      </w:r>
      <w:r w:rsidR="000509A0">
        <w:t xml:space="preserve"> i </w:t>
      </w:r>
      <w:r w:rsidR="001D03F0" w:rsidRPr="00291DF5">
        <w:t xml:space="preserve">podsektorima finalne potrošnje te su dostupne unutar </w:t>
      </w:r>
      <w:r w:rsidR="001D03F0" w:rsidRPr="005808FC">
        <w:rPr>
          <w:i/>
          <w:iCs/>
        </w:rPr>
        <w:t>Priloga 5</w:t>
      </w:r>
      <w:r w:rsidR="003143A4" w:rsidRPr="003E50D1">
        <w:t xml:space="preserve"> - </w:t>
      </w:r>
      <w:r w:rsidR="00DA0219" w:rsidRPr="005808FC">
        <w:rPr>
          <w:i/>
          <w:iCs/>
        </w:rPr>
        <w:t>Analize energetske potrošnje</w:t>
      </w:r>
      <w:r w:rsidR="000509A0">
        <w:rPr>
          <w:i/>
          <w:iCs/>
        </w:rPr>
        <w:t xml:space="preserve"> i </w:t>
      </w:r>
      <w:r w:rsidR="00DA0219" w:rsidRPr="005808FC">
        <w:rPr>
          <w:i/>
          <w:iCs/>
        </w:rPr>
        <w:t>Referentni inventar emisija</w:t>
      </w:r>
      <w:r w:rsidR="001D03F0" w:rsidRPr="003E50D1">
        <w:t xml:space="preserve">. </w:t>
      </w:r>
    </w:p>
    <w:p w14:paraId="7104F85C" w14:textId="4B4CF352" w:rsidR="008C6172" w:rsidRPr="00922031" w:rsidRDefault="009C1ED7" w:rsidP="005808FC">
      <w:pPr>
        <w:spacing w:after="0"/>
      </w:pPr>
      <w:r w:rsidRPr="003E50D1">
        <w:t>Proračunom su obuhvaćene izravne emisije (iz izgaranja go</w:t>
      </w:r>
      <w:r w:rsidRPr="00291DF5">
        <w:t>riva)</w:t>
      </w:r>
      <w:r w:rsidR="000509A0">
        <w:t xml:space="preserve"> i </w:t>
      </w:r>
      <w:r w:rsidRPr="00291DF5">
        <w:t xml:space="preserve">neizravne emisije (iz potrošnje </w:t>
      </w:r>
      <w:r w:rsidRPr="005808FC">
        <w:t>električne energije</w:t>
      </w:r>
      <w:r w:rsidR="000509A0">
        <w:t xml:space="preserve"> i </w:t>
      </w:r>
      <w:r w:rsidRPr="00291DF5">
        <w:t>topline) koje su posljedica ljudskih djelatnosti. Iako je riječ o inventaru emisija CO</w:t>
      </w:r>
      <w:r w:rsidRPr="005808FC">
        <w:rPr>
          <w:vertAlign w:val="subscript"/>
        </w:rPr>
        <w:t>2</w:t>
      </w:r>
      <w:r w:rsidRPr="005808FC">
        <w:t>, za sektor prometa je dan</w:t>
      </w:r>
      <w:r w:rsidR="000509A0">
        <w:t xml:space="preserve"> i </w:t>
      </w:r>
      <w:r w:rsidRPr="00291DF5">
        <w:t>prikaz emisija metana, CH</w:t>
      </w:r>
      <w:r w:rsidRPr="005808FC">
        <w:rPr>
          <w:vertAlign w:val="subscript"/>
        </w:rPr>
        <w:t>4</w:t>
      </w:r>
      <w:r w:rsidR="000509A0">
        <w:rPr>
          <w:vertAlign w:val="subscript"/>
        </w:rPr>
        <w:t xml:space="preserve"> </w:t>
      </w:r>
      <w:r w:rsidR="000509A0" w:rsidRPr="00693B4B">
        <w:t>i</w:t>
      </w:r>
      <w:r w:rsidR="000509A0">
        <w:rPr>
          <w:vertAlign w:val="subscript"/>
        </w:rPr>
        <w:t xml:space="preserve"> </w:t>
      </w:r>
      <w:r w:rsidRPr="00291DF5">
        <w:t>d</w:t>
      </w:r>
      <w:r w:rsidR="008C6172" w:rsidRPr="005808FC">
        <w:t>id</w:t>
      </w:r>
      <w:r w:rsidRPr="005808FC">
        <w:t>ušikovog oksida, N</w:t>
      </w:r>
      <w:r w:rsidRPr="005808FC">
        <w:rPr>
          <w:vertAlign w:val="subscript"/>
        </w:rPr>
        <w:t>2</w:t>
      </w:r>
      <w:r w:rsidRPr="005808FC">
        <w:t>O.</w:t>
      </w:r>
    </w:p>
    <w:p w14:paraId="4AC84A2F" w14:textId="77777777" w:rsidR="009C1ED7" w:rsidRPr="00922031" w:rsidRDefault="009C1ED7" w:rsidP="00975CD4">
      <w:pPr>
        <w:spacing w:after="0"/>
        <w:rPr>
          <w:rFonts w:cstheme="minorHAnsi"/>
        </w:rPr>
      </w:pPr>
    </w:p>
    <w:p w14:paraId="00D2D9A6" w14:textId="07F33E2B" w:rsidR="006623D6" w:rsidRPr="00922031" w:rsidRDefault="009C1ED7" w:rsidP="005808FC">
      <w:pPr>
        <w:spacing w:after="0"/>
      </w:pPr>
      <w:r w:rsidRPr="003E50D1">
        <w:t xml:space="preserve">Referentni inventar </w:t>
      </w:r>
      <w:r w:rsidRPr="00291DF5">
        <w:t>emisija CO</w:t>
      </w:r>
      <w:r w:rsidRPr="005808FC">
        <w:rPr>
          <w:vertAlign w:val="subscript"/>
        </w:rPr>
        <w:t>2</w:t>
      </w:r>
      <w:r w:rsidRPr="005808FC">
        <w:t xml:space="preserve"> Grada Zagreba izrađen je prema </w:t>
      </w:r>
      <w:r w:rsidRPr="005808FC">
        <w:rPr>
          <w:b/>
          <w:bCs/>
        </w:rPr>
        <w:t>protokolu</w:t>
      </w:r>
      <w:r w:rsidRPr="005808FC">
        <w:t xml:space="preserve"> </w:t>
      </w:r>
      <w:r w:rsidRPr="00544C30">
        <w:rPr>
          <w:iCs/>
        </w:rPr>
        <w:t>Međuvladinog tijela za klimatske promjene</w:t>
      </w:r>
      <w:r w:rsidRPr="003E50D1">
        <w:t xml:space="preserve"> (</w:t>
      </w:r>
      <w:r w:rsidRPr="00544C30">
        <w:rPr>
          <w:i/>
        </w:rPr>
        <w:t>Intergovernmental Panel on Climate Change</w:t>
      </w:r>
      <w:r w:rsidRPr="003E50D1">
        <w:t xml:space="preserve"> – IPCC) kao izvršnog tijela Programa za okoliš Ujedinjenih naroda (UNEP)</w:t>
      </w:r>
      <w:r w:rsidR="000509A0">
        <w:t xml:space="preserve"> i </w:t>
      </w:r>
      <w:r w:rsidRPr="003E50D1">
        <w:t xml:space="preserve">Svjetske meteorološke organizacije (WMO) u </w:t>
      </w:r>
      <w:r w:rsidRPr="00291DF5">
        <w:t>provođenju Okvirne konvencije Ujedinjenih naroda o promjeni klime (</w:t>
      </w:r>
      <w:r w:rsidRPr="00544C30">
        <w:rPr>
          <w:i/>
        </w:rPr>
        <w:t>United Nation Framework Convention on Climate Change</w:t>
      </w:r>
      <w:r w:rsidRPr="00291DF5">
        <w:t xml:space="preserve"> – UNFCCC). Hrvatska se ratificiranjem protokola iz Kyota 2007. godine obvezala na praćenje</w:t>
      </w:r>
      <w:r w:rsidR="000509A0">
        <w:t xml:space="preserve"> i </w:t>
      </w:r>
      <w:r w:rsidRPr="00291DF5">
        <w:t>izvještavanje o emisijama onečišćujućih tvari u atmosferu prema IPCC protokolu, pa je on kao nacionalno priznat protokol korišten</w:t>
      </w:r>
      <w:r w:rsidR="000509A0">
        <w:t xml:space="preserve"> i </w:t>
      </w:r>
      <w:r w:rsidRPr="00291DF5">
        <w:t>za izradu Referentnog inventara emisija CO</w:t>
      </w:r>
      <w:r w:rsidRPr="005808FC">
        <w:rPr>
          <w:vertAlign w:val="subscript"/>
        </w:rPr>
        <w:t>2</w:t>
      </w:r>
      <w:r w:rsidRPr="005808FC">
        <w:t xml:space="preserve"> za Grad Zagreb.</w:t>
      </w:r>
    </w:p>
    <w:p w14:paraId="33F47059" w14:textId="77777777" w:rsidR="006623D6" w:rsidRPr="00922031" w:rsidRDefault="006623D6" w:rsidP="00975CD4">
      <w:pPr>
        <w:spacing w:after="0"/>
        <w:rPr>
          <w:rFonts w:cstheme="minorHAnsi"/>
        </w:rPr>
      </w:pPr>
    </w:p>
    <w:p w14:paraId="64F05913" w14:textId="18F468BC" w:rsidR="001D03F0" w:rsidRPr="00922031" w:rsidRDefault="009C1ED7" w:rsidP="005808FC">
      <w:pPr>
        <w:spacing w:after="0"/>
      </w:pPr>
      <w:r w:rsidRPr="003E50D1">
        <w:t xml:space="preserve">Kako za proračun neizravnih emisija od strane IPCC-a nije predložena metodologija, ona je razvijena </w:t>
      </w:r>
      <w:r w:rsidR="00CA6C6C" w:rsidRPr="00291DF5">
        <w:t>prilikom</w:t>
      </w:r>
      <w:r w:rsidRPr="005808FC">
        <w:t xml:space="preserve"> izrade ovog inventara. Detaljni opis metodologije određivanja specifičnih emisijskih faktora za toplinsku energiju</w:t>
      </w:r>
      <w:r w:rsidR="000509A0">
        <w:t xml:space="preserve"> i </w:t>
      </w:r>
      <w:r w:rsidRPr="00291DF5">
        <w:t>izgaranje goriva kao</w:t>
      </w:r>
      <w:r w:rsidR="000509A0">
        <w:t xml:space="preserve"> i </w:t>
      </w:r>
      <w:r w:rsidRPr="00291DF5">
        <w:t xml:space="preserve">detaljan opis IPCC metodologije dani su u studiji Osnovne </w:t>
      </w:r>
      <w:r w:rsidRPr="005808FC">
        <w:t>odrednice</w:t>
      </w:r>
      <w:r w:rsidR="000509A0">
        <w:t xml:space="preserve"> i </w:t>
      </w:r>
      <w:r w:rsidRPr="00291DF5">
        <w:t>podloge za praćenje emisija CO</w:t>
      </w:r>
      <w:r w:rsidRPr="005808FC">
        <w:rPr>
          <w:vertAlign w:val="subscript"/>
        </w:rPr>
        <w:t>2</w:t>
      </w:r>
      <w:r w:rsidR="00501944" w:rsidRPr="005808FC">
        <w:t xml:space="preserve"> koja se nalazi unutar </w:t>
      </w:r>
      <w:r w:rsidR="00501944" w:rsidRPr="005808FC">
        <w:rPr>
          <w:i/>
          <w:iCs/>
        </w:rPr>
        <w:t>Priloga 7</w:t>
      </w:r>
      <w:r w:rsidR="00DA0219" w:rsidRPr="003E50D1">
        <w:t xml:space="preserve"> </w:t>
      </w:r>
      <w:r w:rsidR="00DA0219" w:rsidRPr="005808FC">
        <w:rPr>
          <w:i/>
          <w:iCs/>
        </w:rPr>
        <w:t xml:space="preserve">- </w:t>
      </w:r>
      <w:r w:rsidR="009D0602" w:rsidRPr="005808FC">
        <w:rPr>
          <w:i/>
          <w:iCs/>
        </w:rPr>
        <w:t>Osnovne odrednice</w:t>
      </w:r>
      <w:r w:rsidR="000509A0">
        <w:rPr>
          <w:i/>
          <w:iCs/>
        </w:rPr>
        <w:t xml:space="preserve"> i </w:t>
      </w:r>
      <w:r w:rsidR="009D0602" w:rsidRPr="005808FC">
        <w:rPr>
          <w:i/>
          <w:iCs/>
        </w:rPr>
        <w:t>podloge za praćenje emisija CO</w:t>
      </w:r>
      <w:r w:rsidR="009D0602" w:rsidRPr="005808FC">
        <w:rPr>
          <w:i/>
          <w:iCs/>
          <w:vertAlign w:val="subscript"/>
        </w:rPr>
        <w:t>2</w:t>
      </w:r>
      <w:r w:rsidR="009D0602" w:rsidRPr="005808FC">
        <w:rPr>
          <w:i/>
          <w:iCs/>
        </w:rPr>
        <w:t xml:space="preserve"> za izradu SEAP-a Grada Zagreba</w:t>
      </w:r>
      <w:r w:rsidRPr="003E50D1">
        <w:t>. Izradu spomenute studije naručio je Grad Zagreb a izradili su je djelatnici Regionalne energetske agencije Sjeverozapadne Hrvatske u siječnju 2</w:t>
      </w:r>
      <w:r w:rsidRPr="00291DF5">
        <w:t>010. godine.</w:t>
      </w:r>
      <w:r w:rsidR="001D03F0" w:rsidRPr="005808FC">
        <w:t xml:space="preserve"> </w:t>
      </w:r>
      <w:r w:rsidR="00B055DF" w:rsidRPr="005808FC">
        <w:t>Referentni inventar emisija CO</w:t>
      </w:r>
      <w:r w:rsidR="00B055DF" w:rsidRPr="005808FC">
        <w:rPr>
          <w:vertAlign w:val="subscript"/>
        </w:rPr>
        <w:t>2</w:t>
      </w:r>
      <w:r w:rsidR="00B055DF" w:rsidRPr="005808FC">
        <w:t xml:space="preserve"> organiziran je na način da se prvo iznose referentni inventari pojedinih sektora, a na kraju je dan ukupni pregled referentnog inventara po svim sektorima.</w:t>
      </w:r>
      <w:r w:rsidR="001D03F0" w:rsidRPr="005808FC">
        <w:br w:type="page"/>
      </w:r>
    </w:p>
    <w:p w14:paraId="3ED7DADA" w14:textId="77777777" w:rsidR="002907A0" w:rsidRPr="00922031" w:rsidRDefault="002907A0" w:rsidP="0DFBE047">
      <w:pPr>
        <w:pStyle w:val="Heading2"/>
      </w:pPr>
      <w:bookmarkStart w:id="44" w:name="_Toc4156075"/>
      <w:r w:rsidRPr="00922031">
        <w:lastRenderedPageBreak/>
        <w:t>Referentni inventar emisija CO</w:t>
      </w:r>
      <w:r w:rsidRPr="00922031">
        <w:rPr>
          <w:vertAlign w:val="subscript"/>
        </w:rPr>
        <w:t>2</w:t>
      </w:r>
      <w:r w:rsidRPr="00922031">
        <w:t xml:space="preserve"> iz sektora zgradarstva Grada Zagreba</w:t>
      </w:r>
      <w:bookmarkEnd w:id="44"/>
    </w:p>
    <w:p w14:paraId="79F3C185" w14:textId="2BD0BCD6"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Emisije CO</w:t>
      </w:r>
      <w:r w:rsidRPr="00291DF5">
        <w:rPr>
          <w:rFonts w:asciiTheme="minorHAnsi" w:hAnsiTheme="minorHAnsi" w:cstheme="minorBidi"/>
          <w:vertAlign w:val="subscript"/>
        </w:rPr>
        <w:t>2</w:t>
      </w:r>
      <w:r w:rsidRPr="005808FC">
        <w:rPr>
          <w:rFonts w:asciiTheme="minorHAnsi" w:hAnsiTheme="minorHAnsi" w:cstheme="minorBidi"/>
        </w:rPr>
        <w:t xml:space="preserve"> iz sektora zgradarstva Grada Zagreba obuhvaćaju emisije iz potrošnje električne</w:t>
      </w:r>
      <w:r w:rsidR="000509A0">
        <w:rPr>
          <w:rFonts w:asciiTheme="minorHAnsi" w:hAnsiTheme="minorHAnsi" w:cstheme="minorBidi"/>
        </w:rPr>
        <w:t xml:space="preserve"> i </w:t>
      </w:r>
      <w:r w:rsidRPr="00291DF5">
        <w:rPr>
          <w:rFonts w:asciiTheme="minorHAnsi" w:hAnsiTheme="minorHAnsi" w:cstheme="minorBidi"/>
        </w:rPr>
        <w:t>toplinske energije, te emisije iz izgaranja goriva. Emisije iz izgaranja gori</w:t>
      </w:r>
      <w:r w:rsidRPr="005808FC">
        <w:rPr>
          <w:rFonts w:asciiTheme="minorHAnsi" w:hAnsiTheme="minorHAnsi" w:cstheme="minorBidi"/>
        </w:rPr>
        <w:t>va proračunavaju se preko standardnih emisijskih faktora (prva razina proračuna IPCC metodologije), dok su za proračun emisija iz potrošnje električne</w:t>
      </w:r>
      <w:r w:rsidR="000509A0">
        <w:rPr>
          <w:rFonts w:asciiTheme="minorHAnsi" w:hAnsiTheme="minorHAnsi" w:cstheme="minorBidi"/>
        </w:rPr>
        <w:t xml:space="preserve"> i </w:t>
      </w:r>
      <w:r w:rsidRPr="00291DF5">
        <w:rPr>
          <w:rFonts w:asciiTheme="minorHAnsi" w:hAnsiTheme="minorHAnsi" w:cstheme="minorBidi"/>
        </w:rPr>
        <w:t>toplinske energije određeni specifični emisijski faktori (</w:t>
      </w:r>
      <w:r w:rsidR="00FC154F" w:rsidRPr="005808FC">
        <w:rPr>
          <w:rFonts w:asciiTheme="minorHAnsi" w:hAnsiTheme="minorHAnsi" w:cstheme="minorBidi"/>
        </w:rPr>
        <w:t>T</w:t>
      </w:r>
      <w:r w:rsidRPr="005808FC">
        <w:rPr>
          <w:rFonts w:asciiTheme="minorHAnsi" w:hAnsiTheme="minorHAnsi" w:cstheme="minorBidi"/>
        </w:rPr>
        <w:t xml:space="preserve">ablica </w:t>
      </w:r>
      <w:r w:rsidR="00FC154F" w:rsidRPr="005808FC">
        <w:rPr>
          <w:rFonts w:asciiTheme="minorHAnsi" w:hAnsiTheme="minorHAnsi" w:cstheme="minorBidi"/>
        </w:rPr>
        <w:t>4</w:t>
      </w:r>
      <w:r w:rsidRPr="005808FC">
        <w:rPr>
          <w:rFonts w:asciiTheme="minorHAnsi" w:hAnsiTheme="minorHAnsi" w:cstheme="minorBidi"/>
        </w:rPr>
        <w:t xml:space="preserve">.1). </w:t>
      </w:r>
    </w:p>
    <w:p w14:paraId="175413D7" w14:textId="77777777" w:rsidR="002907A0" w:rsidRPr="00922031" w:rsidRDefault="002907A0" w:rsidP="002907A0">
      <w:pPr>
        <w:pStyle w:val="NoSpacing"/>
        <w:rPr>
          <w:rFonts w:asciiTheme="minorHAnsi" w:hAnsiTheme="minorHAnsi" w:cstheme="minorHAnsi"/>
        </w:rPr>
      </w:pPr>
    </w:p>
    <w:p w14:paraId="0F89D0C9" w14:textId="6C8E31EB" w:rsidR="002907A0" w:rsidRPr="005808FC" w:rsidRDefault="00AE1594">
      <w:pPr>
        <w:pStyle w:val="Caption"/>
        <w:rPr>
          <w:rFonts w:asciiTheme="minorHAnsi" w:hAnsiTheme="minorHAnsi" w:cstheme="minorBidi"/>
          <w:lang w:val="hr-HR"/>
        </w:rPr>
      </w:pPr>
      <w:bookmarkStart w:id="45" w:name="_Toc251924016"/>
      <w:bookmarkStart w:id="46" w:name="_Toc4155991"/>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4</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1</w:t>
      </w:r>
      <w:r w:rsidR="0019556A">
        <w:fldChar w:fldCharType="end"/>
      </w:r>
      <w:r w:rsidR="0082211F" w:rsidRPr="005808FC">
        <w:rPr>
          <w:lang w:val="hr-HR"/>
        </w:rPr>
        <w:t xml:space="preserve"> -</w:t>
      </w:r>
      <w:r w:rsidRPr="005808FC">
        <w:rPr>
          <w:lang w:val="hr-HR"/>
        </w:rPr>
        <w:t xml:space="preserve"> </w:t>
      </w:r>
      <w:r w:rsidR="002907A0" w:rsidRPr="005808FC">
        <w:rPr>
          <w:rFonts w:asciiTheme="minorHAnsi" w:hAnsiTheme="minorHAnsi" w:cstheme="minorBidi"/>
          <w:lang w:val="hr-HR"/>
        </w:rPr>
        <w:t>Korišteni emisijski faktori za određivanje emisija CO</w:t>
      </w:r>
      <w:r w:rsidR="002907A0" w:rsidRPr="005808FC">
        <w:rPr>
          <w:rFonts w:asciiTheme="minorHAnsi" w:hAnsiTheme="minorHAnsi" w:cstheme="minorBidi"/>
          <w:vertAlign w:val="subscript"/>
          <w:lang w:val="hr-HR"/>
        </w:rPr>
        <w:t>2</w:t>
      </w:r>
      <w:r w:rsidR="002907A0" w:rsidRPr="005808FC">
        <w:rPr>
          <w:rFonts w:asciiTheme="minorHAnsi" w:hAnsiTheme="minorHAnsi" w:cstheme="minorBidi"/>
          <w:lang w:val="hr-HR"/>
        </w:rPr>
        <w:t xml:space="preserve"> iz sektora zgradarstva Grada Zagreba</w:t>
      </w:r>
      <w:bookmarkEnd w:id="45"/>
      <w:bookmarkEnd w:id="4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842"/>
        <w:gridCol w:w="1560"/>
        <w:gridCol w:w="1559"/>
        <w:gridCol w:w="1417"/>
      </w:tblGrid>
      <w:tr w:rsidR="002907A0" w:rsidRPr="00922031" w14:paraId="0E0A3BA6" w14:textId="77777777" w:rsidTr="005808FC">
        <w:trPr>
          <w:trHeight w:val="227"/>
        </w:trPr>
        <w:tc>
          <w:tcPr>
            <w:tcW w:w="2694" w:type="dxa"/>
            <w:vMerge w:val="restart"/>
            <w:shd w:val="clear" w:color="auto" w:fill="C6D9F1" w:themeFill="text2" w:themeFillTint="33"/>
            <w:noWrap/>
          </w:tcPr>
          <w:p w14:paraId="351B72E8"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ENERGENT</w:t>
            </w:r>
          </w:p>
        </w:tc>
        <w:tc>
          <w:tcPr>
            <w:tcW w:w="6378" w:type="dxa"/>
            <w:gridSpan w:val="4"/>
            <w:shd w:val="clear" w:color="auto" w:fill="C6D9F1" w:themeFill="text2" w:themeFillTint="33"/>
          </w:tcPr>
          <w:p w14:paraId="7913F77C"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Emisijski faktori, t/TJ</w:t>
            </w:r>
          </w:p>
        </w:tc>
      </w:tr>
      <w:tr w:rsidR="002907A0" w:rsidRPr="00922031" w14:paraId="65FE7405" w14:textId="77777777" w:rsidTr="0DFBE047">
        <w:trPr>
          <w:trHeight w:val="227"/>
        </w:trPr>
        <w:tc>
          <w:tcPr>
            <w:tcW w:w="2694" w:type="dxa"/>
            <w:vMerge/>
            <w:shd w:val="clear" w:color="auto" w:fill="C6D9F1" w:themeFill="text2" w:themeFillTint="33"/>
          </w:tcPr>
          <w:p w14:paraId="399EFC7D" w14:textId="77777777" w:rsidR="002907A0" w:rsidRPr="00922031" w:rsidRDefault="002907A0" w:rsidP="002907A0">
            <w:pPr>
              <w:spacing w:after="0" w:line="240" w:lineRule="auto"/>
              <w:jc w:val="center"/>
              <w:rPr>
                <w:rFonts w:cstheme="minorHAnsi"/>
                <w:b/>
                <w:sz w:val="20"/>
                <w:szCs w:val="20"/>
                <w:lang w:eastAsia="hr-HR"/>
              </w:rPr>
            </w:pPr>
          </w:p>
        </w:tc>
        <w:tc>
          <w:tcPr>
            <w:tcW w:w="1842" w:type="dxa"/>
            <w:shd w:val="clear" w:color="auto" w:fill="C6D9F1" w:themeFill="text2" w:themeFillTint="33"/>
          </w:tcPr>
          <w:p w14:paraId="23490F32"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Jedinica</w:t>
            </w:r>
          </w:p>
        </w:tc>
        <w:tc>
          <w:tcPr>
            <w:tcW w:w="1560" w:type="dxa"/>
            <w:shd w:val="clear" w:color="auto" w:fill="C6D9F1" w:themeFill="text2" w:themeFillTint="33"/>
            <w:noWrap/>
          </w:tcPr>
          <w:p w14:paraId="44D8A517"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CO</w:t>
            </w:r>
            <w:r w:rsidRPr="00291DF5">
              <w:rPr>
                <w:b/>
                <w:bCs/>
                <w:sz w:val="20"/>
                <w:szCs w:val="20"/>
                <w:vertAlign w:val="subscript"/>
                <w:lang w:eastAsia="hr-HR"/>
              </w:rPr>
              <w:t>2</w:t>
            </w:r>
          </w:p>
        </w:tc>
        <w:tc>
          <w:tcPr>
            <w:tcW w:w="1559" w:type="dxa"/>
            <w:shd w:val="clear" w:color="auto" w:fill="C6D9F1" w:themeFill="text2" w:themeFillTint="33"/>
            <w:noWrap/>
          </w:tcPr>
          <w:p w14:paraId="46423879"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CH</w:t>
            </w:r>
            <w:r w:rsidRPr="00291DF5">
              <w:rPr>
                <w:b/>
                <w:bCs/>
                <w:sz w:val="20"/>
                <w:szCs w:val="20"/>
                <w:vertAlign w:val="subscript"/>
                <w:lang w:eastAsia="hr-HR"/>
              </w:rPr>
              <w:t>4</w:t>
            </w:r>
          </w:p>
        </w:tc>
        <w:tc>
          <w:tcPr>
            <w:tcW w:w="1417" w:type="dxa"/>
            <w:shd w:val="clear" w:color="auto" w:fill="C6D9F1" w:themeFill="text2" w:themeFillTint="33"/>
            <w:noWrap/>
          </w:tcPr>
          <w:p w14:paraId="757D60FB"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N</w:t>
            </w:r>
            <w:r w:rsidRPr="00291DF5">
              <w:rPr>
                <w:b/>
                <w:bCs/>
                <w:sz w:val="20"/>
                <w:szCs w:val="20"/>
                <w:vertAlign w:val="subscript"/>
                <w:lang w:eastAsia="hr-HR"/>
              </w:rPr>
              <w:t>2</w:t>
            </w:r>
            <w:r w:rsidRPr="005808FC">
              <w:rPr>
                <w:b/>
                <w:bCs/>
                <w:sz w:val="20"/>
                <w:szCs w:val="20"/>
                <w:lang w:eastAsia="hr-HR"/>
              </w:rPr>
              <w:t>O</w:t>
            </w:r>
          </w:p>
        </w:tc>
      </w:tr>
      <w:tr w:rsidR="002907A0" w:rsidRPr="00922031" w14:paraId="5C8673B7" w14:textId="77777777" w:rsidTr="0DFBE047">
        <w:trPr>
          <w:trHeight w:val="227"/>
        </w:trPr>
        <w:tc>
          <w:tcPr>
            <w:tcW w:w="2694" w:type="dxa"/>
            <w:shd w:val="clear" w:color="auto" w:fill="F2DBDB" w:themeFill="accent2" w:themeFillTint="33"/>
            <w:noWrap/>
          </w:tcPr>
          <w:p w14:paraId="6DB5C0F3"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Električna energija</w:t>
            </w:r>
          </w:p>
        </w:tc>
        <w:tc>
          <w:tcPr>
            <w:tcW w:w="1842" w:type="dxa"/>
            <w:noWrap/>
          </w:tcPr>
          <w:p w14:paraId="70B82203"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g CO</w:t>
            </w:r>
            <w:r w:rsidRPr="00291DF5">
              <w:rPr>
                <w:sz w:val="20"/>
                <w:szCs w:val="20"/>
                <w:vertAlign w:val="subscript"/>
                <w:lang w:eastAsia="hr-HR"/>
              </w:rPr>
              <w:t>2</w:t>
            </w:r>
            <w:r w:rsidRPr="005808FC">
              <w:rPr>
                <w:sz w:val="20"/>
                <w:szCs w:val="20"/>
                <w:lang w:eastAsia="hr-HR"/>
              </w:rPr>
              <w:t>/kWh</w:t>
            </w:r>
            <w:r w:rsidRPr="005808FC">
              <w:rPr>
                <w:sz w:val="20"/>
                <w:szCs w:val="20"/>
                <w:vertAlign w:val="subscript"/>
                <w:lang w:eastAsia="hr-HR"/>
              </w:rPr>
              <w:t>el</w:t>
            </w:r>
          </w:p>
        </w:tc>
        <w:tc>
          <w:tcPr>
            <w:tcW w:w="1560" w:type="dxa"/>
            <w:noWrap/>
          </w:tcPr>
          <w:p w14:paraId="62FDB11E"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323</w:t>
            </w:r>
          </w:p>
        </w:tc>
        <w:tc>
          <w:tcPr>
            <w:tcW w:w="1559" w:type="dxa"/>
            <w:noWrap/>
          </w:tcPr>
          <w:p w14:paraId="3980B89F"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w:t>
            </w:r>
          </w:p>
        </w:tc>
        <w:tc>
          <w:tcPr>
            <w:tcW w:w="1417" w:type="dxa"/>
            <w:noWrap/>
          </w:tcPr>
          <w:p w14:paraId="1A3774BF"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w:t>
            </w:r>
          </w:p>
        </w:tc>
      </w:tr>
      <w:tr w:rsidR="002907A0" w:rsidRPr="00922031" w14:paraId="20F48D37" w14:textId="77777777" w:rsidTr="0DFBE047">
        <w:trPr>
          <w:trHeight w:val="227"/>
        </w:trPr>
        <w:tc>
          <w:tcPr>
            <w:tcW w:w="2694" w:type="dxa"/>
            <w:shd w:val="clear" w:color="auto" w:fill="F2DBDB" w:themeFill="accent2" w:themeFillTint="33"/>
            <w:noWrap/>
          </w:tcPr>
          <w:p w14:paraId="2D121364"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Toplina</w:t>
            </w:r>
          </w:p>
        </w:tc>
        <w:tc>
          <w:tcPr>
            <w:tcW w:w="1842" w:type="dxa"/>
            <w:noWrap/>
          </w:tcPr>
          <w:p w14:paraId="297EA9FD"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g CO</w:t>
            </w:r>
            <w:r w:rsidRPr="00291DF5">
              <w:rPr>
                <w:sz w:val="20"/>
                <w:szCs w:val="20"/>
                <w:vertAlign w:val="subscript"/>
                <w:lang w:eastAsia="hr-HR"/>
              </w:rPr>
              <w:t>2</w:t>
            </w:r>
            <w:r w:rsidRPr="005808FC">
              <w:rPr>
                <w:sz w:val="20"/>
                <w:szCs w:val="20"/>
                <w:lang w:eastAsia="hr-HR"/>
              </w:rPr>
              <w:t>/kWh</w:t>
            </w:r>
            <w:r w:rsidRPr="005808FC">
              <w:rPr>
                <w:sz w:val="20"/>
                <w:szCs w:val="20"/>
                <w:vertAlign w:val="subscript"/>
                <w:lang w:eastAsia="hr-HR"/>
              </w:rPr>
              <w:t>t</w:t>
            </w:r>
          </w:p>
        </w:tc>
        <w:tc>
          <w:tcPr>
            <w:tcW w:w="1560" w:type="dxa"/>
            <w:noWrap/>
          </w:tcPr>
          <w:p w14:paraId="7B4C0D66"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244</w:t>
            </w:r>
          </w:p>
        </w:tc>
        <w:tc>
          <w:tcPr>
            <w:tcW w:w="1559" w:type="dxa"/>
            <w:noWrap/>
          </w:tcPr>
          <w:p w14:paraId="2FAAEEA1"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w:t>
            </w:r>
          </w:p>
        </w:tc>
        <w:tc>
          <w:tcPr>
            <w:tcW w:w="1417" w:type="dxa"/>
            <w:noWrap/>
          </w:tcPr>
          <w:p w14:paraId="4B91519B"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w:t>
            </w:r>
          </w:p>
        </w:tc>
      </w:tr>
      <w:tr w:rsidR="002907A0" w:rsidRPr="00922031" w14:paraId="556D5DD3" w14:textId="77777777" w:rsidTr="0DFBE047">
        <w:trPr>
          <w:trHeight w:val="227"/>
        </w:trPr>
        <w:tc>
          <w:tcPr>
            <w:tcW w:w="2694" w:type="dxa"/>
            <w:shd w:val="clear" w:color="auto" w:fill="F2DBDB" w:themeFill="accent2" w:themeFillTint="33"/>
            <w:noWrap/>
          </w:tcPr>
          <w:p w14:paraId="60DA2BA7"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Prirodni plin</w:t>
            </w:r>
          </w:p>
        </w:tc>
        <w:tc>
          <w:tcPr>
            <w:tcW w:w="1842" w:type="dxa"/>
            <w:noWrap/>
          </w:tcPr>
          <w:p w14:paraId="2CC99A1C"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t/TJ</w:t>
            </w:r>
          </w:p>
        </w:tc>
        <w:tc>
          <w:tcPr>
            <w:tcW w:w="1560" w:type="dxa"/>
            <w:noWrap/>
          </w:tcPr>
          <w:p w14:paraId="4D29E1FD"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55,8</w:t>
            </w:r>
          </w:p>
        </w:tc>
        <w:tc>
          <w:tcPr>
            <w:tcW w:w="1559" w:type="dxa"/>
            <w:noWrap/>
          </w:tcPr>
          <w:p w14:paraId="5ACF7B21"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0,005</w:t>
            </w:r>
          </w:p>
        </w:tc>
        <w:tc>
          <w:tcPr>
            <w:tcW w:w="1417" w:type="dxa"/>
            <w:noWrap/>
          </w:tcPr>
          <w:p w14:paraId="64B3811F"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0,0001</w:t>
            </w:r>
          </w:p>
        </w:tc>
      </w:tr>
      <w:tr w:rsidR="002907A0" w:rsidRPr="00922031" w14:paraId="7EB56A69" w14:textId="77777777" w:rsidTr="0DFBE047">
        <w:trPr>
          <w:trHeight w:val="227"/>
        </w:trPr>
        <w:tc>
          <w:tcPr>
            <w:tcW w:w="2694" w:type="dxa"/>
            <w:shd w:val="clear" w:color="auto" w:fill="F2DBDB" w:themeFill="accent2" w:themeFillTint="33"/>
            <w:noWrap/>
          </w:tcPr>
          <w:p w14:paraId="5FB54024"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Loživo ulje</w:t>
            </w:r>
          </w:p>
        </w:tc>
        <w:tc>
          <w:tcPr>
            <w:tcW w:w="1842" w:type="dxa"/>
            <w:noWrap/>
          </w:tcPr>
          <w:p w14:paraId="476A92C6"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t/TJ</w:t>
            </w:r>
          </w:p>
        </w:tc>
        <w:tc>
          <w:tcPr>
            <w:tcW w:w="1560" w:type="dxa"/>
            <w:noWrap/>
          </w:tcPr>
          <w:p w14:paraId="5E8D8CC5"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76,6</w:t>
            </w:r>
          </w:p>
        </w:tc>
        <w:tc>
          <w:tcPr>
            <w:tcW w:w="1559" w:type="dxa"/>
            <w:noWrap/>
          </w:tcPr>
          <w:p w14:paraId="775E4F69"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0,010</w:t>
            </w:r>
          </w:p>
        </w:tc>
        <w:tc>
          <w:tcPr>
            <w:tcW w:w="1417" w:type="dxa"/>
            <w:noWrap/>
          </w:tcPr>
          <w:p w14:paraId="781953EC"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0,0006</w:t>
            </w:r>
          </w:p>
        </w:tc>
      </w:tr>
      <w:tr w:rsidR="002907A0" w:rsidRPr="00922031" w14:paraId="7495676D" w14:textId="77777777" w:rsidTr="0DFBE047">
        <w:trPr>
          <w:trHeight w:val="227"/>
        </w:trPr>
        <w:tc>
          <w:tcPr>
            <w:tcW w:w="2694" w:type="dxa"/>
            <w:shd w:val="clear" w:color="auto" w:fill="F2DBDB" w:themeFill="accent2" w:themeFillTint="33"/>
            <w:noWrap/>
          </w:tcPr>
          <w:p w14:paraId="10C02AB8"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Ukapljeni naftni plin</w:t>
            </w:r>
          </w:p>
        </w:tc>
        <w:tc>
          <w:tcPr>
            <w:tcW w:w="1842" w:type="dxa"/>
            <w:noWrap/>
          </w:tcPr>
          <w:p w14:paraId="37338FF7"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t/TJ</w:t>
            </w:r>
          </w:p>
        </w:tc>
        <w:tc>
          <w:tcPr>
            <w:tcW w:w="1560" w:type="dxa"/>
            <w:noWrap/>
          </w:tcPr>
          <w:p w14:paraId="5026B645"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62,4</w:t>
            </w:r>
          </w:p>
        </w:tc>
        <w:tc>
          <w:tcPr>
            <w:tcW w:w="1559" w:type="dxa"/>
            <w:noWrap/>
          </w:tcPr>
          <w:p w14:paraId="782B501A"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0,010</w:t>
            </w:r>
          </w:p>
        </w:tc>
        <w:tc>
          <w:tcPr>
            <w:tcW w:w="1417" w:type="dxa"/>
            <w:noWrap/>
          </w:tcPr>
          <w:p w14:paraId="30ACE9E3"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0,0006</w:t>
            </w:r>
          </w:p>
        </w:tc>
      </w:tr>
      <w:tr w:rsidR="002907A0" w:rsidRPr="00922031" w14:paraId="1DC89093" w14:textId="77777777" w:rsidTr="0DFBE047">
        <w:trPr>
          <w:trHeight w:val="227"/>
        </w:trPr>
        <w:tc>
          <w:tcPr>
            <w:tcW w:w="2694" w:type="dxa"/>
            <w:shd w:val="clear" w:color="auto" w:fill="F2DBDB" w:themeFill="accent2" w:themeFillTint="33"/>
            <w:noWrap/>
          </w:tcPr>
          <w:p w14:paraId="22ADC91E"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Ogrjevno drvo</w:t>
            </w:r>
          </w:p>
        </w:tc>
        <w:tc>
          <w:tcPr>
            <w:tcW w:w="1842" w:type="dxa"/>
            <w:noWrap/>
          </w:tcPr>
          <w:p w14:paraId="00095BF2"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t/TJ</w:t>
            </w:r>
          </w:p>
        </w:tc>
        <w:tc>
          <w:tcPr>
            <w:tcW w:w="1560" w:type="dxa"/>
            <w:noWrap/>
          </w:tcPr>
          <w:p w14:paraId="0218F071"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w:t>
            </w:r>
          </w:p>
        </w:tc>
        <w:tc>
          <w:tcPr>
            <w:tcW w:w="1559" w:type="dxa"/>
            <w:noWrap/>
          </w:tcPr>
          <w:p w14:paraId="11CCC1E6"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0,300</w:t>
            </w:r>
          </w:p>
        </w:tc>
        <w:tc>
          <w:tcPr>
            <w:tcW w:w="1417" w:type="dxa"/>
            <w:noWrap/>
          </w:tcPr>
          <w:p w14:paraId="77374114" w14:textId="77777777" w:rsidR="002907A0" w:rsidRPr="005808FC" w:rsidRDefault="002907A0" w:rsidP="005808FC">
            <w:pPr>
              <w:spacing w:after="0" w:line="240" w:lineRule="auto"/>
              <w:jc w:val="center"/>
              <w:rPr>
                <w:sz w:val="20"/>
                <w:szCs w:val="20"/>
                <w:lang w:eastAsia="hr-HR"/>
              </w:rPr>
            </w:pPr>
            <w:r w:rsidRPr="003E50D1">
              <w:rPr>
                <w:sz w:val="20"/>
                <w:szCs w:val="20"/>
                <w:lang w:eastAsia="hr-HR"/>
              </w:rPr>
              <w:t>0,004</w:t>
            </w:r>
          </w:p>
        </w:tc>
      </w:tr>
    </w:tbl>
    <w:p w14:paraId="325F25DA" w14:textId="77777777" w:rsidR="002907A0" w:rsidRPr="00922031" w:rsidRDefault="002907A0" w:rsidP="001D03F0">
      <w:pPr>
        <w:spacing w:after="0" w:line="240" w:lineRule="auto"/>
        <w:rPr>
          <w:rFonts w:cstheme="minorHAnsi"/>
        </w:rPr>
      </w:pPr>
    </w:p>
    <w:p w14:paraId="073BFCDB" w14:textId="01E91977" w:rsidR="002907A0" w:rsidRPr="00922031" w:rsidRDefault="002907A0" w:rsidP="005808FC">
      <w:pPr>
        <w:spacing w:after="0"/>
      </w:pPr>
      <w:r w:rsidRPr="003E50D1">
        <w:t>Prilikom iskazivanja CO</w:t>
      </w:r>
      <w:r w:rsidRPr="00291DF5">
        <w:rPr>
          <w:vertAlign w:val="subscript"/>
        </w:rPr>
        <w:t>2</w:t>
      </w:r>
      <w:r w:rsidRPr="005808FC">
        <w:t>-ekv emisije, emisije CH</w:t>
      </w:r>
      <w:r w:rsidRPr="005808FC">
        <w:rPr>
          <w:vertAlign w:val="subscript"/>
        </w:rPr>
        <w:t>4</w:t>
      </w:r>
      <w:r w:rsidR="000509A0">
        <w:t xml:space="preserve"> i </w:t>
      </w:r>
      <w:r w:rsidRPr="00291DF5">
        <w:t>N</w:t>
      </w:r>
      <w:r w:rsidRPr="005808FC">
        <w:rPr>
          <w:vertAlign w:val="subscript"/>
        </w:rPr>
        <w:t>2</w:t>
      </w:r>
      <w:r w:rsidRPr="005808FC">
        <w:t>O treba množiti s definiranim stakleničkim potencijalima, koji za CO</w:t>
      </w:r>
      <w:r w:rsidRPr="005808FC">
        <w:rPr>
          <w:vertAlign w:val="subscript"/>
        </w:rPr>
        <w:t>2</w:t>
      </w:r>
      <w:r w:rsidRPr="005808FC">
        <w:t xml:space="preserve"> iznosi 1, za CH</w:t>
      </w:r>
      <w:r w:rsidRPr="005808FC">
        <w:rPr>
          <w:vertAlign w:val="subscript"/>
        </w:rPr>
        <w:t>4</w:t>
      </w:r>
      <w:r w:rsidRPr="005808FC">
        <w:t xml:space="preserve"> 21, a za N</w:t>
      </w:r>
      <w:r w:rsidRPr="005808FC">
        <w:rPr>
          <w:vertAlign w:val="subscript"/>
        </w:rPr>
        <w:t>2</w:t>
      </w:r>
      <w:r w:rsidRPr="005808FC">
        <w:t xml:space="preserve">O 310. U </w:t>
      </w:r>
      <w:r w:rsidR="00FC154F" w:rsidRPr="005808FC">
        <w:t>T</w:t>
      </w:r>
      <w:r w:rsidRPr="005808FC">
        <w:t xml:space="preserve">ablici </w:t>
      </w:r>
      <w:r w:rsidR="00FC154F" w:rsidRPr="005808FC">
        <w:t>4</w:t>
      </w:r>
      <w:r w:rsidRPr="005808FC">
        <w:t xml:space="preserve">.2 te na </w:t>
      </w:r>
      <w:r w:rsidR="00FC154F" w:rsidRPr="005808FC">
        <w:t>S</w:t>
      </w:r>
      <w:r w:rsidRPr="005808FC">
        <w:t xml:space="preserve">lici </w:t>
      </w:r>
      <w:r w:rsidR="00FC154F" w:rsidRPr="005808FC">
        <w:t>4</w:t>
      </w:r>
      <w:r w:rsidRPr="005808FC">
        <w:t>.1 prikazane su emisije CO</w:t>
      </w:r>
      <w:r w:rsidRPr="005808FC">
        <w:rPr>
          <w:vertAlign w:val="subscript"/>
        </w:rPr>
        <w:t>2</w:t>
      </w:r>
      <w:r w:rsidRPr="005808FC">
        <w:t xml:space="preserve"> sektora zgradarstva Grada Zagreba.</w:t>
      </w:r>
    </w:p>
    <w:p w14:paraId="23601D2D" w14:textId="77777777" w:rsidR="002907A0" w:rsidRPr="00922031" w:rsidRDefault="002907A0" w:rsidP="002907A0">
      <w:pPr>
        <w:spacing w:after="0" w:line="240" w:lineRule="auto"/>
        <w:rPr>
          <w:rFonts w:cstheme="minorHAnsi"/>
        </w:rPr>
      </w:pPr>
    </w:p>
    <w:p w14:paraId="394C02FE" w14:textId="5146EA93" w:rsidR="002907A0" w:rsidRPr="005808FC" w:rsidRDefault="0082211F">
      <w:pPr>
        <w:pStyle w:val="Caption"/>
        <w:keepNext/>
        <w:rPr>
          <w:rFonts w:asciiTheme="minorHAnsi" w:hAnsiTheme="minorHAnsi" w:cstheme="minorBidi"/>
          <w:lang w:val="it-IT"/>
        </w:rPr>
      </w:pPr>
      <w:bookmarkStart w:id="47" w:name="_Toc251924017"/>
      <w:bookmarkStart w:id="48" w:name="_Toc4155992"/>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2</w:t>
      </w:r>
      <w:r w:rsidR="0019556A">
        <w:fldChar w:fldCharType="end"/>
      </w:r>
      <w:r w:rsidRPr="005808FC">
        <w:rPr>
          <w:lang w:val="it-IT"/>
        </w:rPr>
        <w:t xml:space="preserve"> -</w:t>
      </w:r>
      <w:r w:rsidR="002907A0" w:rsidRPr="005808FC">
        <w:rPr>
          <w:rFonts w:asciiTheme="minorHAnsi" w:hAnsiTheme="minorHAnsi" w:cstheme="minorBidi"/>
          <w:lang w:val="it-IT"/>
        </w:rPr>
        <w:t xml:space="preserve"> Emisije CO</w:t>
      </w:r>
      <w:r w:rsidR="002907A0" w:rsidRPr="005808FC">
        <w:rPr>
          <w:rFonts w:asciiTheme="minorHAnsi" w:hAnsiTheme="minorHAnsi" w:cstheme="minorBidi"/>
          <w:vertAlign w:val="subscript"/>
          <w:lang w:val="it-IT"/>
        </w:rPr>
        <w:t>2</w:t>
      </w:r>
      <w:r w:rsidR="002907A0" w:rsidRPr="005808FC">
        <w:rPr>
          <w:rFonts w:asciiTheme="minorHAnsi" w:hAnsiTheme="minorHAnsi" w:cstheme="minorBidi"/>
          <w:lang w:val="it-IT"/>
        </w:rPr>
        <w:t xml:space="preserve"> sektora zgradarstva Grada Zagreba</w:t>
      </w:r>
      <w:bookmarkEnd w:id="47"/>
      <w:bookmarkEnd w:id="48"/>
    </w:p>
    <w:tbl>
      <w:tblPr>
        <w:tblW w:w="9226" w:type="dxa"/>
        <w:tblInd w:w="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572"/>
        <w:gridCol w:w="1134"/>
        <w:gridCol w:w="1134"/>
        <w:gridCol w:w="1134"/>
        <w:gridCol w:w="1134"/>
        <w:gridCol w:w="992"/>
        <w:gridCol w:w="850"/>
        <w:gridCol w:w="1276"/>
      </w:tblGrid>
      <w:tr w:rsidR="002907A0" w:rsidRPr="00922031" w14:paraId="58051FD2" w14:textId="77777777" w:rsidTr="005808FC">
        <w:trPr>
          <w:trHeight w:val="227"/>
        </w:trPr>
        <w:tc>
          <w:tcPr>
            <w:tcW w:w="1572" w:type="dxa"/>
            <w:vMerge w:val="restart"/>
            <w:shd w:val="clear" w:color="auto" w:fill="C6D9F1" w:themeFill="text2" w:themeFillTint="33"/>
            <w:noWrap/>
            <w:vAlign w:val="center"/>
          </w:tcPr>
          <w:p w14:paraId="341B943B"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KATEGORIJA</w:t>
            </w:r>
          </w:p>
        </w:tc>
        <w:tc>
          <w:tcPr>
            <w:tcW w:w="7654" w:type="dxa"/>
            <w:gridSpan w:val="7"/>
            <w:shd w:val="clear" w:color="auto" w:fill="C6D9F1" w:themeFill="text2" w:themeFillTint="33"/>
            <w:noWrap/>
            <w:vAlign w:val="center"/>
          </w:tcPr>
          <w:p w14:paraId="211259A0"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Emisija, t CO</w:t>
            </w:r>
            <w:r w:rsidRPr="00291DF5">
              <w:rPr>
                <w:b/>
                <w:bCs/>
                <w:sz w:val="20"/>
                <w:szCs w:val="20"/>
                <w:vertAlign w:val="subscript"/>
                <w:lang w:eastAsia="hr-HR"/>
              </w:rPr>
              <w:t>2</w:t>
            </w:r>
          </w:p>
        </w:tc>
      </w:tr>
      <w:tr w:rsidR="002907A0" w:rsidRPr="00922031" w14:paraId="11D60245" w14:textId="77777777" w:rsidTr="005808FC">
        <w:trPr>
          <w:trHeight w:val="227"/>
        </w:trPr>
        <w:tc>
          <w:tcPr>
            <w:tcW w:w="1572" w:type="dxa"/>
            <w:vMerge/>
            <w:shd w:val="clear" w:color="auto" w:fill="C6D9F1" w:themeFill="text2" w:themeFillTint="33"/>
            <w:vAlign w:val="center"/>
          </w:tcPr>
          <w:p w14:paraId="57A2AD2E" w14:textId="77777777" w:rsidR="002907A0" w:rsidRPr="00922031" w:rsidRDefault="002907A0" w:rsidP="002907A0">
            <w:pPr>
              <w:spacing w:after="0" w:line="240" w:lineRule="auto"/>
              <w:jc w:val="center"/>
              <w:rPr>
                <w:rFonts w:cstheme="minorHAnsi"/>
                <w:b/>
                <w:bCs/>
                <w:sz w:val="20"/>
                <w:szCs w:val="20"/>
                <w:lang w:eastAsia="hr-HR"/>
              </w:rPr>
            </w:pPr>
          </w:p>
        </w:tc>
        <w:tc>
          <w:tcPr>
            <w:tcW w:w="1134" w:type="dxa"/>
            <w:shd w:val="clear" w:color="auto" w:fill="C6D9F1" w:themeFill="text2" w:themeFillTint="33"/>
            <w:vAlign w:val="center"/>
          </w:tcPr>
          <w:p w14:paraId="16DA9B26"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potrošnje el. en.</w:t>
            </w:r>
          </w:p>
        </w:tc>
        <w:tc>
          <w:tcPr>
            <w:tcW w:w="1134" w:type="dxa"/>
            <w:shd w:val="clear" w:color="auto" w:fill="C6D9F1" w:themeFill="text2" w:themeFillTint="33"/>
            <w:vAlign w:val="center"/>
          </w:tcPr>
          <w:p w14:paraId="5B7EC7AF"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 xml:space="preserve">iz potrošnje </w:t>
            </w:r>
            <w:r w:rsidRPr="00291DF5">
              <w:rPr>
                <w:b/>
                <w:bCs/>
                <w:sz w:val="18"/>
                <w:szCs w:val="18"/>
                <w:lang w:eastAsia="hr-HR"/>
              </w:rPr>
              <w:t>topline</w:t>
            </w:r>
          </w:p>
        </w:tc>
        <w:tc>
          <w:tcPr>
            <w:tcW w:w="1134" w:type="dxa"/>
            <w:shd w:val="clear" w:color="auto" w:fill="C6D9F1" w:themeFill="text2" w:themeFillTint="33"/>
            <w:vAlign w:val="center"/>
          </w:tcPr>
          <w:p w14:paraId="29BF7E56"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potrošnje prirodnog plina</w:t>
            </w:r>
          </w:p>
        </w:tc>
        <w:tc>
          <w:tcPr>
            <w:tcW w:w="1134" w:type="dxa"/>
            <w:shd w:val="clear" w:color="auto" w:fill="C6D9F1" w:themeFill="text2" w:themeFillTint="33"/>
            <w:vAlign w:val="center"/>
          </w:tcPr>
          <w:p w14:paraId="325E6317"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potrošnje lož ulja</w:t>
            </w:r>
          </w:p>
        </w:tc>
        <w:tc>
          <w:tcPr>
            <w:tcW w:w="992" w:type="dxa"/>
            <w:shd w:val="clear" w:color="auto" w:fill="C6D9F1" w:themeFill="text2" w:themeFillTint="33"/>
            <w:vAlign w:val="center"/>
          </w:tcPr>
          <w:p w14:paraId="6A0C2585"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potrošnje LPG-a</w:t>
            </w:r>
          </w:p>
        </w:tc>
        <w:tc>
          <w:tcPr>
            <w:tcW w:w="850" w:type="dxa"/>
            <w:shd w:val="clear" w:color="auto" w:fill="C6D9F1" w:themeFill="text2" w:themeFillTint="33"/>
            <w:vAlign w:val="center"/>
          </w:tcPr>
          <w:p w14:paraId="6F085A0C"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potr.</w:t>
            </w:r>
          </w:p>
          <w:p w14:paraId="2E736C6E"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ogrjev. drva</w:t>
            </w:r>
          </w:p>
        </w:tc>
        <w:tc>
          <w:tcPr>
            <w:tcW w:w="1276" w:type="dxa"/>
            <w:shd w:val="clear" w:color="auto" w:fill="C6D9F1" w:themeFill="text2" w:themeFillTint="33"/>
            <w:vAlign w:val="center"/>
          </w:tcPr>
          <w:p w14:paraId="1D138B5C" w14:textId="77777777" w:rsidR="002907A0" w:rsidRPr="005808FC" w:rsidRDefault="002907A0" w:rsidP="005808FC">
            <w:pPr>
              <w:spacing w:after="0" w:line="240" w:lineRule="auto"/>
              <w:jc w:val="center"/>
              <w:rPr>
                <w:b/>
                <w:bCs/>
                <w:sz w:val="18"/>
                <w:szCs w:val="18"/>
                <w:lang w:eastAsia="hr-HR"/>
              </w:rPr>
            </w:pPr>
            <w:r w:rsidRPr="003E50D1">
              <w:rPr>
                <w:b/>
                <w:bCs/>
                <w:sz w:val="18"/>
                <w:szCs w:val="18"/>
                <w:lang w:eastAsia="hr-HR"/>
              </w:rPr>
              <w:t>iz svih izvora</w:t>
            </w:r>
          </w:p>
        </w:tc>
      </w:tr>
      <w:tr w:rsidR="002907A0" w:rsidRPr="00922031" w14:paraId="5B0F7853" w14:textId="77777777" w:rsidTr="005808FC">
        <w:trPr>
          <w:trHeight w:val="227"/>
        </w:trPr>
        <w:tc>
          <w:tcPr>
            <w:tcW w:w="7950" w:type="dxa"/>
            <w:gridSpan w:val="7"/>
            <w:tcBorders>
              <w:bottom w:val="single" w:sz="8" w:space="0" w:color="auto"/>
            </w:tcBorders>
            <w:shd w:val="clear" w:color="auto" w:fill="auto"/>
            <w:noWrap/>
            <w:vAlign w:val="center"/>
          </w:tcPr>
          <w:p w14:paraId="5A21CD3C" w14:textId="668294CA" w:rsidR="002907A0" w:rsidRPr="005808FC" w:rsidRDefault="002907A0" w:rsidP="005808FC">
            <w:pPr>
              <w:spacing w:after="0" w:line="240" w:lineRule="auto"/>
              <w:rPr>
                <w:b/>
                <w:bCs/>
                <w:sz w:val="20"/>
                <w:szCs w:val="20"/>
                <w:lang w:eastAsia="hr-HR"/>
              </w:rPr>
            </w:pPr>
            <w:r w:rsidRPr="003E50D1">
              <w:rPr>
                <w:b/>
                <w:bCs/>
                <w:sz w:val="20"/>
                <w:szCs w:val="20"/>
                <w:lang w:eastAsia="hr-HR"/>
              </w:rPr>
              <w:t>STAMBENE</w:t>
            </w:r>
            <w:r w:rsidR="000509A0">
              <w:rPr>
                <w:b/>
                <w:bCs/>
                <w:sz w:val="20"/>
                <w:szCs w:val="20"/>
                <w:lang w:eastAsia="hr-HR"/>
              </w:rPr>
              <w:t xml:space="preserve"> i </w:t>
            </w:r>
            <w:r w:rsidRPr="003E50D1">
              <w:rPr>
                <w:b/>
                <w:bCs/>
                <w:sz w:val="20"/>
                <w:szCs w:val="20"/>
                <w:lang w:eastAsia="hr-HR"/>
              </w:rPr>
              <w:t>JAVNE ZGRADE U VLASNIŠTVU GRADA</w:t>
            </w:r>
          </w:p>
        </w:tc>
        <w:tc>
          <w:tcPr>
            <w:tcW w:w="1276" w:type="dxa"/>
            <w:tcBorders>
              <w:bottom w:val="single" w:sz="8" w:space="0" w:color="auto"/>
            </w:tcBorders>
            <w:shd w:val="clear" w:color="auto" w:fill="auto"/>
            <w:noWrap/>
            <w:vAlign w:val="center"/>
          </w:tcPr>
          <w:p w14:paraId="5DCB4B2A" w14:textId="77777777" w:rsidR="002907A0" w:rsidRPr="00922031" w:rsidRDefault="002907A0" w:rsidP="002907A0">
            <w:pPr>
              <w:spacing w:after="0" w:line="240" w:lineRule="auto"/>
              <w:jc w:val="center"/>
              <w:rPr>
                <w:rFonts w:cstheme="minorHAnsi"/>
                <w:b/>
                <w:sz w:val="20"/>
                <w:szCs w:val="20"/>
                <w:lang w:eastAsia="hr-HR"/>
              </w:rPr>
            </w:pPr>
          </w:p>
        </w:tc>
      </w:tr>
      <w:tr w:rsidR="002907A0" w:rsidRPr="00922031" w14:paraId="05CA7567" w14:textId="77777777" w:rsidTr="005808FC">
        <w:trPr>
          <w:trHeight w:val="227"/>
        </w:trPr>
        <w:tc>
          <w:tcPr>
            <w:tcW w:w="1572" w:type="dxa"/>
            <w:tcBorders>
              <w:bottom w:val="single" w:sz="4" w:space="0" w:color="auto"/>
            </w:tcBorders>
            <w:shd w:val="clear" w:color="auto" w:fill="F2DBDB" w:themeFill="accent2" w:themeFillTint="33"/>
            <w:noWrap/>
            <w:vAlign w:val="center"/>
          </w:tcPr>
          <w:p w14:paraId="7B8801D5" w14:textId="77777777"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Školstvo</w:t>
            </w:r>
          </w:p>
        </w:tc>
        <w:tc>
          <w:tcPr>
            <w:tcW w:w="1134" w:type="dxa"/>
            <w:tcBorders>
              <w:bottom w:val="single" w:sz="4" w:space="0" w:color="auto"/>
            </w:tcBorders>
            <w:shd w:val="clear" w:color="auto" w:fill="auto"/>
            <w:noWrap/>
            <w:vAlign w:val="bottom"/>
          </w:tcPr>
          <w:p w14:paraId="2BBB47FC" w14:textId="77777777" w:rsidR="002907A0" w:rsidRPr="005808FC" w:rsidRDefault="002907A0" w:rsidP="005808FC">
            <w:pPr>
              <w:spacing w:after="0" w:line="240" w:lineRule="auto"/>
              <w:jc w:val="right"/>
              <w:rPr>
                <w:sz w:val="20"/>
                <w:szCs w:val="20"/>
              </w:rPr>
            </w:pPr>
            <w:r w:rsidRPr="003E50D1">
              <w:rPr>
                <w:sz w:val="20"/>
                <w:szCs w:val="20"/>
              </w:rPr>
              <w:t>7 784,4</w:t>
            </w:r>
          </w:p>
        </w:tc>
        <w:tc>
          <w:tcPr>
            <w:tcW w:w="1134" w:type="dxa"/>
            <w:tcBorders>
              <w:bottom w:val="single" w:sz="4" w:space="0" w:color="auto"/>
            </w:tcBorders>
            <w:shd w:val="clear" w:color="auto" w:fill="auto"/>
            <w:noWrap/>
            <w:vAlign w:val="bottom"/>
          </w:tcPr>
          <w:p w14:paraId="4AC54EE9" w14:textId="77777777" w:rsidR="002907A0" w:rsidRPr="005808FC" w:rsidRDefault="002907A0" w:rsidP="005808FC">
            <w:pPr>
              <w:spacing w:after="0" w:line="240" w:lineRule="auto"/>
              <w:jc w:val="right"/>
              <w:rPr>
                <w:sz w:val="20"/>
                <w:szCs w:val="20"/>
              </w:rPr>
            </w:pPr>
            <w:r w:rsidRPr="003E50D1">
              <w:rPr>
                <w:sz w:val="20"/>
                <w:szCs w:val="20"/>
              </w:rPr>
              <w:t>14 229,9</w:t>
            </w:r>
          </w:p>
        </w:tc>
        <w:tc>
          <w:tcPr>
            <w:tcW w:w="1134" w:type="dxa"/>
            <w:tcBorders>
              <w:bottom w:val="single" w:sz="4" w:space="0" w:color="auto"/>
            </w:tcBorders>
            <w:shd w:val="clear" w:color="auto" w:fill="auto"/>
            <w:noWrap/>
            <w:vAlign w:val="bottom"/>
          </w:tcPr>
          <w:p w14:paraId="0E711B9C" w14:textId="77777777" w:rsidR="002907A0" w:rsidRPr="005808FC" w:rsidRDefault="002907A0" w:rsidP="005808FC">
            <w:pPr>
              <w:spacing w:after="0" w:line="240" w:lineRule="auto"/>
              <w:jc w:val="right"/>
              <w:rPr>
                <w:sz w:val="20"/>
                <w:szCs w:val="20"/>
              </w:rPr>
            </w:pPr>
            <w:r w:rsidRPr="003E50D1">
              <w:rPr>
                <w:sz w:val="20"/>
                <w:szCs w:val="20"/>
              </w:rPr>
              <w:t>9 895,4</w:t>
            </w:r>
          </w:p>
        </w:tc>
        <w:tc>
          <w:tcPr>
            <w:tcW w:w="1134" w:type="dxa"/>
            <w:tcBorders>
              <w:bottom w:val="single" w:sz="4" w:space="0" w:color="auto"/>
            </w:tcBorders>
            <w:shd w:val="clear" w:color="auto" w:fill="auto"/>
            <w:noWrap/>
            <w:vAlign w:val="bottom"/>
          </w:tcPr>
          <w:p w14:paraId="243CF6C8" w14:textId="77777777" w:rsidR="002907A0" w:rsidRPr="005808FC" w:rsidRDefault="002907A0" w:rsidP="005808FC">
            <w:pPr>
              <w:spacing w:after="0" w:line="240" w:lineRule="auto"/>
              <w:jc w:val="right"/>
              <w:rPr>
                <w:sz w:val="20"/>
                <w:szCs w:val="20"/>
              </w:rPr>
            </w:pPr>
            <w:r w:rsidRPr="003E50D1">
              <w:rPr>
                <w:sz w:val="20"/>
                <w:szCs w:val="20"/>
              </w:rPr>
              <w:t>11 226,7</w:t>
            </w:r>
          </w:p>
        </w:tc>
        <w:tc>
          <w:tcPr>
            <w:tcW w:w="992" w:type="dxa"/>
            <w:tcBorders>
              <w:bottom w:val="single" w:sz="4" w:space="0" w:color="auto"/>
            </w:tcBorders>
            <w:shd w:val="clear" w:color="auto" w:fill="auto"/>
            <w:vAlign w:val="bottom"/>
          </w:tcPr>
          <w:p w14:paraId="51D41898"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vMerge w:val="restart"/>
            <w:tcBorders>
              <w:bottom w:val="single" w:sz="4" w:space="0" w:color="auto"/>
            </w:tcBorders>
            <w:shd w:val="clear" w:color="auto" w:fill="auto"/>
            <w:noWrap/>
            <w:vAlign w:val="center"/>
          </w:tcPr>
          <w:p w14:paraId="50C05310"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bottom w:val="single" w:sz="4" w:space="0" w:color="auto"/>
            </w:tcBorders>
            <w:shd w:val="clear" w:color="auto" w:fill="auto"/>
            <w:noWrap/>
            <w:vAlign w:val="bottom"/>
          </w:tcPr>
          <w:p w14:paraId="7D3F7077" w14:textId="77777777" w:rsidR="002907A0" w:rsidRPr="005808FC" w:rsidRDefault="002907A0" w:rsidP="005808FC">
            <w:pPr>
              <w:spacing w:after="0" w:line="240" w:lineRule="auto"/>
              <w:jc w:val="right"/>
              <w:rPr>
                <w:sz w:val="20"/>
                <w:szCs w:val="20"/>
              </w:rPr>
            </w:pPr>
            <w:r w:rsidRPr="003E50D1">
              <w:rPr>
                <w:sz w:val="20"/>
                <w:szCs w:val="20"/>
              </w:rPr>
              <w:t>43 136,3</w:t>
            </w:r>
          </w:p>
        </w:tc>
      </w:tr>
      <w:tr w:rsidR="002907A0" w:rsidRPr="00922031" w14:paraId="2E469ED8" w14:textId="77777777" w:rsidTr="005808FC">
        <w:trPr>
          <w:trHeight w:val="227"/>
        </w:trPr>
        <w:tc>
          <w:tcPr>
            <w:tcW w:w="1572" w:type="dxa"/>
            <w:tcBorders>
              <w:top w:val="single" w:sz="4" w:space="0" w:color="auto"/>
              <w:bottom w:val="single" w:sz="4" w:space="0" w:color="auto"/>
            </w:tcBorders>
            <w:shd w:val="clear" w:color="auto" w:fill="F2DBDB" w:themeFill="accent2" w:themeFillTint="33"/>
            <w:noWrap/>
            <w:vAlign w:val="center"/>
          </w:tcPr>
          <w:p w14:paraId="4306A0BF" w14:textId="77777777"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Zdravstvo</w:t>
            </w:r>
          </w:p>
        </w:tc>
        <w:tc>
          <w:tcPr>
            <w:tcW w:w="1134" w:type="dxa"/>
            <w:tcBorders>
              <w:top w:val="single" w:sz="4" w:space="0" w:color="auto"/>
              <w:bottom w:val="single" w:sz="4" w:space="0" w:color="auto"/>
            </w:tcBorders>
            <w:shd w:val="clear" w:color="auto" w:fill="auto"/>
            <w:noWrap/>
            <w:vAlign w:val="bottom"/>
          </w:tcPr>
          <w:p w14:paraId="70519F4B" w14:textId="77777777" w:rsidR="002907A0" w:rsidRPr="005808FC" w:rsidRDefault="002907A0" w:rsidP="005808FC">
            <w:pPr>
              <w:spacing w:after="0" w:line="240" w:lineRule="auto"/>
              <w:jc w:val="right"/>
              <w:rPr>
                <w:sz w:val="20"/>
                <w:szCs w:val="20"/>
              </w:rPr>
            </w:pPr>
            <w:r w:rsidRPr="003E50D1">
              <w:rPr>
                <w:sz w:val="20"/>
                <w:szCs w:val="20"/>
              </w:rPr>
              <w:t>6 277,3</w:t>
            </w:r>
          </w:p>
        </w:tc>
        <w:tc>
          <w:tcPr>
            <w:tcW w:w="1134" w:type="dxa"/>
            <w:tcBorders>
              <w:top w:val="single" w:sz="4" w:space="0" w:color="auto"/>
              <w:bottom w:val="single" w:sz="4" w:space="0" w:color="auto"/>
            </w:tcBorders>
            <w:shd w:val="clear" w:color="auto" w:fill="auto"/>
            <w:noWrap/>
            <w:vAlign w:val="bottom"/>
          </w:tcPr>
          <w:p w14:paraId="0658ED45" w14:textId="77777777" w:rsidR="002907A0" w:rsidRPr="005808FC" w:rsidRDefault="002907A0" w:rsidP="005808FC">
            <w:pPr>
              <w:spacing w:after="0" w:line="240" w:lineRule="auto"/>
              <w:jc w:val="right"/>
              <w:rPr>
                <w:sz w:val="20"/>
                <w:szCs w:val="20"/>
              </w:rPr>
            </w:pPr>
            <w:r w:rsidRPr="003E50D1">
              <w:rPr>
                <w:sz w:val="20"/>
                <w:szCs w:val="20"/>
              </w:rPr>
              <w:t>10 809,2</w:t>
            </w:r>
          </w:p>
        </w:tc>
        <w:tc>
          <w:tcPr>
            <w:tcW w:w="1134" w:type="dxa"/>
            <w:tcBorders>
              <w:top w:val="single" w:sz="4" w:space="0" w:color="auto"/>
              <w:bottom w:val="single" w:sz="4" w:space="0" w:color="auto"/>
            </w:tcBorders>
            <w:shd w:val="clear" w:color="auto" w:fill="auto"/>
            <w:noWrap/>
            <w:vAlign w:val="bottom"/>
          </w:tcPr>
          <w:p w14:paraId="1C932EA2" w14:textId="77777777" w:rsidR="002907A0" w:rsidRPr="005808FC" w:rsidRDefault="002907A0" w:rsidP="005808FC">
            <w:pPr>
              <w:spacing w:after="0" w:line="240" w:lineRule="auto"/>
              <w:jc w:val="right"/>
              <w:rPr>
                <w:sz w:val="20"/>
                <w:szCs w:val="20"/>
              </w:rPr>
            </w:pPr>
            <w:r w:rsidRPr="003E50D1">
              <w:rPr>
                <w:sz w:val="20"/>
                <w:szCs w:val="20"/>
              </w:rPr>
              <w:t>9 832,6</w:t>
            </w:r>
          </w:p>
        </w:tc>
        <w:tc>
          <w:tcPr>
            <w:tcW w:w="1134" w:type="dxa"/>
            <w:tcBorders>
              <w:top w:val="single" w:sz="4" w:space="0" w:color="auto"/>
              <w:bottom w:val="single" w:sz="4" w:space="0" w:color="auto"/>
            </w:tcBorders>
            <w:shd w:val="clear" w:color="auto" w:fill="auto"/>
            <w:noWrap/>
            <w:vAlign w:val="bottom"/>
          </w:tcPr>
          <w:p w14:paraId="5570CA07" w14:textId="77777777" w:rsidR="002907A0" w:rsidRPr="005808FC" w:rsidRDefault="002907A0" w:rsidP="005808FC">
            <w:pPr>
              <w:spacing w:after="0" w:line="240" w:lineRule="auto"/>
              <w:jc w:val="right"/>
              <w:rPr>
                <w:sz w:val="20"/>
                <w:szCs w:val="20"/>
              </w:rPr>
            </w:pPr>
            <w:r w:rsidRPr="003E50D1">
              <w:rPr>
                <w:sz w:val="20"/>
                <w:szCs w:val="20"/>
              </w:rPr>
              <w:t>47,0</w:t>
            </w:r>
          </w:p>
        </w:tc>
        <w:tc>
          <w:tcPr>
            <w:tcW w:w="992" w:type="dxa"/>
            <w:tcBorders>
              <w:top w:val="single" w:sz="4" w:space="0" w:color="auto"/>
              <w:bottom w:val="single" w:sz="4" w:space="0" w:color="auto"/>
            </w:tcBorders>
            <w:shd w:val="clear" w:color="auto" w:fill="auto"/>
            <w:vAlign w:val="bottom"/>
          </w:tcPr>
          <w:p w14:paraId="63034BD4"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vMerge/>
            <w:tcBorders>
              <w:top w:val="single" w:sz="4" w:space="0" w:color="auto"/>
              <w:bottom w:val="single" w:sz="4" w:space="0" w:color="auto"/>
            </w:tcBorders>
            <w:shd w:val="clear" w:color="auto" w:fill="auto"/>
            <w:noWrap/>
            <w:vAlign w:val="center"/>
          </w:tcPr>
          <w:p w14:paraId="1080E354"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top w:val="single" w:sz="4" w:space="0" w:color="auto"/>
              <w:bottom w:val="single" w:sz="4" w:space="0" w:color="auto"/>
            </w:tcBorders>
            <w:shd w:val="clear" w:color="auto" w:fill="auto"/>
            <w:noWrap/>
            <w:vAlign w:val="bottom"/>
          </w:tcPr>
          <w:p w14:paraId="3B9DC2CA" w14:textId="77777777" w:rsidR="002907A0" w:rsidRPr="005808FC" w:rsidRDefault="002907A0" w:rsidP="005808FC">
            <w:pPr>
              <w:spacing w:after="0" w:line="240" w:lineRule="auto"/>
              <w:jc w:val="right"/>
              <w:rPr>
                <w:sz w:val="20"/>
                <w:szCs w:val="20"/>
              </w:rPr>
            </w:pPr>
            <w:r w:rsidRPr="003E50D1">
              <w:rPr>
                <w:sz w:val="20"/>
                <w:szCs w:val="20"/>
              </w:rPr>
              <w:t>26 966,0</w:t>
            </w:r>
          </w:p>
        </w:tc>
      </w:tr>
      <w:tr w:rsidR="002907A0" w:rsidRPr="00922031" w14:paraId="6428E529" w14:textId="77777777" w:rsidTr="005808FC">
        <w:trPr>
          <w:trHeight w:val="227"/>
        </w:trPr>
        <w:tc>
          <w:tcPr>
            <w:tcW w:w="1572" w:type="dxa"/>
            <w:tcBorders>
              <w:top w:val="single" w:sz="4" w:space="0" w:color="auto"/>
              <w:bottom w:val="single" w:sz="4" w:space="0" w:color="auto"/>
            </w:tcBorders>
            <w:shd w:val="clear" w:color="auto" w:fill="F2DBDB" w:themeFill="accent2" w:themeFillTint="33"/>
            <w:noWrap/>
            <w:vAlign w:val="center"/>
          </w:tcPr>
          <w:p w14:paraId="664887AD" w14:textId="77777777"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Uprava</w:t>
            </w:r>
          </w:p>
        </w:tc>
        <w:tc>
          <w:tcPr>
            <w:tcW w:w="1134" w:type="dxa"/>
            <w:tcBorders>
              <w:top w:val="single" w:sz="4" w:space="0" w:color="auto"/>
              <w:bottom w:val="single" w:sz="4" w:space="0" w:color="auto"/>
            </w:tcBorders>
            <w:shd w:val="clear" w:color="auto" w:fill="auto"/>
            <w:noWrap/>
            <w:vAlign w:val="bottom"/>
          </w:tcPr>
          <w:p w14:paraId="0789F56E" w14:textId="77777777" w:rsidR="002907A0" w:rsidRPr="005808FC" w:rsidRDefault="002907A0" w:rsidP="005808FC">
            <w:pPr>
              <w:spacing w:after="0" w:line="240" w:lineRule="auto"/>
              <w:jc w:val="right"/>
              <w:rPr>
                <w:sz w:val="20"/>
                <w:szCs w:val="20"/>
              </w:rPr>
            </w:pPr>
            <w:r w:rsidRPr="003E50D1">
              <w:rPr>
                <w:sz w:val="20"/>
                <w:szCs w:val="20"/>
              </w:rPr>
              <w:t>1 856,1</w:t>
            </w:r>
          </w:p>
        </w:tc>
        <w:tc>
          <w:tcPr>
            <w:tcW w:w="1134" w:type="dxa"/>
            <w:tcBorders>
              <w:top w:val="single" w:sz="4" w:space="0" w:color="auto"/>
              <w:bottom w:val="single" w:sz="4" w:space="0" w:color="auto"/>
            </w:tcBorders>
            <w:shd w:val="clear" w:color="auto" w:fill="auto"/>
            <w:noWrap/>
            <w:vAlign w:val="bottom"/>
          </w:tcPr>
          <w:p w14:paraId="529940EC" w14:textId="77777777" w:rsidR="002907A0" w:rsidRPr="005808FC" w:rsidRDefault="002907A0" w:rsidP="005808FC">
            <w:pPr>
              <w:spacing w:after="0" w:line="240" w:lineRule="auto"/>
              <w:jc w:val="right"/>
              <w:rPr>
                <w:sz w:val="20"/>
                <w:szCs w:val="20"/>
              </w:rPr>
            </w:pPr>
            <w:r w:rsidRPr="003E50D1">
              <w:rPr>
                <w:sz w:val="20"/>
                <w:szCs w:val="20"/>
              </w:rPr>
              <w:t>1 930,8</w:t>
            </w:r>
          </w:p>
        </w:tc>
        <w:tc>
          <w:tcPr>
            <w:tcW w:w="1134" w:type="dxa"/>
            <w:tcBorders>
              <w:top w:val="single" w:sz="4" w:space="0" w:color="auto"/>
              <w:bottom w:val="single" w:sz="4" w:space="0" w:color="auto"/>
            </w:tcBorders>
            <w:shd w:val="clear" w:color="auto" w:fill="auto"/>
            <w:noWrap/>
            <w:vAlign w:val="bottom"/>
          </w:tcPr>
          <w:p w14:paraId="5C5C6DE8" w14:textId="77777777" w:rsidR="002907A0" w:rsidRPr="005808FC" w:rsidRDefault="002907A0" w:rsidP="005808FC">
            <w:pPr>
              <w:spacing w:after="0" w:line="240" w:lineRule="auto"/>
              <w:jc w:val="right"/>
              <w:rPr>
                <w:sz w:val="20"/>
                <w:szCs w:val="20"/>
              </w:rPr>
            </w:pPr>
            <w:r w:rsidRPr="003E50D1">
              <w:rPr>
                <w:sz w:val="20"/>
                <w:szCs w:val="20"/>
              </w:rPr>
              <w:t>1 249,8</w:t>
            </w:r>
          </w:p>
        </w:tc>
        <w:tc>
          <w:tcPr>
            <w:tcW w:w="1134" w:type="dxa"/>
            <w:tcBorders>
              <w:top w:val="single" w:sz="4" w:space="0" w:color="auto"/>
              <w:bottom w:val="single" w:sz="4" w:space="0" w:color="auto"/>
            </w:tcBorders>
            <w:shd w:val="clear" w:color="auto" w:fill="auto"/>
            <w:noWrap/>
            <w:vAlign w:val="bottom"/>
          </w:tcPr>
          <w:p w14:paraId="60F144C1" w14:textId="77777777" w:rsidR="002907A0" w:rsidRPr="005808FC" w:rsidRDefault="002907A0" w:rsidP="005808FC">
            <w:pPr>
              <w:spacing w:after="0" w:line="240" w:lineRule="auto"/>
              <w:jc w:val="right"/>
              <w:rPr>
                <w:sz w:val="20"/>
                <w:szCs w:val="20"/>
              </w:rPr>
            </w:pPr>
            <w:r w:rsidRPr="003E50D1">
              <w:rPr>
                <w:sz w:val="20"/>
                <w:szCs w:val="20"/>
              </w:rPr>
              <w:t>1 299,9</w:t>
            </w:r>
          </w:p>
        </w:tc>
        <w:tc>
          <w:tcPr>
            <w:tcW w:w="992" w:type="dxa"/>
            <w:tcBorders>
              <w:top w:val="single" w:sz="4" w:space="0" w:color="auto"/>
              <w:bottom w:val="single" w:sz="4" w:space="0" w:color="auto"/>
            </w:tcBorders>
            <w:shd w:val="clear" w:color="auto" w:fill="auto"/>
            <w:vAlign w:val="bottom"/>
          </w:tcPr>
          <w:p w14:paraId="22E79A66"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vMerge/>
            <w:tcBorders>
              <w:top w:val="single" w:sz="4" w:space="0" w:color="auto"/>
              <w:bottom w:val="single" w:sz="4" w:space="0" w:color="auto"/>
            </w:tcBorders>
            <w:shd w:val="clear" w:color="auto" w:fill="auto"/>
            <w:noWrap/>
            <w:vAlign w:val="center"/>
          </w:tcPr>
          <w:p w14:paraId="2A1AFF51"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top w:val="single" w:sz="4" w:space="0" w:color="auto"/>
              <w:bottom w:val="single" w:sz="4" w:space="0" w:color="auto"/>
            </w:tcBorders>
            <w:shd w:val="clear" w:color="auto" w:fill="auto"/>
            <w:noWrap/>
            <w:vAlign w:val="bottom"/>
          </w:tcPr>
          <w:p w14:paraId="68C18C1B" w14:textId="77777777" w:rsidR="002907A0" w:rsidRPr="005808FC" w:rsidRDefault="002907A0" w:rsidP="005808FC">
            <w:pPr>
              <w:spacing w:after="0" w:line="240" w:lineRule="auto"/>
              <w:jc w:val="right"/>
              <w:rPr>
                <w:sz w:val="20"/>
                <w:szCs w:val="20"/>
              </w:rPr>
            </w:pPr>
            <w:r w:rsidRPr="003E50D1">
              <w:rPr>
                <w:sz w:val="20"/>
                <w:szCs w:val="20"/>
              </w:rPr>
              <w:t>6 336,7</w:t>
            </w:r>
          </w:p>
        </w:tc>
      </w:tr>
      <w:tr w:rsidR="002907A0" w:rsidRPr="00922031" w14:paraId="436691E3" w14:textId="77777777" w:rsidTr="005808FC">
        <w:trPr>
          <w:trHeight w:val="227"/>
        </w:trPr>
        <w:tc>
          <w:tcPr>
            <w:tcW w:w="1572" w:type="dxa"/>
            <w:tcBorders>
              <w:top w:val="single" w:sz="4" w:space="0" w:color="auto"/>
              <w:bottom w:val="single" w:sz="4" w:space="0" w:color="auto"/>
            </w:tcBorders>
            <w:shd w:val="clear" w:color="auto" w:fill="F2DBDB" w:themeFill="accent2" w:themeFillTint="33"/>
            <w:noWrap/>
            <w:vAlign w:val="center"/>
          </w:tcPr>
          <w:p w14:paraId="0FEC51AE" w14:textId="77777777"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Kultura</w:t>
            </w:r>
          </w:p>
        </w:tc>
        <w:tc>
          <w:tcPr>
            <w:tcW w:w="1134" w:type="dxa"/>
            <w:tcBorders>
              <w:top w:val="single" w:sz="4" w:space="0" w:color="auto"/>
              <w:bottom w:val="single" w:sz="4" w:space="0" w:color="auto"/>
            </w:tcBorders>
            <w:shd w:val="clear" w:color="auto" w:fill="auto"/>
            <w:noWrap/>
            <w:vAlign w:val="bottom"/>
          </w:tcPr>
          <w:p w14:paraId="78063662" w14:textId="77777777" w:rsidR="002907A0" w:rsidRPr="005808FC" w:rsidRDefault="002907A0" w:rsidP="005808FC">
            <w:pPr>
              <w:spacing w:after="0" w:line="240" w:lineRule="auto"/>
              <w:jc w:val="right"/>
              <w:rPr>
                <w:sz w:val="20"/>
                <w:szCs w:val="20"/>
              </w:rPr>
            </w:pPr>
            <w:r w:rsidRPr="003E50D1">
              <w:rPr>
                <w:sz w:val="20"/>
                <w:szCs w:val="20"/>
              </w:rPr>
              <w:t>2 190,5</w:t>
            </w:r>
          </w:p>
        </w:tc>
        <w:tc>
          <w:tcPr>
            <w:tcW w:w="1134" w:type="dxa"/>
            <w:tcBorders>
              <w:top w:val="single" w:sz="4" w:space="0" w:color="auto"/>
              <w:bottom w:val="single" w:sz="4" w:space="0" w:color="auto"/>
            </w:tcBorders>
            <w:shd w:val="clear" w:color="auto" w:fill="auto"/>
            <w:noWrap/>
            <w:vAlign w:val="bottom"/>
          </w:tcPr>
          <w:p w14:paraId="216133F5" w14:textId="77777777" w:rsidR="002907A0" w:rsidRPr="005808FC" w:rsidRDefault="002907A0" w:rsidP="005808FC">
            <w:pPr>
              <w:spacing w:after="0" w:line="240" w:lineRule="auto"/>
              <w:jc w:val="right"/>
              <w:rPr>
                <w:sz w:val="20"/>
                <w:szCs w:val="20"/>
              </w:rPr>
            </w:pPr>
            <w:r w:rsidRPr="003E50D1">
              <w:rPr>
                <w:sz w:val="20"/>
                <w:szCs w:val="20"/>
              </w:rPr>
              <w:t>18,8</w:t>
            </w:r>
          </w:p>
        </w:tc>
        <w:tc>
          <w:tcPr>
            <w:tcW w:w="1134" w:type="dxa"/>
            <w:tcBorders>
              <w:top w:val="single" w:sz="4" w:space="0" w:color="auto"/>
              <w:bottom w:val="single" w:sz="4" w:space="0" w:color="auto"/>
            </w:tcBorders>
            <w:shd w:val="clear" w:color="auto" w:fill="auto"/>
            <w:noWrap/>
            <w:vAlign w:val="bottom"/>
          </w:tcPr>
          <w:p w14:paraId="2912F647" w14:textId="77777777" w:rsidR="002907A0" w:rsidRPr="005808FC" w:rsidRDefault="002907A0" w:rsidP="005808FC">
            <w:pPr>
              <w:spacing w:after="0" w:line="240" w:lineRule="auto"/>
              <w:jc w:val="right"/>
              <w:rPr>
                <w:sz w:val="20"/>
                <w:szCs w:val="20"/>
              </w:rPr>
            </w:pPr>
            <w:r w:rsidRPr="003E50D1">
              <w:rPr>
                <w:sz w:val="20"/>
                <w:szCs w:val="20"/>
              </w:rPr>
              <w:t>4 124,4</w:t>
            </w:r>
          </w:p>
        </w:tc>
        <w:tc>
          <w:tcPr>
            <w:tcW w:w="1134" w:type="dxa"/>
            <w:tcBorders>
              <w:top w:val="single" w:sz="4" w:space="0" w:color="auto"/>
              <w:bottom w:val="single" w:sz="4" w:space="0" w:color="auto"/>
            </w:tcBorders>
            <w:shd w:val="clear" w:color="auto" w:fill="auto"/>
            <w:noWrap/>
            <w:vAlign w:val="bottom"/>
          </w:tcPr>
          <w:p w14:paraId="577EC514" w14:textId="77777777" w:rsidR="002907A0" w:rsidRPr="005808FC" w:rsidRDefault="002907A0" w:rsidP="005808FC">
            <w:pPr>
              <w:spacing w:after="0" w:line="240" w:lineRule="auto"/>
              <w:jc w:val="right"/>
              <w:rPr>
                <w:sz w:val="20"/>
                <w:szCs w:val="20"/>
              </w:rPr>
            </w:pPr>
            <w:r w:rsidRPr="003E50D1">
              <w:rPr>
                <w:sz w:val="20"/>
                <w:szCs w:val="20"/>
              </w:rPr>
              <w:t>0,0</w:t>
            </w:r>
          </w:p>
        </w:tc>
        <w:tc>
          <w:tcPr>
            <w:tcW w:w="992" w:type="dxa"/>
            <w:tcBorders>
              <w:top w:val="single" w:sz="4" w:space="0" w:color="auto"/>
              <w:bottom w:val="single" w:sz="4" w:space="0" w:color="auto"/>
            </w:tcBorders>
            <w:shd w:val="clear" w:color="auto" w:fill="auto"/>
            <w:vAlign w:val="bottom"/>
          </w:tcPr>
          <w:p w14:paraId="355B6E74"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vMerge/>
            <w:tcBorders>
              <w:top w:val="single" w:sz="4" w:space="0" w:color="auto"/>
              <w:bottom w:val="single" w:sz="4" w:space="0" w:color="auto"/>
            </w:tcBorders>
            <w:shd w:val="clear" w:color="auto" w:fill="auto"/>
            <w:noWrap/>
            <w:vAlign w:val="center"/>
          </w:tcPr>
          <w:p w14:paraId="0FA917FC"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top w:val="single" w:sz="4" w:space="0" w:color="auto"/>
              <w:bottom w:val="single" w:sz="4" w:space="0" w:color="auto"/>
            </w:tcBorders>
            <w:shd w:val="clear" w:color="auto" w:fill="auto"/>
            <w:noWrap/>
            <w:vAlign w:val="bottom"/>
          </w:tcPr>
          <w:p w14:paraId="6509C8BB" w14:textId="77777777" w:rsidR="002907A0" w:rsidRPr="005808FC" w:rsidRDefault="002907A0" w:rsidP="005808FC">
            <w:pPr>
              <w:spacing w:after="0" w:line="240" w:lineRule="auto"/>
              <w:jc w:val="right"/>
              <w:rPr>
                <w:sz w:val="20"/>
                <w:szCs w:val="20"/>
              </w:rPr>
            </w:pPr>
            <w:r w:rsidRPr="003E50D1">
              <w:rPr>
                <w:sz w:val="20"/>
                <w:szCs w:val="20"/>
              </w:rPr>
              <w:t>6 333,6</w:t>
            </w:r>
          </w:p>
        </w:tc>
      </w:tr>
      <w:tr w:rsidR="002907A0" w:rsidRPr="00922031" w14:paraId="20B7048A" w14:textId="77777777" w:rsidTr="005808FC">
        <w:trPr>
          <w:trHeight w:val="227"/>
        </w:trPr>
        <w:tc>
          <w:tcPr>
            <w:tcW w:w="1572" w:type="dxa"/>
            <w:tcBorders>
              <w:top w:val="single" w:sz="4" w:space="0" w:color="auto"/>
              <w:bottom w:val="single" w:sz="4" w:space="0" w:color="auto"/>
            </w:tcBorders>
            <w:shd w:val="clear" w:color="auto" w:fill="F2DBDB" w:themeFill="accent2" w:themeFillTint="33"/>
            <w:vAlign w:val="center"/>
          </w:tcPr>
          <w:p w14:paraId="50F79724" w14:textId="3A92E9D2"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Poslovni prostori</w:t>
            </w:r>
            <w:r w:rsidR="000509A0">
              <w:rPr>
                <w:b/>
                <w:bCs/>
                <w:sz w:val="20"/>
                <w:szCs w:val="20"/>
                <w:lang w:eastAsia="hr-HR"/>
              </w:rPr>
              <w:t xml:space="preserve"> i </w:t>
            </w:r>
            <w:r w:rsidRPr="003E50D1">
              <w:rPr>
                <w:b/>
                <w:bCs/>
                <w:sz w:val="20"/>
                <w:szCs w:val="20"/>
                <w:lang w:eastAsia="hr-HR"/>
              </w:rPr>
              <w:t>stanovi u vlasništvu</w:t>
            </w:r>
            <w:r w:rsidR="00B25B9E" w:rsidRPr="00291DF5">
              <w:rPr>
                <w:b/>
                <w:bCs/>
                <w:sz w:val="20"/>
                <w:szCs w:val="20"/>
                <w:lang w:eastAsia="hr-HR"/>
              </w:rPr>
              <w:t xml:space="preserve"> </w:t>
            </w:r>
            <w:r w:rsidRPr="005808FC">
              <w:rPr>
                <w:b/>
                <w:bCs/>
                <w:sz w:val="20"/>
                <w:szCs w:val="20"/>
                <w:lang w:eastAsia="hr-HR"/>
              </w:rPr>
              <w:t>grada</w:t>
            </w:r>
          </w:p>
        </w:tc>
        <w:tc>
          <w:tcPr>
            <w:tcW w:w="1134" w:type="dxa"/>
            <w:tcBorders>
              <w:top w:val="single" w:sz="4" w:space="0" w:color="auto"/>
              <w:bottom w:val="single" w:sz="4" w:space="0" w:color="auto"/>
            </w:tcBorders>
            <w:shd w:val="clear" w:color="auto" w:fill="auto"/>
            <w:noWrap/>
            <w:vAlign w:val="bottom"/>
          </w:tcPr>
          <w:p w14:paraId="456E2C93" w14:textId="77777777" w:rsidR="002907A0" w:rsidRPr="005808FC" w:rsidRDefault="002907A0" w:rsidP="005808FC">
            <w:pPr>
              <w:spacing w:after="0" w:line="240" w:lineRule="auto"/>
              <w:jc w:val="right"/>
              <w:rPr>
                <w:sz w:val="20"/>
                <w:szCs w:val="20"/>
              </w:rPr>
            </w:pPr>
            <w:r w:rsidRPr="003E50D1">
              <w:rPr>
                <w:sz w:val="20"/>
                <w:szCs w:val="20"/>
              </w:rPr>
              <w:t>5 925,2</w:t>
            </w:r>
          </w:p>
        </w:tc>
        <w:tc>
          <w:tcPr>
            <w:tcW w:w="1134" w:type="dxa"/>
            <w:tcBorders>
              <w:top w:val="single" w:sz="4" w:space="0" w:color="auto"/>
              <w:bottom w:val="single" w:sz="4" w:space="0" w:color="auto"/>
            </w:tcBorders>
            <w:shd w:val="clear" w:color="auto" w:fill="auto"/>
            <w:noWrap/>
            <w:vAlign w:val="bottom"/>
          </w:tcPr>
          <w:p w14:paraId="2EB0DDD8" w14:textId="77777777" w:rsidR="002907A0" w:rsidRPr="005808FC" w:rsidRDefault="002907A0" w:rsidP="005808FC">
            <w:pPr>
              <w:spacing w:after="0" w:line="240" w:lineRule="auto"/>
              <w:jc w:val="right"/>
              <w:rPr>
                <w:sz w:val="20"/>
                <w:szCs w:val="20"/>
              </w:rPr>
            </w:pPr>
            <w:r w:rsidRPr="003E50D1">
              <w:rPr>
                <w:sz w:val="20"/>
                <w:szCs w:val="20"/>
              </w:rPr>
              <w:t>4 909,5</w:t>
            </w:r>
          </w:p>
        </w:tc>
        <w:tc>
          <w:tcPr>
            <w:tcW w:w="1134" w:type="dxa"/>
            <w:tcBorders>
              <w:top w:val="single" w:sz="4" w:space="0" w:color="auto"/>
              <w:bottom w:val="single" w:sz="4" w:space="0" w:color="auto"/>
            </w:tcBorders>
            <w:shd w:val="clear" w:color="auto" w:fill="auto"/>
            <w:noWrap/>
            <w:vAlign w:val="bottom"/>
          </w:tcPr>
          <w:p w14:paraId="523B6429" w14:textId="77777777" w:rsidR="002907A0" w:rsidRPr="005808FC" w:rsidRDefault="002907A0" w:rsidP="005808FC">
            <w:pPr>
              <w:spacing w:after="0" w:line="240" w:lineRule="auto"/>
              <w:jc w:val="right"/>
              <w:rPr>
                <w:sz w:val="20"/>
                <w:szCs w:val="20"/>
              </w:rPr>
            </w:pPr>
            <w:r w:rsidRPr="003E50D1">
              <w:rPr>
                <w:sz w:val="20"/>
                <w:szCs w:val="20"/>
              </w:rPr>
              <w:t>4 854,7</w:t>
            </w:r>
          </w:p>
        </w:tc>
        <w:tc>
          <w:tcPr>
            <w:tcW w:w="1134" w:type="dxa"/>
            <w:tcBorders>
              <w:top w:val="single" w:sz="4" w:space="0" w:color="auto"/>
              <w:bottom w:val="single" w:sz="4" w:space="0" w:color="auto"/>
            </w:tcBorders>
            <w:shd w:val="clear" w:color="auto" w:fill="auto"/>
            <w:noWrap/>
            <w:vAlign w:val="bottom"/>
          </w:tcPr>
          <w:p w14:paraId="4B7E57AE" w14:textId="77777777" w:rsidR="002907A0" w:rsidRPr="005808FC" w:rsidRDefault="002907A0" w:rsidP="005808FC">
            <w:pPr>
              <w:spacing w:after="0" w:line="240" w:lineRule="auto"/>
              <w:jc w:val="right"/>
              <w:rPr>
                <w:sz w:val="20"/>
                <w:szCs w:val="20"/>
              </w:rPr>
            </w:pPr>
            <w:r w:rsidRPr="003E50D1">
              <w:rPr>
                <w:sz w:val="20"/>
                <w:szCs w:val="20"/>
              </w:rPr>
              <w:t>0,0</w:t>
            </w:r>
          </w:p>
        </w:tc>
        <w:tc>
          <w:tcPr>
            <w:tcW w:w="992" w:type="dxa"/>
            <w:tcBorders>
              <w:top w:val="single" w:sz="4" w:space="0" w:color="auto"/>
              <w:bottom w:val="single" w:sz="4" w:space="0" w:color="auto"/>
            </w:tcBorders>
            <w:shd w:val="clear" w:color="auto" w:fill="auto"/>
            <w:vAlign w:val="bottom"/>
          </w:tcPr>
          <w:p w14:paraId="48F67F6F"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vMerge/>
            <w:tcBorders>
              <w:top w:val="single" w:sz="4" w:space="0" w:color="auto"/>
              <w:bottom w:val="single" w:sz="4" w:space="0" w:color="auto"/>
            </w:tcBorders>
            <w:shd w:val="clear" w:color="auto" w:fill="auto"/>
            <w:noWrap/>
            <w:vAlign w:val="center"/>
          </w:tcPr>
          <w:p w14:paraId="33839B45"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top w:val="single" w:sz="4" w:space="0" w:color="auto"/>
              <w:bottom w:val="single" w:sz="4" w:space="0" w:color="auto"/>
            </w:tcBorders>
            <w:shd w:val="clear" w:color="auto" w:fill="auto"/>
            <w:noWrap/>
            <w:vAlign w:val="bottom"/>
          </w:tcPr>
          <w:p w14:paraId="5AE866A7" w14:textId="77777777" w:rsidR="002907A0" w:rsidRPr="005808FC" w:rsidRDefault="002907A0" w:rsidP="005808FC">
            <w:pPr>
              <w:spacing w:after="0" w:line="240" w:lineRule="auto"/>
              <w:jc w:val="right"/>
              <w:rPr>
                <w:sz w:val="20"/>
                <w:szCs w:val="20"/>
              </w:rPr>
            </w:pPr>
            <w:r w:rsidRPr="003E50D1">
              <w:rPr>
                <w:sz w:val="20"/>
                <w:szCs w:val="20"/>
              </w:rPr>
              <w:t>15 689,4</w:t>
            </w:r>
          </w:p>
        </w:tc>
      </w:tr>
      <w:tr w:rsidR="002907A0" w:rsidRPr="00922031" w14:paraId="0690CDED" w14:textId="77777777" w:rsidTr="005808FC">
        <w:trPr>
          <w:trHeight w:val="227"/>
        </w:trPr>
        <w:tc>
          <w:tcPr>
            <w:tcW w:w="1572" w:type="dxa"/>
            <w:tcBorders>
              <w:top w:val="single" w:sz="4" w:space="0" w:color="auto"/>
              <w:bottom w:val="single" w:sz="4" w:space="0" w:color="auto"/>
            </w:tcBorders>
            <w:shd w:val="clear" w:color="auto" w:fill="F2DBDB" w:themeFill="accent2" w:themeFillTint="33"/>
            <w:vAlign w:val="center"/>
          </w:tcPr>
          <w:p w14:paraId="2835DCE1" w14:textId="40CEFF15" w:rsidR="002907A0" w:rsidRPr="005808FC" w:rsidRDefault="002907A0" w:rsidP="005808FC">
            <w:pPr>
              <w:spacing w:after="0" w:line="240" w:lineRule="auto"/>
              <w:ind w:left="-96"/>
              <w:jc w:val="center"/>
              <w:rPr>
                <w:b/>
                <w:bCs/>
                <w:sz w:val="20"/>
                <w:szCs w:val="20"/>
                <w:lang w:eastAsia="hr-HR"/>
              </w:rPr>
            </w:pPr>
            <w:r w:rsidRPr="003E50D1">
              <w:rPr>
                <w:b/>
                <w:bCs/>
                <w:sz w:val="20"/>
                <w:szCs w:val="20"/>
                <w:lang w:eastAsia="hr-HR"/>
              </w:rPr>
              <w:t>Zgrade Zagrebačkog holdinga</w:t>
            </w:r>
          </w:p>
        </w:tc>
        <w:tc>
          <w:tcPr>
            <w:tcW w:w="1134" w:type="dxa"/>
            <w:tcBorders>
              <w:top w:val="single" w:sz="4" w:space="0" w:color="auto"/>
              <w:bottom w:val="single" w:sz="4" w:space="0" w:color="auto"/>
            </w:tcBorders>
            <w:shd w:val="clear" w:color="auto" w:fill="auto"/>
            <w:noWrap/>
            <w:vAlign w:val="bottom"/>
          </w:tcPr>
          <w:p w14:paraId="356766CD" w14:textId="77777777" w:rsidR="002907A0" w:rsidRPr="005808FC" w:rsidRDefault="002907A0" w:rsidP="005808FC">
            <w:pPr>
              <w:spacing w:after="0" w:line="240" w:lineRule="auto"/>
              <w:jc w:val="right"/>
              <w:rPr>
                <w:sz w:val="20"/>
                <w:szCs w:val="20"/>
              </w:rPr>
            </w:pPr>
            <w:r w:rsidRPr="003E50D1">
              <w:rPr>
                <w:sz w:val="20"/>
                <w:szCs w:val="20"/>
              </w:rPr>
              <w:t>22 060,9</w:t>
            </w:r>
          </w:p>
        </w:tc>
        <w:tc>
          <w:tcPr>
            <w:tcW w:w="1134" w:type="dxa"/>
            <w:tcBorders>
              <w:top w:val="single" w:sz="4" w:space="0" w:color="auto"/>
              <w:bottom w:val="single" w:sz="4" w:space="0" w:color="auto"/>
            </w:tcBorders>
            <w:shd w:val="clear" w:color="auto" w:fill="auto"/>
            <w:noWrap/>
            <w:vAlign w:val="bottom"/>
          </w:tcPr>
          <w:p w14:paraId="5ADF8FC0" w14:textId="77777777" w:rsidR="002907A0" w:rsidRPr="005808FC" w:rsidRDefault="002907A0" w:rsidP="005808FC">
            <w:pPr>
              <w:spacing w:after="0" w:line="240" w:lineRule="auto"/>
              <w:jc w:val="right"/>
              <w:rPr>
                <w:sz w:val="20"/>
                <w:szCs w:val="20"/>
              </w:rPr>
            </w:pPr>
            <w:r w:rsidRPr="003E50D1">
              <w:rPr>
                <w:sz w:val="20"/>
                <w:szCs w:val="20"/>
              </w:rPr>
              <w:t>10 514,5</w:t>
            </w:r>
          </w:p>
        </w:tc>
        <w:tc>
          <w:tcPr>
            <w:tcW w:w="1134" w:type="dxa"/>
            <w:tcBorders>
              <w:top w:val="single" w:sz="4" w:space="0" w:color="auto"/>
              <w:bottom w:val="single" w:sz="4" w:space="0" w:color="auto"/>
            </w:tcBorders>
            <w:shd w:val="clear" w:color="auto" w:fill="auto"/>
            <w:noWrap/>
            <w:vAlign w:val="bottom"/>
          </w:tcPr>
          <w:p w14:paraId="4D9AAB51" w14:textId="77777777" w:rsidR="002907A0" w:rsidRPr="005808FC" w:rsidRDefault="002907A0" w:rsidP="005808FC">
            <w:pPr>
              <w:spacing w:after="0" w:line="240" w:lineRule="auto"/>
              <w:jc w:val="right"/>
              <w:rPr>
                <w:sz w:val="20"/>
                <w:szCs w:val="20"/>
              </w:rPr>
            </w:pPr>
            <w:r w:rsidRPr="003E50D1">
              <w:rPr>
                <w:sz w:val="20"/>
                <w:szCs w:val="20"/>
              </w:rPr>
              <w:t>6 891,3</w:t>
            </w:r>
          </w:p>
        </w:tc>
        <w:tc>
          <w:tcPr>
            <w:tcW w:w="1134" w:type="dxa"/>
            <w:tcBorders>
              <w:top w:val="single" w:sz="4" w:space="0" w:color="auto"/>
              <w:bottom w:val="single" w:sz="4" w:space="0" w:color="auto"/>
            </w:tcBorders>
            <w:shd w:val="clear" w:color="auto" w:fill="auto"/>
            <w:noWrap/>
            <w:vAlign w:val="bottom"/>
          </w:tcPr>
          <w:p w14:paraId="41AB11DA" w14:textId="77777777" w:rsidR="002907A0" w:rsidRPr="005808FC" w:rsidRDefault="002907A0" w:rsidP="005808FC">
            <w:pPr>
              <w:spacing w:after="0" w:line="240" w:lineRule="auto"/>
              <w:jc w:val="right"/>
              <w:rPr>
                <w:sz w:val="20"/>
                <w:szCs w:val="20"/>
              </w:rPr>
            </w:pPr>
            <w:r w:rsidRPr="003E50D1">
              <w:rPr>
                <w:sz w:val="20"/>
                <w:szCs w:val="20"/>
              </w:rPr>
              <w:t>1 474,0</w:t>
            </w:r>
          </w:p>
        </w:tc>
        <w:tc>
          <w:tcPr>
            <w:tcW w:w="992" w:type="dxa"/>
            <w:tcBorders>
              <w:top w:val="single" w:sz="4" w:space="0" w:color="auto"/>
              <w:bottom w:val="single" w:sz="4" w:space="0" w:color="auto"/>
            </w:tcBorders>
            <w:shd w:val="clear" w:color="auto" w:fill="auto"/>
            <w:vAlign w:val="bottom"/>
          </w:tcPr>
          <w:p w14:paraId="5AD8A05A" w14:textId="77777777" w:rsidR="002907A0" w:rsidRPr="005808FC" w:rsidRDefault="002907A0" w:rsidP="005808FC">
            <w:pPr>
              <w:spacing w:after="0" w:line="240" w:lineRule="auto"/>
              <w:jc w:val="right"/>
              <w:rPr>
                <w:sz w:val="20"/>
                <w:szCs w:val="20"/>
              </w:rPr>
            </w:pPr>
            <w:r w:rsidRPr="003E50D1">
              <w:rPr>
                <w:sz w:val="20"/>
                <w:szCs w:val="20"/>
              </w:rPr>
              <w:t>58,0</w:t>
            </w:r>
          </w:p>
        </w:tc>
        <w:tc>
          <w:tcPr>
            <w:tcW w:w="850" w:type="dxa"/>
            <w:tcBorders>
              <w:top w:val="single" w:sz="4" w:space="0" w:color="auto"/>
              <w:bottom w:val="single" w:sz="4" w:space="0" w:color="auto"/>
            </w:tcBorders>
            <w:shd w:val="clear" w:color="auto" w:fill="auto"/>
            <w:noWrap/>
            <w:vAlign w:val="center"/>
          </w:tcPr>
          <w:p w14:paraId="438C7376" w14:textId="77777777" w:rsidR="002907A0" w:rsidRPr="00922031" w:rsidRDefault="002907A0" w:rsidP="002907A0">
            <w:pPr>
              <w:spacing w:after="0" w:line="240" w:lineRule="auto"/>
              <w:jc w:val="center"/>
              <w:rPr>
                <w:rFonts w:cstheme="minorHAnsi"/>
                <w:sz w:val="20"/>
                <w:szCs w:val="20"/>
                <w:lang w:eastAsia="hr-HR"/>
              </w:rPr>
            </w:pPr>
          </w:p>
        </w:tc>
        <w:tc>
          <w:tcPr>
            <w:tcW w:w="1276" w:type="dxa"/>
            <w:tcBorders>
              <w:top w:val="single" w:sz="4" w:space="0" w:color="auto"/>
              <w:bottom w:val="single" w:sz="4" w:space="0" w:color="auto"/>
            </w:tcBorders>
            <w:shd w:val="clear" w:color="auto" w:fill="auto"/>
            <w:noWrap/>
            <w:vAlign w:val="bottom"/>
          </w:tcPr>
          <w:p w14:paraId="7E365CBE" w14:textId="77777777" w:rsidR="002907A0" w:rsidRPr="005808FC" w:rsidRDefault="002907A0" w:rsidP="005808FC">
            <w:pPr>
              <w:spacing w:after="0" w:line="240" w:lineRule="auto"/>
              <w:jc w:val="right"/>
              <w:rPr>
                <w:sz w:val="20"/>
                <w:szCs w:val="20"/>
              </w:rPr>
            </w:pPr>
            <w:r w:rsidRPr="003E50D1">
              <w:rPr>
                <w:sz w:val="20"/>
                <w:szCs w:val="20"/>
              </w:rPr>
              <w:t>40 998,7</w:t>
            </w:r>
          </w:p>
        </w:tc>
      </w:tr>
      <w:tr w:rsidR="002907A0" w:rsidRPr="00922031" w14:paraId="03671AA9" w14:textId="77777777" w:rsidTr="005808FC">
        <w:trPr>
          <w:trHeight w:val="227"/>
        </w:trPr>
        <w:tc>
          <w:tcPr>
            <w:tcW w:w="1572" w:type="dxa"/>
            <w:tcBorders>
              <w:top w:val="single" w:sz="4" w:space="0" w:color="auto"/>
              <w:bottom w:val="single" w:sz="4" w:space="0" w:color="auto"/>
            </w:tcBorders>
            <w:shd w:val="clear" w:color="auto" w:fill="F2DBDB" w:themeFill="accent2" w:themeFillTint="33"/>
            <w:vAlign w:val="center"/>
          </w:tcPr>
          <w:p w14:paraId="7C38BBF6" w14:textId="77777777" w:rsidR="002907A0" w:rsidRPr="005808FC" w:rsidRDefault="002907A0" w:rsidP="005808FC">
            <w:pPr>
              <w:spacing w:after="0" w:line="240" w:lineRule="auto"/>
              <w:rPr>
                <w:sz w:val="20"/>
                <w:szCs w:val="20"/>
                <w:lang w:eastAsia="hr-HR"/>
              </w:rPr>
            </w:pPr>
            <w:r w:rsidRPr="003E50D1">
              <w:rPr>
                <w:sz w:val="20"/>
                <w:szCs w:val="20"/>
                <w:lang w:eastAsia="hr-HR"/>
              </w:rPr>
              <w:t>UKUPNO</w:t>
            </w:r>
          </w:p>
        </w:tc>
        <w:tc>
          <w:tcPr>
            <w:tcW w:w="1134" w:type="dxa"/>
            <w:tcBorders>
              <w:top w:val="single" w:sz="4" w:space="0" w:color="auto"/>
              <w:bottom w:val="single" w:sz="4" w:space="0" w:color="auto"/>
            </w:tcBorders>
            <w:shd w:val="clear" w:color="auto" w:fill="auto"/>
            <w:noWrap/>
            <w:vAlign w:val="bottom"/>
          </w:tcPr>
          <w:p w14:paraId="278FB56B" w14:textId="77777777" w:rsidR="002907A0" w:rsidRPr="005808FC" w:rsidRDefault="002907A0" w:rsidP="005808FC">
            <w:pPr>
              <w:spacing w:after="0" w:line="240" w:lineRule="auto"/>
              <w:jc w:val="right"/>
              <w:rPr>
                <w:sz w:val="20"/>
                <w:szCs w:val="20"/>
              </w:rPr>
            </w:pPr>
            <w:r w:rsidRPr="003E50D1">
              <w:rPr>
                <w:sz w:val="20"/>
                <w:szCs w:val="20"/>
              </w:rPr>
              <w:t>46 094,4</w:t>
            </w:r>
          </w:p>
        </w:tc>
        <w:tc>
          <w:tcPr>
            <w:tcW w:w="1134" w:type="dxa"/>
            <w:tcBorders>
              <w:top w:val="single" w:sz="4" w:space="0" w:color="auto"/>
              <w:bottom w:val="single" w:sz="4" w:space="0" w:color="auto"/>
            </w:tcBorders>
            <w:shd w:val="clear" w:color="auto" w:fill="auto"/>
            <w:noWrap/>
            <w:vAlign w:val="bottom"/>
          </w:tcPr>
          <w:p w14:paraId="4F2F96D2" w14:textId="77777777" w:rsidR="002907A0" w:rsidRPr="005808FC" w:rsidRDefault="002907A0" w:rsidP="005808FC">
            <w:pPr>
              <w:spacing w:after="0" w:line="240" w:lineRule="auto"/>
              <w:jc w:val="right"/>
              <w:rPr>
                <w:sz w:val="20"/>
                <w:szCs w:val="20"/>
              </w:rPr>
            </w:pPr>
            <w:r w:rsidRPr="003E50D1">
              <w:rPr>
                <w:sz w:val="20"/>
                <w:szCs w:val="20"/>
              </w:rPr>
              <w:t>42 412,7</w:t>
            </w:r>
          </w:p>
        </w:tc>
        <w:tc>
          <w:tcPr>
            <w:tcW w:w="1134" w:type="dxa"/>
            <w:tcBorders>
              <w:top w:val="single" w:sz="4" w:space="0" w:color="auto"/>
              <w:bottom w:val="single" w:sz="4" w:space="0" w:color="auto"/>
            </w:tcBorders>
            <w:shd w:val="clear" w:color="auto" w:fill="auto"/>
            <w:noWrap/>
            <w:vAlign w:val="bottom"/>
          </w:tcPr>
          <w:p w14:paraId="6FB9E508" w14:textId="77777777" w:rsidR="002907A0" w:rsidRPr="005808FC" w:rsidRDefault="002907A0" w:rsidP="005808FC">
            <w:pPr>
              <w:spacing w:after="0" w:line="240" w:lineRule="auto"/>
              <w:jc w:val="right"/>
              <w:rPr>
                <w:sz w:val="20"/>
                <w:szCs w:val="20"/>
              </w:rPr>
            </w:pPr>
            <w:r w:rsidRPr="003E50D1">
              <w:rPr>
                <w:sz w:val="20"/>
                <w:szCs w:val="20"/>
              </w:rPr>
              <w:t>36 848,1</w:t>
            </w:r>
          </w:p>
        </w:tc>
        <w:tc>
          <w:tcPr>
            <w:tcW w:w="1134" w:type="dxa"/>
            <w:tcBorders>
              <w:top w:val="single" w:sz="4" w:space="0" w:color="auto"/>
              <w:bottom w:val="single" w:sz="4" w:space="0" w:color="auto"/>
            </w:tcBorders>
            <w:shd w:val="clear" w:color="auto" w:fill="auto"/>
            <w:noWrap/>
            <w:vAlign w:val="bottom"/>
          </w:tcPr>
          <w:p w14:paraId="49944F94" w14:textId="77777777" w:rsidR="002907A0" w:rsidRPr="005808FC" w:rsidRDefault="002907A0" w:rsidP="005808FC">
            <w:pPr>
              <w:spacing w:after="0" w:line="240" w:lineRule="auto"/>
              <w:jc w:val="right"/>
              <w:rPr>
                <w:sz w:val="20"/>
                <w:szCs w:val="20"/>
              </w:rPr>
            </w:pPr>
            <w:r w:rsidRPr="003E50D1">
              <w:rPr>
                <w:sz w:val="20"/>
                <w:szCs w:val="20"/>
              </w:rPr>
              <w:t>14 047,6</w:t>
            </w:r>
          </w:p>
        </w:tc>
        <w:tc>
          <w:tcPr>
            <w:tcW w:w="992" w:type="dxa"/>
            <w:tcBorders>
              <w:top w:val="single" w:sz="4" w:space="0" w:color="auto"/>
              <w:bottom w:val="single" w:sz="4" w:space="0" w:color="auto"/>
            </w:tcBorders>
            <w:shd w:val="clear" w:color="auto" w:fill="auto"/>
            <w:vAlign w:val="bottom"/>
          </w:tcPr>
          <w:p w14:paraId="59BDBB5A" w14:textId="77777777" w:rsidR="002907A0" w:rsidRPr="005808FC" w:rsidRDefault="002907A0" w:rsidP="005808FC">
            <w:pPr>
              <w:spacing w:after="0" w:line="240" w:lineRule="auto"/>
              <w:jc w:val="right"/>
              <w:rPr>
                <w:sz w:val="20"/>
                <w:szCs w:val="20"/>
              </w:rPr>
            </w:pPr>
            <w:r w:rsidRPr="003E50D1">
              <w:rPr>
                <w:sz w:val="20"/>
                <w:szCs w:val="20"/>
              </w:rPr>
              <w:t>58,0</w:t>
            </w:r>
          </w:p>
        </w:tc>
        <w:tc>
          <w:tcPr>
            <w:tcW w:w="850" w:type="dxa"/>
            <w:tcBorders>
              <w:top w:val="single" w:sz="4" w:space="0" w:color="auto"/>
              <w:bottom w:val="single" w:sz="4" w:space="0" w:color="auto"/>
            </w:tcBorders>
            <w:shd w:val="clear" w:color="auto" w:fill="auto"/>
            <w:noWrap/>
            <w:vAlign w:val="center"/>
          </w:tcPr>
          <w:p w14:paraId="5EC95CB0" w14:textId="77777777" w:rsidR="002907A0" w:rsidRPr="005808FC" w:rsidRDefault="002907A0" w:rsidP="005808FC">
            <w:pPr>
              <w:spacing w:after="0" w:line="240" w:lineRule="auto"/>
              <w:jc w:val="center"/>
              <w:rPr>
                <w:sz w:val="20"/>
                <w:szCs w:val="20"/>
                <w:lang w:eastAsia="hr-HR"/>
              </w:rPr>
            </w:pPr>
            <w:r w:rsidRPr="003E50D1">
              <w:rPr>
                <w:sz w:val="20"/>
                <w:szCs w:val="20"/>
              </w:rPr>
              <w:t>0,0</w:t>
            </w:r>
          </w:p>
        </w:tc>
        <w:tc>
          <w:tcPr>
            <w:tcW w:w="1276" w:type="dxa"/>
            <w:tcBorders>
              <w:top w:val="single" w:sz="4" w:space="0" w:color="auto"/>
              <w:bottom w:val="single" w:sz="4" w:space="0" w:color="auto"/>
            </w:tcBorders>
            <w:shd w:val="clear" w:color="auto" w:fill="auto"/>
            <w:noWrap/>
            <w:vAlign w:val="bottom"/>
          </w:tcPr>
          <w:p w14:paraId="6DF5A27A" w14:textId="77777777" w:rsidR="002907A0" w:rsidRPr="005808FC" w:rsidRDefault="002907A0" w:rsidP="005808FC">
            <w:pPr>
              <w:spacing w:after="0" w:line="240" w:lineRule="auto"/>
              <w:jc w:val="right"/>
              <w:rPr>
                <w:sz w:val="20"/>
                <w:szCs w:val="20"/>
              </w:rPr>
            </w:pPr>
            <w:r w:rsidRPr="003E50D1">
              <w:rPr>
                <w:sz w:val="20"/>
                <w:szCs w:val="20"/>
              </w:rPr>
              <w:t>139 460,8</w:t>
            </w:r>
          </w:p>
        </w:tc>
      </w:tr>
      <w:tr w:rsidR="002907A0" w:rsidRPr="00922031" w14:paraId="38DB86B5" w14:textId="77777777" w:rsidTr="005808FC">
        <w:trPr>
          <w:trHeight w:val="227"/>
        </w:trPr>
        <w:tc>
          <w:tcPr>
            <w:tcW w:w="7950" w:type="dxa"/>
            <w:gridSpan w:val="7"/>
            <w:tcBorders>
              <w:top w:val="single" w:sz="4" w:space="0" w:color="auto"/>
              <w:bottom w:val="single" w:sz="4" w:space="0" w:color="auto"/>
            </w:tcBorders>
            <w:shd w:val="clear" w:color="auto" w:fill="FFFFFF" w:themeFill="background1"/>
            <w:vAlign w:val="center"/>
          </w:tcPr>
          <w:p w14:paraId="25766E15" w14:textId="3120DF01" w:rsidR="002907A0" w:rsidRPr="005808FC" w:rsidRDefault="002907A0" w:rsidP="005808FC">
            <w:pPr>
              <w:spacing w:after="0" w:line="240" w:lineRule="auto"/>
              <w:rPr>
                <w:b/>
                <w:bCs/>
                <w:sz w:val="20"/>
                <w:szCs w:val="20"/>
                <w:lang w:eastAsia="hr-HR"/>
              </w:rPr>
            </w:pPr>
            <w:r w:rsidRPr="003E50D1">
              <w:rPr>
                <w:b/>
                <w:bCs/>
                <w:sz w:val="20"/>
                <w:szCs w:val="20"/>
                <w:lang w:eastAsia="hr-HR"/>
              </w:rPr>
              <w:t>ZGRADE KOMERCIJALNIH</w:t>
            </w:r>
            <w:r w:rsidR="000509A0">
              <w:rPr>
                <w:b/>
                <w:bCs/>
                <w:sz w:val="20"/>
                <w:szCs w:val="20"/>
                <w:lang w:eastAsia="hr-HR"/>
              </w:rPr>
              <w:t xml:space="preserve"> i </w:t>
            </w:r>
            <w:r w:rsidRPr="003E50D1">
              <w:rPr>
                <w:b/>
                <w:bCs/>
                <w:sz w:val="20"/>
                <w:szCs w:val="20"/>
                <w:lang w:eastAsia="hr-HR"/>
              </w:rPr>
              <w:t>USLUŽNIH DJELATNOSTI</w:t>
            </w:r>
          </w:p>
        </w:tc>
        <w:tc>
          <w:tcPr>
            <w:tcW w:w="1276" w:type="dxa"/>
            <w:tcBorders>
              <w:top w:val="single" w:sz="4" w:space="0" w:color="auto"/>
              <w:bottom w:val="single" w:sz="4" w:space="0" w:color="auto"/>
            </w:tcBorders>
            <w:shd w:val="clear" w:color="auto" w:fill="FFFFFF" w:themeFill="background1"/>
            <w:noWrap/>
            <w:vAlign w:val="center"/>
          </w:tcPr>
          <w:p w14:paraId="4B69E74E" w14:textId="77777777" w:rsidR="002907A0" w:rsidRPr="00922031" w:rsidRDefault="002907A0" w:rsidP="002907A0">
            <w:pPr>
              <w:spacing w:after="0" w:line="240" w:lineRule="auto"/>
              <w:jc w:val="center"/>
              <w:rPr>
                <w:rFonts w:cstheme="minorHAnsi"/>
                <w:b/>
                <w:sz w:val="20"/>
                <w:szCs w:val="20"/>
                <w:lang w:eastAsia="hr-HR"/>
              </w:rPr>
            </w:pPr>
          </w:p>
        </w:tc>
      </w:tr>
      <w:tr w:rsidR="002907A0" w:rsidRPr="00922031" w14:paraId="75712AE4" w14:textId="77777777" w:rsidTr="005808FC">
        <w:trPr>
          <w:trHeight w:val="227"/>
        </w:trPr>
        <w:tc>
          <w:tcPr>
            <w:tcW w:w="1572" w:type="dxa"/>
            <w:tcBorders>
              <w:top w:val="single" w:sz="4" w:space="0" w:color="auto"/>
              <w:bottom w:val="single" w:sz="4" w:space="0" w:color="auto"/>
            </w:tcBorders>
            <w:shd w:val="clear" w:color="auto" w:fill="F2DBDB" w:themeFill="accent2" w:themeFillTint="33"/>
            <w:vAlign w:val="center"/>
          </w:tcPr>
          <w:p w14:paraId="58CBB2C2" w14:textId="77777777" w:rsidR="002907A0" w:rsidRPr="005808FC" w:rsidRDefault="002907A0" w:rsidP="005808FC">
            <w:pPr>
              <w:spacing w:after="0" w:line="240" w:lineRule="auto"/>
              <w:rPr>
                <w:sz w:val="20"/>
                <w:szCs w:val="20"/>
                <w:lang w:eastAsia="hr-HR"/>
              </w:rPr>
            </w:pPr>
            <w:r w:rsidRPr="003E50D1">
              <w:rPr>
                <w:sz w:val="20"/>
                <w:szCs w:val="20"/>
                <w:lang w:eastAsia="hr-HR"/>
              </w:rPr>
              <w:t>UKUPNO</w:t>
            </w:r>
          </w:p>
        </w:tc>
        <w:tc>
          <w:tcPr>
            <w:tcW w:w="1134" w:type="dxa"/>
            <w:tcBorders>
              <w:top w:val="single" w:sz="4" w:space="0" w:color="auto"/>
              <w:bottom w:val="single" w:sz="4" w:space="0" w:color="auto"/>
            </w:tcBorders>
            <w:shd w:val="clear" w:color="auto" w:fill="auto"/>
            <w:noWrap/>
            <w:vAlign w:val="bottom"/>
          </w:tcPr>
          <w:p w14:paraId="199590A0" w14:textId="77777777" w:rsidR="002907A0" w:rsidRPr="005808FC" w:rsidRDefault="002907A0" w:rsidP="005808FC">
            <w:pPr>
              <w:spacing w:after="0" w:line="240" w:lineRule="auto"/>
              <w:jc w:val="right"/>
              <w:rPr>
                <w:sz w:val="20"/>
                <w:szCs w:val="20"/>
              </w:rPr>
            </w:pPr>
            <w:r w:rsidRPr="003E50D1">
              <w:rPr>
                <w:sz w:val="20"/>
                <w:szCs w:val="20"/>
              </w:rPr>
              <w:t>194 800,3</w:t>
            </w:r>
          </w:p>
        </w:tc>
        <w:tc>
          <w:tcPr>
            <w:tcW w:w="1134" w:type="dxa"/>
            <w:tcBorders>
              <w:top w:val="single" w:sz="4" w:space="0" w:color="auto"/>
              <w:bottom w:val="single" w:sz="4" w:space="0" w:color="auto"/>
            </w:tcBorders>
            <w:shd w:val="clear" w:color="auto" w:fill="auto"/>
            <w:noWrap/>
            <w:vAlign w:val="bottom"/>
          </w:tcPr>
          <w:p w14:paraId="19D9FCEE" w14:textId="77777777" w:rsidR="002907A0" w:rsidRPr="005808FC" w:rsidRDefault="002907A0" w:rsidP="005808FC">
            <w:pPr>
              <w:spacing w:after="0" w:line="240" w:lineRule="auto"/>
              <w:jc w:val="right"/>
              <w:rPr>
                <w:sz w:val="20"/>
                <w:szCs w:val="20"/>
              </w:rPr>
            </w:pPr>
            <w:r w:rsidRPr="003E50D1">
              <w:rPr>
                <w:sz w:val="20"/>
                <w:szCs w:val="20"/>
              </w:rPr>
              <w:t>166 677,3</w:t>
            </w:r>
          </w:p>
        </w:tc>
        <w:tc>
          <w:tcPr>
            <w:tcW w:w="1134" w:type="dxa"/>
            <w:tcBorders>
              <w:top w:val="single" w:sz="4" w:space="0" w:color="auto"/>
              <w:bottom w:val="single" w:sz="4" w:space="0" w:color="auto"/>
            </w:tcBorders>
            <w:shd w:val="clear" w:color="auto" w:fill="auto"/>
            <w:noWrap/>
            <w:vAlign w:val="bottom"/>
          </w:tcPr>
          <w:p w14:paraId="5AC8EFC8" w14:textId="77777777" w:rsidR="002907A0" w:rsidRPr="005808FC" w:rsidRDefault="002907A0" w:rsidP="005808FC">
            <w:pPr>
              <w:spacing w:after="0" w:line="240" w:lineRule="auto"/>
              <w:jc w:val="right"/>
              <w:rPr>
                <w:sz w:val="20"/>
                <w:szCs w:val="20"/>
              </w:rPr>
            </w:pPr>
            <w:r w:rsidRPr="003E50D1">
              <w:rPr>
                <w:sz w:val="20"/>
                <w:szCs w:val="20"/>
              </w:rPr>
              <w:t>137 311,7</w:t>
            </w:r>
          </w:p>
        </w:tc>
        <w:tc>
          <w:tcPr>
            <w:tcW w:w="1134" w:type="dxa"/>
            <w:tcBorders>
              <w:top w:val="single" w:sz="4" w:space="0" w:color="auto"/>
              <w:bottom w:val="single" w:sz="4" w:space="0" w:color="auto"/>
            </w:tcBorders>
            <w:shd w:val="clear" w:color="auto" w:fill="auto"/>
            <w:noWrap/>
            <w:vAlign w:val="bottom"/>
          </w:tcPr>
          <w:p w14:paraId="69A3A3C5" w14:textId="77777777" w:rsidR="002907A0" w:rsidRPr="005808FC" w:rsidRDefault="002907A0" w:rsidP="005808FC">
            <w:pPr>
              <w:spacing w:after="0" w:line="240" w:lineRule="auto"/>
              <w:jc w:val="right"/>
              <w:rPr>
                <w:sz w:val="20"/>
                <w:szCs w:val="20"/>
              </w:rPr>
            </w:pPr>
            <w:r w:rsidRPr="003E50D1">
              <w:rPr>
                <w:sz w:val="20"/>
                <w:szCs w:val="20"/>
              </w:rPr>
              <w:t>0,0</w:t>
            </w:r>
          </w:p>
        </w:tc>
        <w:tc>
          <w:tcPr>
            <w:tcW w:w="992" w:type="dxa"/>
            <w:tcBorders>
              <w:top w:val="single" w:sz="4" w:space="0" w:color="auto"/>
              <w:bottom w:val="single" w:sz="4" w:space="0" w:color="auto"/>
            </w:tcBorders>
            <w:shd w:val="clear" w:color="auto" w:fill="auto"/>
            <w:vAlign w:val="bottom"/>
          </w:tcPr>
          <w:p w14:paraId="45CEADC8"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tcBorders>
              <w:top w:val="single" w:sz="4" w:space="0" w:color="auto"/>
              <w:bottom w:val="single" w:sz="4" w:space="0" w:color="auto"/>
            </w:tcBorders>
            <w:shd w:val="clear" w:color="auto" w:fill="auto"/>
            <w:noWrap/>
            <w:vAlign w:val="bottom"/>
          </w:tcPr>
          <w:p w14:paraId="24EDBD1B" w14:textId="77777777" w:rsidR="002907A0" w:rsidRPr="005808FC" w:rsidRDefault="002907A0" w:rsidP="005808FC">
            <w:pPr>
              <w:spacing w:after="0" w:line="240" w:lineRule="auto"/>
              <w:rPr>
                <w:sz w:val="20"/>
                <w:szCs w:val="20"/>
              </w:rPr>
            </w:pPr>
            <w:r w:rsidRPr="003E50D1">
              <w:rPr>
                <w:sz w:val="20"/>
                <w:szCs w:val="20"/>
              </w:rPr>
              <w:t> </w:t>
            </w:r>
          </w:p>
        </w:tc>
        <w:tc>
          <w:tcPr>
            <w:tcW w:w="1276" w:type="dxa"/>
            <w:tcBorders>
              <w:top w:val="single" w:sz="4" w:space="0" w:color="auto"/>
              <w:bottom w:val="single" w:sz="4" w:space="0" w:color="auto"/>
            </w:tcBorders>
            <w:shd w:val="clear" w:color="auto" w:fill="auto"/>
            <w:noWrap/>
            <w:vAlign w:val="bottom"/>
          </w:tcPr>
          <w:p w14:paraId="4F7C7A6B" w14:textId="77777777" w:rsidR="002907A0" w:rsidRPr="005808FC" w:rsidRDefault="002907A0" w:rsidP="005808FC">
            <w:pPr>
              <w:spacing w:after="0" w:line="240" w:lineRule="auto"/>
              <w:jc w:val="right"/>
              <w:rPr>
                <w:sz w:val="20"/>
                <w:szCs w:val="20"/>
              </w:rPr>
            </w:pPr>
            <w:r w:rsidRPr="003E50D1">
              <w:rPr>
                <w:sz w:val="20"/>
                <w:szCs w:val="20"/>
              </w:rPr>
              <w:t>498 789,3</w:t>
            </w:r>
          </w:p>
        </w:tc>
      </w:tr>
      <w:tr w:rsidR="002907A0" w:rsidRPr="00922031" w14:paraId="5C894876" w14:textId="77777777" w:rsidTr="005808FC">
        <w:trPr>
          <w:trHeight w:val="227"/>
        </w:trPr>
        <w:tc>
          <w:tcPr>
            <w:tcW w:w="7950" w:type="dxa"/>
            <w:gridSpan w:val="7"/>
            <w:tcBorders>
              <w:top w:val="single" w:sz="4" w:space="0" w:color="auto"/>
              <w:bottom w:val="single" w:sz="4" w:space="0" w:color="auto"/>
            </w:tcBorders>
            <w:shd w:val="clear" w:color="auto" w:fill="auto"/>
            <w:vAlign w:val="center"/>
          </w:tcPr>
          <w:p w14:paraId="11876CBC"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STAMBENE ZGRADE – KUĆANSTVA</w:t>
            </w:r>
          </w:p>
        </w:tc>
        <w:tc>
          <w:tcPr>
            <w:tcW w:w="1276" w:type="dxa"/>
            <w:tcBorders>
              <w:top w:val="single" w:sz="4" w:space="0" w:color="auto"/>
              <w:bottom w:val="single" w:sz="4" w:space="0" w:color="auto"/>
            </w:tcBorders>
            <w:shd w:val="clear" w:color="auto" w:fill="auto"/>
            <w:noWrap/>
            <w:vAlign w:val="center"/>
          </w:tcPr>
          <w:p w14:paraId="13631E2C" w14:textId="77777777" w:rsidR="002907A0" w:rsidRPr="00922031" w:rsidRDefault="002907A0" w:rsidP="002907A0">
            <w:pPr>
              <w:spacing w:after="0" w:line="240" w:lineRule="auto"/>
              <w:jc w:val="center"/>
              <w:rPr>
                <w:rFonts w:cstheme="minorHAnsi"/>
                <w:b/>
                <w:sz w:val="20"/>
                <w:szCs w:val="20"/>
                <w:lang w:eastAsia="hr-HR"/>
              </w:rPr>
            </w:pPr>
          </w:p>
        </w:tc>
      </w:tr>
      <w:tr w:rsidR="002907A0" w:rsidRPr="00922031" w14:paraId="51A1CCC8" w14:textId="77777777" w:rsidTr="005808FC">
        <w:trPr>
          <w:trHeight w:val="227"/>
        </w:trPr>
        <w:tc>
          <w:tcPr>
            <w:tcW w:w="1572" w:type="dxa"/>
            <w:tcBorders>
              <w:top w:val="single" w:sz="4" w:space="0" w:color="auto"/>
              <w:bottom w:val="single" w:sz="4" w:space="0" w:color="auto"/>
            </w:tcBorders>
            <w:shd w:val="clear" w:color="auto" w:fill="F2DBDB" w:themeFill="accent2" w:themeFillTint="33"/>
            <w:vAlign w:val="center"/>
          </w:tcPr>
          <w:p w14:paraId="19ADC5D7" w14:textId="77777777" w:rsidR="002907A0" w:rsidRPr="005808FC" w:rsidRDefault="002907A0" w:rsidP="005808FC">
            <w:pPr>
              <w:spacing w:after="0" w:line="240" w:lineRule="auto"/>
              <w:rPr>
                <w:sz w:val="20"/>
                <w:szCs w:val="20"/>
                <w:lang w:eastAsia="hr-HR"/>
              </w:rPr>
            </w:pPr>
            <w:r w:rsidRPr="003E50D1">
              <w:rPr>
                <w:sz w:val="20"/>
                <w:szCs w:val="20"/>
                <w:lang w:eastAsia="hr-HR"/>
              </w:rPr>
              <w:t>UKUPNO</w:t>
            </w:r>
          </w:p>
        </w:tc>
        <w:tc>
          <w:tcPr>
            <w:tcW w:w="1134" w:type="dxa"/>
            <w:tcBorders>
              <w:top w:val="single" w:sz="4" w:space="0" w:color="auto"/>
              <w:bottom w:val="single" w:sz="4" w:space="0" w:color="auto"/>
            </w:tcBorders>
            <w:shd w:val="clear" w:color="auto" w:fill="auto"/>
            <w:noWrap/>
            <w:vAlign w:val="bottom"/>
          </w:tcPr>
          <w:p w14:paraId="3A8B7CF5" w14:textId="77777777" w:rsidR="002907A0" w:rsidRPr="005808FC" w:rsidRDefault="002907A0" w:rsidP="005808FC">
            <w:pPr>
              <w:spacing w:after="0" w:line="240" w:lineRule="auto"/>
              <w:jc w:val="right"/>
              <w:rPr>
                <w:sz w:val="20"/>
                <w:szCs w:val="20"/>
              </w:rPr>
            </w:pPr>
            <w:r w:rsidRPr="003E50D1">
              <w:rPr>
                <w:sz w:val="20"/>
                <w:szCs w:val="20"/>
              </w:rPr>
              <w:t>318 745,1</w:t>
            </w:r>
          </w:p>
        </w:tc>
        <w:tc>
          <w:tcPr>
            <w:tcW w:w="1134" w:type="dxa"/>
            <w:tcBorders>
              <w:top w:val="single" w:sz="4" w:space="0" w:color="auto"/>
              <w:bottom w:val="single" w:sz="4" w:space="0" w:color="auto"/>
            </w:tcBorders>
            <w:shd w:val="clear" w:color="auto" w:fill="auto"/>
            <w:noWrap/>
            <w:vAlign w:val="bottom"/>
          </w:tcPr>
          <w:p w14:paraId="14459128" w14:textId="77777777" w:rsidR="002907A0" w:rsidRPr="005808FC" w:rsidRDefault="002907A0" w:rsidP="005808FC">
            <w:pPr>
              <w:spacing w:after="0" w:line="240" w:lineRule="auto"/>
              <w:jc w:val="right"/>
              <w:rPr>
                <w:sz w:val="20"/>
                <w:szCs w:val="20"/>
              </w:rPr>
            </w:pPr>
            <w:r w:rsidRPr="003E50D1">
              <w:rPr>
                <w:sz w:val="20"/>
                <w:szCs w:val="20"/>
              </w:rPr>
              <w:t>256 595,1</w:t>
            </w:r>
          </w:p>
        </w:tc>
        <w:tc>
          <w:tcPr>
            <w:tcW w:w="1134" w:type="dxa"/>
            <w:tcBorders>
              <w:top w:val="single" w:sz="4" w:space="0" w:color="auto"/>
              <w:bottom w:val="single" w:sz="4" w:space="0" w:color="auto"/>
            </w:tcBorders>
            <w:shd w:val="clear" w:color="auto" w:fill="auto"/>
            <w:noWrap/>
            <w:vAlign w:val="bottom"/>
          </w:tcPr>
          <w:p w14:paraId="4BDE7051" w14:textId="77777777" w:rsidR="002907A0" w:rsidRPr="005808FC" w:rsidRDefault="002907A0" w:rsidP="005808FC">
            <w:pPr>
              <w:spacing w:after="0" w:line="240" w:lineRule="auto"/>
              <w:jc w:val="right"/>
              <w:rPr>
                <w:sz w:val="20"/>
                <w:szCs w:val="20"/>
              </w:rPr>
            </w:pPr>
            <w:r w:rsidRPr="003E50D1">
              <w:rPr>
                <w:sz w:val="20"/>
                <w:szCs w:val="20"/>
              </w:rPr>
              <w:t>459 889,4</w:t>
            </w:r>
          </w:p>
        </w:tc>
        <w:tc>
          <w:tcPr>
            <w:tcW w:w="1134" w:type="dxa"/>
            <w:tcBorders>
              <w:top w:val="single" w:sz="4" w:space="0" w:color="auto"/>
              <w:bottom w:val="single" w:sz="4" w:space="0" w:color="auto"/>
            </w:tcBorders>
            <w:shd w:val="clear" w:color="auto" w:fill="auto"/>
            <w:noWrap/>
            <w:vAlign w:val="bottom"/>
          </w:tcPr>
          <w:p w14:paraId="2F87A387" w14:textId="77777777" w:rsidR="002907A0" w:rsidRPr="005808FC" w:rsidRDefault="002907A0" w:rsidP="005808FC">
            <w:pPr>
              <w:spacing w:after="0" w:line="240" w:lineRule="auto"/>
              <w:jc w:val="right"/>
              <w:rPr>
                <w:sz w:val="20"/>
                <w:szCs w:val="20"/>
              </w:rPr>
            </w:pPr>
            <w:r w:rsidRPr="003E50D1">
              <w:rPr>
                <w:sz w:val="20"/>
                <w:szCs w:val="20"/>
              </w:rPr>
              <w:t>85 952,6</w:t>
            </w:r>
          </w:p>
        </w:tc>
        <w:tc>
          <w:tcPr>
            <w:tcW w:w="992" w:type="dxa"/>
            <w:tcBorders>
              <w:top w:val="single" w:sz="4" w:space="0" w:color="auto"/>
              <w:bottom w:val="single" w:sz="4" w:space="0" w:color="auto"/>
            </w:tcBorders>
            <w:shd w:val="clear" w:color="auto" w:fill="auto"/>
            <w:vAlign w:val="bottom"/>
          </w:tcPr>
          <w:p w14:paraId="01992C31" w14:textId="77777777" w:rsidR="002907A0" w:rsidRPr="005808FC" w:rsidRDefault="002907A0" w:rsidP="005808FC">
            <w:pPr>
              <w:spacing w:after="0" w:line="240" w:lineRule="auto"/>
              <w:jc w:val="right"/>
              <w:rPr>
                <w:sz w:val="20"/>
                <w:szCs w:val="20"/>
              </w:rPr>
            </w:pPr>
            <w:r w:rsidRPr="003E50D1">
              <w:rPr>
                <w:sz w:val="20"/>
                <w:szCs w:val="20"/>
              </w:rPr>
              <w:t>0,0</w:t>
            </w:r>
          </w:p>
        </w:tc>
        <w:tc>
          <w:tcPr>
            <w:tcW w:w="850" w:type="dxa"/>
            <w:tcBorders>
              <w:top w:val="single" w:sz="4" w:space="0" w:color="auto"/>
              <w:bottom w:val="single" w:sz="4" w:space="0" w:color="auto"/>
            </w:tcBorders>
            <w:shd w:val="clear" w:color="auto" w:fill="auto"/>
            <w:noWrap/>
            <w:vAlign w:val="bottom"/>
          </w:tcPr>
          <w:p w14:paraId="6C41057A" w14:textId="77777777" w:rsidR="002907A0" w:rsidRPr="005808FC" w:rsidRDefault="002907A0" w:rsidP="005808FC">
            <w:pPr>
              <w:spacing w:after="0" w:line="240" w:lineRule="auto"/>
              <w:jc w:val="right"/>
              <w:rPr>
                <w:sz w:val="20"/>
                <w:szCs w:val="20"/>
              </w:rPr>
            </w:pPr>
            <w:r w:rsidRPr="003E50D1">
              <w:rPr>
                <w:sz w:val="20"/>
                <w:szCs w:val="20"/>
              </w:rPr>
              <w:t>0,0</w:t>
            </w:r>
          </w:p>
        </w:tc>
        <w:tc>
          <w:tcPr>
            <w:tcW w:w="1276" w:type="dxa"/>
            <w:tcBorders>
              <w:top w:val="single" w:sz="4" w:space="0" w:color="auto"/>
              <w:bottom w:val="single" w:sz="4" w:space="0" w:color="auto"/>
            </w:tcBorders>
            <w:shd w:val="clear" w:color="auto" w:fill="auto"/>
            <w:noWrap/>
            <w:vAlign w:val="bottom"/>
          </w:tcPr>
          <w:p w14:paraId="157C0393" w14:textId="77777777" w:rsidR="002907A0" w:rsidRPr="005808FC" w:rsidRDefault="002907A0" w:rsidP="005808FC">
            <w:pPr>
              <w:spacing w:after="0" w:line="240" w:lineRule="auto"/>
              <w:jc w:val="right"/>
              <w:rPr>
                <w:sz w:val="20"/>
                <w:szCs w:val="20"/>
              </w:rPr>
            </w:pPr>
            <w:r w:rsidRPr="003E50D1">
              <w:rPr>
                <w:sz w:val="20"/>
                <w:szCs w:val="20"/>
              </w:rPr>
              <w:t>1 121 182,2</w:t>
            </w:r>
          </w:p>
        </w:tc>
      </w:tr>
      <w:tr w:rsidR="002907A0" w:rsidRPr="00922031" w14:paraId="134C4577" w14:textId="77777777" w:rsidTr="005808FC">
        <w:trPr>
          <w:trHeight w:val="227"/>
        </w:trPr>
        <w:tc>
          <w:tcPr>
            <w:tcW w:w="1572" w:type="dxa"/>
            <w:tcBorders>
              <w:top w:val="single" w:sz="4" w:space="0" w:color="auto"/>
            </w:tcBorders>
            <w:shd w:val="clear" w:color="auto" w:fill="F2DBDB" w:themeFill="accent2" w:themeFillTint="33"/>
            <w:vAlign w:val="center"/>
          </w:tcPr>
          <w:p w14:paraId="4739FF34"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ZGRADARSTVO UKUPNO</w:t>
            </w:r>
          </w:p>
        </w:tc>
        <w:tc>
          <w:tcPr>
            <w:tcW w:w="1134" w:type="dxa"/>
            <w:tcBorders>
              <w:top w:val="single" w:sz="4" w:space="0" w:color="auto"/>
            </w:tcBorders>
            <w:shd w:val="clear" w:color="auto" w:fill="auto"/>
            <w:noWrap/>
            <w:vAlign w:val="center"/>
          </w:tcPr>
          <w:p w14:paraId="170052F9" w14:textId="77777777" w:rsidR="002907A0" w:rsidRPr="005808FC" w:rsidRDefault="002907A0" w:rsidP="005808FC">
            <w:pPr>
              <w:spacing w:after="0" w:line="240" w:lineRule="auto"/>
              <w:jc w:val="center"/>
              <w:rPr>
                <w:b/>
                <w:bCs/>
                <w:sz w:val="20"/>
                <w:szCs w:val="20"/>
              </w:rPr>
            </w:pPr>
            <w:r w:rsidRPr="003E50D1">
              <w:rPr>
                <w:b/>
                <w:bCs/>
                <w:sz w:val="20"/>
                <w:szCs w:val="20"/>
              </w:rPr>
              <w:t>559 639,7</w:t>
            </w:r>
          </w:p>
        </w:tc>
        <w:tc>
          <w:tcPr>
            <w:tcW w:w="1134" w:type="dxa"/>
            <w:tcBorders>
              <w:top w:val="single" w:sz="4" w:space="0" w:color="auto"/>
            </w:tcBorders>
            <w:shd w:val="clear" w:color="auto" w:fill="auto"/>
            <w:noWrap/>
            <w:vAlign w:val="center"/>
          </w:tcPr>
          <w:p w14:paraId="027BCF36" w14:textId="77777777" w:rsidR="002907A0" w:rsidRPr="005808FC" w:rsidRDefault="002907A0" w:rsidP="005808FC">
            <w:pPr>
              <w:spacing w:after="0" w:line="240" w:lineRule="auto"/>
              <w:jc w:val="center"/>
              <w:rPr>
                <w:b/>
                <w:bCs/>
                <w:sz w:val="20"/>
                <w:szCs w:val="20"/>
              </w:rPr>
            </w:pPr>
            <w:r w:rsidRPr="003E50D1">
              <w:rPr>
                <w:b/>
                <w:bCs/>
                <w:sz w:val="20"/>
                <w:szCs w:val="20"/>
              </w:rPr>
              <w:t>465 685,2</w:t>
            </w:r>
          </w:p>
        </w:tc>
        <w:tc>
          <w:tcPr>
            <w:tcW w:w="1134" w:type="dxa"/>
            <w:tcBorders>
              <w:top w:val="single" w:sz="4" w:space="0" w:color="auto"/>
            </w:tcBorders>
            <w:shd w:val="clear" w:color="auto" w:fill="auto"/>
            <w:noWrap/>
            <w:vAlign w:val="center"/>
          </w:tcPr>
          <w:p w14:paraId="62C8F94C" w14:textId="77777777" w:rsidR="002907A0" w:rsidRPr="005808FC" w:rsidRDefault="002907A0" w:rsidP="005808FC">
            <w:pPr>
              <w:spacing w:after="0" w:line="240" w:lineRule="auto"/>
              <w:jc w:val="center"/>
              <w:rPr>
                <w:b/>
                <w:bCs/>
                <w:sz w:val="20"/>
                <w:szCs w:val="20"/>
              </w:rPr>
            </w:pPr>
            <w:r w:rsidRPr="003E50D1">
              <w:rPr>
                <w:b/>
                <w:bCs/>
                <w:sz w:val="20"/>
                <w:szCs w:val="20"/>
              </w:rPr>
              <w:t>634 049,2</w:t>
            </w:r>
          </w:p>
        </w:tc>
        <w:tc>
          <w:tcPr>
            <w:tcW w:w="1134" w:type="dxa"/>
            <w:tcBorders>
              <w:top w:val="single" w:sz="4" w:space="0" w:color="auto"/>
            </w:tcBorders>
            <w:shd w:val="clear" w:color="auto" w:fill="auto"/>
            <w:noWrap/>
            <w:vAlign w:val="center"/>
          </w:tcPr>
          <w:p w14:paraId="5310B8AB" w14:textId="77777777" w:rsidR="002907A0" w:rsidRPr="005808FC" w:rsidRDefault="002907A0" w:rsidP="005808FC">
            <w:pPr>
              <w:spacing w:after="0" w:line="240" w:lineRule="auto"/>
              <w:jc w:val="center"/>
              <w:rPr>
                <w:b/>
                <w:bCs/>
                <w:sz w:val="20"/>
                <w:szCs w:val="20"/>
              </w:rPr>
            </w:pPr>
            <w:r w:rsidRPr="003E50D1">
              <w:rPr>
                <w:b/>
                <w:bCs/>
                <w:sz w:val="20"/>
                <w:szCs w:val="20"/>
              </w:rPr>
              <w:t>100 000,2</w:t>
            </w:r>
          </w:p>
        </w:tc>
        <w:tc>
          <w:tcPr>
            <w:tcW w:w="992" w:type="dxa"/>
            <w:tcBorders>
              <w:top w:val="single" w:sz="4" w:space="0" w:color="auto"/>
            </w:tcBorders>
            <w:shd w:val="clear" w:color="auto" w:fill="auto"/>
            <w:vAlign w:val="center"/>
          </w:tcPr>
          <w:p w14:paraId="438963B8" w14:textId="77777777" w:rsidR="002907A0" w:rsidRPr="005808FC" w:rsidRDefault="002907A0" w:rsidP="005808FC">
            <w:pPr>
              <w:spacing w:after="0" w:line="240" w:lineRule="auto"/>
              <w:jc w:val="center"/>
              <w:rPr>
                <w:b/>
                <w:bCs/>
                <w:sz w:val="20"/>
                <w:szCs w:val="20"/>
              </w:rPr>
            </w:pPr>
            <w:r w:rsidRPr="003E50D1">
              <w:rPr>
                <w:b/>
                <w:bCs/>
                <w:sz w:val="20"/>
                <w:szCs w:val="20"/>
              </w:rPr>
              <w:t>58,0</w:t>
            </w:r>
          </w:p>
        </w:tc>
        <w:tc>
          <w:tcPr>
            <w:tcW w:w="850" w:type="dxa"/>
            <w:tcBorders>
              <w:top w:val="single" w:sz="4" w:space="0" w:color="auto"/>
            </w:tcBorders>
            <w:shd w:val="clear" w:color="auto" w:fill="auto"/>
            <w:noWrap/>
            <w:vAlign w:val="center"/>
          </w:tcPr>
          <w:p w14:paraId="08C35D64" w14:textId="77777777" w:rsidR="002907A0" w:rsidRPr="005808FC" w:rsidRDefault="002907A0" w:rsidP="005808FC">
            <w:pPr>
              <w:spacing w:after="0" w:line="240" w:lineRule="auto"/>
              <w:jc w:val="center"/>
              <w:rPr>
                <w:b/>
                <w:bCs/>
                <w:sz w:val="20"/>
                <w:szCs w:val="20"/>
              </w:rPr>
            </w:pPr>
            <w:r w:rsidRPr="003E50D1">
              <w:rPr>
                <w:b/>
                <w:bCs/>
                <w:sz w:val="20"/>
                <w:szCs w:val="20"/>
              </w:rPr>
              <w:t>0,0</w:t>
            </w:r>
          </w:p>
        </w:tc>
        <w:tc>
          <w:tcPr>
            <w:tcW w:w="1276" w:type="dxa"/>
            <w:tcBorders>
              <w:top w:val="single" w:sz="4" w:space="0" w:color="auto"/>
            </w:tcBorders>
            <w:shd w:val="clear" w:color="auto" w:fill="auto"/>
            <w:noWrap/>
            <w:vAlign w:val="center"/>
          </w:tcPr>
          <w:p w14:paraId="49E28D1C" w14:textId="77777777" w:rsidR="002907A0" w:rsidRPr="005808FC" w:rsidRDefault="002907A0" w:rsidP="005808FC">
            <w:pPr>
              <w:spacing w:after="0" w:line="240" w:lineRule="auto"/>
              <w:jc w:val="center"/>
              <w:rPr>
                <w:b/>
                <w:bCs/>
                <w:sz w:val="20"/>
                <w:szCs w:val="20"/>
              </w:rPr>
            </w:pPr>
            <w:r w:rsidRPr="003E50D1">
              <w:rPr>
                <w:b/>
                <w:bCs/>
                <w:sz w:val="20"/>
                <w:szCs w:val="20"/>
              </w:rPr>
              <w:t>1 759 423,3</w:t>
            </w:r>
          </w:p>
        </w:tc>
      </w:tr>
    </w:tbl>
    <w:p w14:paraId="65D7CDF3" w14:textId="77777777" w:rsidR="002907A0" w:rsidRPr="00922031" w:rsidRDefault="002907A0" w:rsidP="002907A0">
      <w:pPr>
        <w:spacing w:line="240" w:lineRule="auto"/>
        <w:rPr>
          <w:rFonts w:cstheme="minorHAnsi"/>
        </w:rPr>
      </w:pPr>
      <w:r w:rsidRPr="00922031">
        <w:rPr>
          <w:rFonts w:cstheme="minorHAnsi"/>
        </w:rPr>
        <w:br w:type="page"/>
      </w:r>
    </w:p>
    <w:p w14:paraId="2304C74F" w14:textId="77777777" w:rsidR="002907A0" w:rsidRPr="00922031" w:rsidRDefault="002907A0" w:rsidP="002907A0">
      <w:pPr>
        <w:spacing w:line="240" w:lineRule="auto"/>
        <w:rPr>
          <w:rFonts w:cstheme="minorHAnsi"/>
        </w:rPr>
      </w:pPr>
      <w:r w:rsidRPr="00922031">
        <w:rPr>
          <w:rFonts w:cstheme="minorHAnsi"/>
          <w:noProof/>
          <w:lang w:eastAsia="hr-HR"/>
        </w:rPr>
        <w:lastRenderedPageBreak/>
        <w:drawing>
          <wp:inline distT="0" distB="0" distL="0" distR="0" wp14:anchorId="6B975886" wp14:editId="282BED44">
            <wp:extent cx="5762445" cy="332117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F67090" w14:textId="6216E68E" w:rsidR="002907A0" w:rsidRPr="00AE1594" w:rsidRDefault="00AE1594" w:rsidP="00AE1594">
      <w:pPr>
        <w:pStyle w:val="Heading6"/>
      </w:pPr>
      <w:bookmarkStart w:id="49" w:name="_Toc4156022"/>
      <w:r>
        <w:t>Sl</w:t>
      </w:r>
      <w:r w:rsidRPr="00AE1594">
        <w:t xml:space="preserve">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w:t>
      </w:r>
      <w:r w:rsidR="00CA6C6C" w:rsidRPr="005808FC">
        <w:fldChar w:fldCharType="end"/>
      </w:r>
      <w:r w:rsidR="000509A0">
        <w:t xml:space="preserve"> -</w:t>
      </w:r>
      <w:r w:rsidRPr="00AE1594">
        <w:t xml:space="preserve"> Emisije CO</w:t>
      </w:r>
      <w:r w:rsidRPr="005808FC">
        <w:rPr>
          <w:vertAlign w:val="subscript"/>
        </w:rPr>
        <w:t>2</w:t>
      </w:r>
      <w:r w:rsidRPr="00AE1594">
        <w:t xml:space="preserve"> iz sektora zgradarstva Grada Zagreba</w:t>
      </w:r>
      <w:bookmarkEnd w:id="49"/>
    </w:p>
    <w:p w14:paraId="51B6CC3E" w14:textId="77777777" w:rsidR="00AE1594" w:rsidRPr="00AE1594" w:rsidRDefault="00AE1594" w:rsidP="00AE1594"/>
    <w:p w14:paraId="4148F8C3" w14:textId="35FD72D3" w:rsidR="002907A0" w:rsidRPr="00922031" w:rsidRDefault="002907A0" w:rsidP="00AE1594">
      <w:pPr>
        <w:pStyle w:val="CM54"/>
      </w:pPr>
      <w:r w:rsidRPr="00922031">
        <w:t>Najveći udio u ukupnoj emisiji CO</w:t>
      </w:r>
      <w:r w:rsidRPr="00922031">
        <w:rPr>
          <w:vertAlign w:val="subscript"/>
        </w:rPr>
        <w:t>2</w:t>
      </w:r>
      <w:r w:rsidRPr="00922031">
        <w:t xml:space="preserve"> čini emisija iz prirodnog plina s udjelom od 36,0%, zatim slijedi neizravna emisija iz potrošnje električne energije (31,8%), emisija iz potrošnje toplinske energije (26,5%), dok emisija CO</w:t>
      </w:r>
      <w:r w:rsidRPr="00922031">
        <w:rPr>
          <w:vertAlign w:val="subscript"/>
        </w:rPr>
        <w:t>2</w:t>
      </w:r>
      <w:r w:rsidRPr="00922031">
        <w:t xml:space="preserve"> iz loživoga ulja</w:t>
      </w:r>
      <w:r w:rsidR="000509A0">
        <w:t xml:space="preserve"> i </w:t>
      </w:r>
      <w:r w:rsidRPr="00922031">
        <w:t>ukapljenog naftnog plina (UNP) čini manje od 6%. Promatrajući sektor zgradarstva najveći udio u ukupnim emisijama čine kućanstva (63,7%). Zgrade komercijalnih</w:t>
      </w:r>
      <w:r w:rsidR="000509A0">
        <w:t xml:space="preserve"> i </w:t>
      </w:r>
      <w:r w:rsidRPr="00922031">
        <w:t>uslužnih djelatnost doprinose s udjelom od 28,3%, dok zgrade</w:t>
      </w:r>
      <w:r w:rsidR="000509A0">
        <w:t xml:space="preserve"> i </w:t>
      </w:r>
      <w:r w:rsidRPr="00922031">
        <w:t>poduzeća u vlasništvu Grada doprinose ukupnim emisijama s 7,9%. Proračunata je</w:t>
      </w:r>
      <w:r w:rsidR="000509A0">
        <w:t xml:space="preserve"> i </w:t>
      </w:r>
      <w:r w:rsidRPr="00922031">
        <w:t>emisija CO</w:t>
      </w:r>
      <w:r w:rsidRPr="00922031">
        <w:rPr>
          <w:vertAlign w:val="subscript"/>
        </w:rPr>
        <w:t>2</w:t>
      </w:r>
      <w:r w:rsidRPr="00922031">
        <w:t>-ekv iz goriva te ona za sektor zgradarstvo iznosi 1 760 kt CO</w:t>
      </w:r>
      <w:r w:rsidRPr="00922031">
        <w:rPr>
          <w:vertAlign w:val="subscript"/>
        </w:rPr>
        <w:t>2</w:t>
      </w:r>
      <w:r w:rsidRPr="00922031">
        <w:t>-ekv.</w:t>
      </w:r>
    </w:p>
    <w:p w14:paraId="277C3060" w14:textId="77777777" w:rsidR="002907A0" w:rsidRPr="00922031" w:rsidRDefault="002907A0" w:rsidP="002907A0">
      <w:pPr>
        <w:spacing w:after="0" w:line="240" w:lineRule="auto"/>
        <w:rPr>
          <w:rFonts w:cstheme="minorHAnsi"/>
          <w:color w:val="000000"/>
          <w:lang w:eastAsia="hr-HR"/>
        </w:rPr>
      </w:pPr>
    </w:p>
    <w:p w14:paraId="62589D0D" w14:textId="77777777" w:rsidR="002907A0" w:rsidRPr="00922031" w:rsidRDefault="002907A0" w:rsidP="00F5641B">
      <w:pPr>
        <w:pStyle w:val="Heading2"/>
      </w:pPr>
      <w:bookmarkStart w:id="50" w:name="_Toc251920766"/>
      <w:bookmarkStart w:id="51" w:name="_Toc4156076"/>
      <w:r w:rsidRPr="00922031">
        <w:t>Referentni inventar emisija CO</w:t>
      </w:r>
      <w:r w:rsidRPr="00922031">
        <w:rPr>
          <w:vertAlign w:val="subscript"/>
        </w:rPr>
        <w:t>2</w:t>
      </w:r>
      <w:r w:rsidRPr="00922031">
        <w:t xml:space="preserve"> iz sektora prometa Grada Zagreba</w:t>
      </w:r>
      <w:bookmarkEnd w:id="50"/>
      <w:bookmarkEnd w:id="51"/>
    </w:p>
    <w:p w14:paraId="6D03D068" w14:textId="68E9FD46"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U urbanim je sredinama sektor prometa, osobito cestovni promet, najznačajniji čimbenik</w:t>
      </w:r>
      <w:r w:rsidRPr="00291DF5">
        <w:rPr>
          <w:rFonts w:asciiTheme="minorHAnsi" w:hAnsiTheme="minorHAnsi" w:cstheme="minorBidi"/>
        </w:rPr>
        <w:t xml:space="preserve"> onečišćenja zraka, koji u velikoj mjeri pridonosi stvaranju stakleničkih plinova - CO</w:t>
      </w:r>
      <w:r w:rsidRPr="005808FC">
        <w:rPr>
          <w:rFonts w:asciiTheme="minorHAnsi" w:hAnsiTheme="minorHAnsi" w:cstheme="minorBidi"/>
          <w:vertAlign w:val="subscript"/>
        </w:rPr>
        <w:t>2</w:t>
      </w:r>
      <w:r w:rsidRPr="005808FC">
        <w:rPr>
          <w:rFonts w:asciiTheme="minorHAnsi" w:hAnsiTheme="minorHAnsi" w:cstheme="minorBidi"/>
        </w:rPr>
        <w:t>, CH</w:t>
      </w:r>
      <w:r w:rsidRPr="005808FC">
        <w:rPr>
          <w:rFonts w:asciiTheme="minorHAnsi" w:hAnsiTheme="minorHAnsi" w:cstheme="minorBidi"/>
          <w:vertAlign w:val="subscript"/>
        </w:rPr>
        <w:t>4</w:t>
      </w:r>
      <w:r w:rsidR="000509A0">
        <w:rPr>
          <w:rFonts w:asciiTheme="minorHAnsi" w:hAnsiTheme="minorHAnsi" w:cstheme="minorBidi"/>
        </w:rPr>
        <w:t xml:space="preserve"> i </w:t>
      </w:r>
      <w:r w:rsidRPr="00291DF5">
        <w:rPr>
          <w:rFonts w:asciiTheme="minorHAnsi" w:hAnsiTheme="minorHAnsi" w:cstheme="minorBidi"/>
        </w:rPr>
        <w:t>N</w:t>
      </w:r>
      <w:r w:rsidRPr="005808FC">
        <w:rPr>
          <w:rFonts w:asciiTheme="minorHAnsi" w:hAnsiTheme="minorHAnsi" w:cstheme="minorBidi"/>
          <w:vertAlign w:val="subscript"/>
        </w:rPr>
        <w:t>2</w:t>
      </w:r>
      <w:r w:rsidRPr="005808FC">
        <w:rPr>
          <w:rFonts w:asciiTheme="minorHAnsi" w:hAnsiTheme="minorHAnsi" w:cstheme="minorBidi"/>
        </w:rPr>
        <w:t>O. Emisija CO</w:t>
      </w:r>
      <w:r w:rsidRPr="005808FC">
        <w:rPr>
          <w:rFonts w:asciiTheme="minorHAnsi" w:hAnsiTheme="minorHAnsi" w:cstheme="minorBidi"/>
          <w:vertAlign w:val="subscript"/>
        </w:rPr>
        <w:t>2</w:t>
      </w:r>
      <w:r w:rsidRPr="005808FC">
        <w:rPr>
          <w:rFonts w:asciiTheme="minorHAnsi" w:hAnsiTheme="minorHAnsi" w:cstheme="minorBidi"/>
        </w:rPr>
        <w:t xml:space="preserve"> iz motornih vozila ovisna je o brojnim parametrima od kojih su glavni kakvoća goriva, konstrukcijske izvedbe motora</w:t>
      </w:r>
      <w:r w:rsidR="000509A0">
        <w:rPr>
          <w:rFonts w:asciiTheme="minorHAnsi" w:hAnsiTheme="minorHAnsi" w:cstheme="minorBidi"/>
        </w:rPr>
        <w:t xml:space="preserve"> i </w:t>
      </w:r>
      <w:r w:rsidRPr="00291DF5">
        <w:rPr>
          <w:rFonts w:asciiTheme="minorHAnsi" w:hAnsiTheme="minorHAnsi" w:cstheme="minorBidi"/>
        </w:rPr>
        <w:t>vozila, režim vožnje</w:t>
      </w:r>
      <w:r w:rsidRPr="005808FC">
        <w:rPr>
          <w:rFonts w:asciiTheme="minorHAnsi" w:hAnsiTheme="minorHAnsi" w:cstheme="minorBidi"/>
        </w:rPr>
        <w:t>, vanjski meteorološki uvjeti, održavanje motora</w:t>
      </w:r>
      <w:r w:rsidR="000509A0">
        <w:rPr>
          <w:rFonts w:asciiTheme="minorHAnsi" w:hAnsiTheme="minorHAnsi" w:cstheme="minorBidi"/>
        </w:rPr>
        <w:t xml:space="preserve"> i </w:t>
      </w:r>
      <w:r w:rsidRPr="00291DF5">
        <w:rPr>
          <w:rFonts w:asciiTheme="minorHAnsi" w:hAnsiTheme="minorHAnsi" w:cstheme="minorBidi"/>
        </w:rPr>
        <w:t>njegova starosti,</w:t>
      </w:r>
      <w:r w:rsidR="000509A0">
        <w:rPr>
          <w:rFonts w:asciiTheme="minorHAnsi" w:hAnsiTheme="minorHAnsi" w:cstheme="minorBidi"/>
        </w:rPr>
        <w:t xml:space="preserve"> i </w:t>
      </w:r>
      <w:r w:rsidRPr="00291DF5">
        <w:rPr>
          <w:rFonts w:asciiTheme="minorHAnsi" w:hAnsiTheme="minorHAnsi" w:cstheme="minorBidi"/>
        </w:rPr>
        <w:t>dr.</w:t>
      </w:r>
    </w:p>
    <w:p w14:paraId="465F18CC" w14:textId="77777777" w:rsidR="002907A0" w:rsidRPr="00922031" w:rsidRDefault="002907A0" w:rsidP="001D779A">
      <w:pPr>
        <w:pStyle w:val="NoSpacing"/>
        <w:spacing w:line="276" w:lineRule="auto"/>
        <w:rPr>
          <w:rFonts w:asciiTheme="minorHAnsi" w:hAnsiTheme="minorHAnsi" w:cstheme="minorHAnsi"/>
        </w:rPr>
      </w:pPr>
    </w:p>
    <w:p w14:paraId="49471D0E" w14:textId="77777777"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Referentni inventar emisija CO</w:t>
      </w:r>
      <w:r w:rsidRPr="00291DF5">
        <w:rPr>
          <w:rFonts w:asciiTheme="minorHAnsi" w:hAnsiTheme="minorHAnsi" w:cstheme="minorBidi"/>
          <w:vertAlign w:val="subscript"/>
        </w:rPr>
        <w:t>2</w:t>
      </w:r>
      <w:r w:rsidRPr="005808FC">
        <w:rPr>
          <w:rFonts w:asciiTheme="minorHAnsi" w:hAnsiTheme="minorHAnsi" w:cstheme="minorBidi"/>
        </w:rPr>
        <w:t xml:space="preserve"> iz sektora prometa Grada Zagreba podijeljen je na tri osnovna podsektora: </w:t>
      </w:r>
    </w:p>
    <w:p w14:paraId="48327ED9" w14:textId="77777777" w:rsidR="002907A0" w:rsidRPr="00922031" w:rsidRDefault="002907A0" w:rsidP="005808FC">
      <w:pPr>
        <w:pStyle w:val="ListParagraph"/>
        <w:numPr>
          <w:ilvl w:val="0"/>
          <w:numId w:val="39"/>
        </w:numPr>
        <w:spacing w:after="0"/>
      </w:pPr>
      <w:r w:rsidRPr="003E50D1">
        <w:t>emisije CO</w:t>
      </w:r>
      <w:r w:rsidRPr="00291DF5">
        <w:rPr>
          <w:vertAlign w:val="subscript"/>
        </w:rPr>
        <w:t>2</w:t>
      </w:r>
      <w:r w:rsidRPr="005808FC">
        <w:t xml:space="preserve"> vozila u vlasništvu Grada;</w:t>
      </w:r>
    </w:p>
    <w:p w14:paraId="54391FBA" w14:textId="40C4BB4B" w:rsidR="002907A0" w:rsidRPr="00922031" w:rsidRDefault="002907A0" w:rsidP="005808FC">
      <w:pPr>
        <w:pStyle w:val="ListParagraph"/>
        <w:numPr>
          <w:ilvl w:val="0"/>
          <w:numId w:val="39"/>
        </w:numPr>
        <w:spacing w:after="0"/>
      </w:pPr>
      <w:r w:rsidRPr="003E50D1">
        <w:t>emisije CO</w:t>
      </w:r>
      <w:r w:rsidRPr="00291DF5">
        <w:rPr>
          <w:vertAlign w:val="subscript"/>
        </w:rPr>
        <w:t>2</w:t>
      </w:r>
      <w:r w:rsidR="00B25B9E" w:rsidRPr="005808FC">
        <w:rPr>
          <w:vertAlign w:val="subscript"/>
        </w:rPr>
        <w:t xml:space="preserve"> </w:t>
      </w:r>
      <w:r w:rsidRPr="005808FC">
        <w:t>javnog prijevoza;</w:t>
      </w:r>
    </w:p>
    <w:p w14:paraId="2E82F4B1" w14:textId="73A666C7" w:rsidR="002907A0" w:rsidRPr="00922031" w:rsidRDefault="002907A0" w:rsidP="005808FC">
      <w:pPr>
        <w:pStyle w:val="ListParagraph"/>
        <w:numPr>
          <w:ilvl w:val="0"/>
          <w:numId w:val="39"/>
        </w:numPr>
        <w:spacing w:after="0"/>
      </w:pPr>
      <w:r w:rsidRPr="003E50D1">
        <w:t>emisije CO</w:t>
      </w:r>
      <w:r w:rsidRPr="00291DF5">
        <w:rPr>
          <w:vertAlign w:val="subscript"/>
        </w:rPr>
        <w:t>2</w:t>
      </w:r>
      <w:r w:rsidR="00B25B9E" w:rsidRPr="005808FC">
        <w:rPr>
          <w:vertAlign w:val="subscript"/>
        </w:rPr>
        <w:t xml:space="preserve"> </w:t>
      </w:r>
      <w:r w:rsidRPr="005808FC">
        <w:t>osobnih</w:t>
      </w:r>
      <w:r w:rsidR="000509A0">
        <w:t xml:space="preserve"> i </w:t>
      </w:r>
      <w:r w:rsidRPr="00291DF5">
        <w:t>komercijalnih vozila.</w:t>
      </w:r>
    </w:p>
    <w:p w14:paraId="70F20722" w14:textId="77777777" w:rsidR="002907A0" w:rsidRPr="00922031" w:rsidRDefault="002907A0" w:rsidP="001D779A">
      <w:pPr>
        <w:pStyle w:val="NoSpacing"/>
        <w:spacing w:line="276" w:lineRule="auto"/>
        <w:rPr>
          <w:rFonts w:asciiTheme="minorHAnsi" w:hAnsiTheme="minorHAnsi" w:cstheme="minorHAnsi"/>
        </w:rPr>
      </w:pPr>
    </w:p>
    <w:p w14:paraId="1008A595" w14:textId="16AB8FDA"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lastRenderedPageBreak/>
        <w:t>Za proračun emisije uslijed izgaranja</w:t>
      </w:r>
      <w:r w:rsidR="000509A0">
        <w:rPr>
          <w:rFonts w:asciiTheme="minorHAnsi" w:hAnsiTheme="minorHAnsi" w:cstheme="minorBidi"/>
        </w:rPr>
        <w:t xml:space="preserve"> i </w:t>
      </w:r>
      <w:r w:rsidRPr="003E50D1">
        <w:rPr>
          <w:rFonts w:asciiTheme="minorHAnsi" w:hAnsiTheme="minorHAnsi" w:cstheme="minorBidi"/>
        </w:rPr>
        <w:t>ishlapljivanja goriva iz sektora pro</w:t>
      </w:r>
      <w:r w:rsidRPr="00291DF5">
        <w:rPr>
          <w:rFonts w:asciiTheme="minorHAnsi" w:hAnsiTheme="minorHAnsi" w:cstheme="minorBidi"/>
        </w:rPr>
        <w:t>meta korišten je programski paket COPERT III, razvijen od strane EEA (</w:t>
      </w:r>
      <w:r w:rsidRPr="003E50D1">
        <w:rPr>
          <w:rFonts w:asciiTheme="minorHAnsi" w:hAnsiTheme="minorHAnsi" w:cstheme="minorBidi"/>
          <w:i/>
          <w:iCs/>
        </w:rPr>
        <w:t>European Environmental Agency</w:t>
      </w:r>
      <w:r w:rsidRPr="003E50D1">
        <w:rPr>
          <w:rFonts w:asciiTheme="minorHAnsi" w:hAnsiTheme="minorHAnsi" w:cstheme="minorBidi"/>
        </w:rPr>
        <w:t>) u sklopu EMEP/CORINAIR metodologije. Detaljan opis EMEP/CORINAIR metodologije</w:t>
      </w:r>
      <w:r w:rsidR="000509A0">
        <w:rPr>
          <w:rFonts w:asciiTheme="minorHAnsi" w:hAnsiTheme="minorHAnsi" w:cstheme="minorBidi"/>
        </w:rPr>
        <w:t xml:space="preserve"> i </w:t>
      </w:r>
      <w:r w:rsidRPr="003E50D1">
        <w:rPr>
          <w:rFonts w:asciiTheme="minorHAnsi" w:hAnsiTheme="minorHAnsi" w:cstheme="minorBidi"/>
        </w:rPr>
        <w:t xml:space="preserve">programskog paketa COPERT III dan je u </w:t>
      </w:r>
      <w:r w:rsidR="001D03F0" w:rsidRPr="003E50D1">
        <w:rPr>
          <w:rFonts w:asciiTheme="minorHAnsi" w:hAnsiTheme="minorHAnsi" w:cstheme="minorBidi"/>
          <w:i/>
          <w:iCs/>
        </w:rPr>
        <w:t>Prilogu 7</w:t>
      </w:r>
      <w:r w:rsidR="009D0602" w:rsidRPr="003E50D1">
        <w:rPr>
          <w:rFonts w:asciiTheme="minorHAnsi" w:hAnsiTheme="minorHAnsi" w:cstheme="minorBidi"/>
        </w:rPr>
        <w:t xml:space="preserve"> - </w:t>
      </w:r>
      <w:r w:rsidR="002E5F19" w:rsidRPr="005808FC">
        <w:rPr>
          <w:rFonts w:asciiTheme="minorHAnsi" w:hAnsiTheme="minorHAnsi" w:cstheme="minorBidi"/>
          <w:i/>
          <w:iCs/>
        </w:rPr>
        <w:t>Osnovne odrednice</w:t>
      </w:r>
      <w:r w:rsidR="000509A0">
        <w:rPr>
          <w:rFonts w:asciiTheme="minorHAnsi" w:hAnsiTheme="minorHAnsi" w:cstheme="minorBidi"/>
          <w:i/>
          <w:iCs/>
        </w:rPr>
        <w:t xml:space="preserve"> i </w:t>
      </w:r>
      <w:r w:rsidR="002E5F19" w:rsidRPr="005808FC">
        <w:rPr>
          <w:rFonts w:asciiTheme="minorHAnsi" w:hAnsiTheme="minorHAnsi" w:cstheme="minorBidi"/>
          <w:i/>
          <w:iCs/>
        </w:rPr>
        <w:t>podloge za praćenje emisija CO</w:t>
      </w:r>
      <w:r w:rsidR="002E5F19" w:rsidRPr="005808FC">
        <w:rPr>
          <w:rFonts w:asciiTheme="minorHAnsi" w:hAnsiTheme="minorHAnsi" w:cstheme="minorBidi"/>
          <w:i/>
          <w:iCs/>
          <w:vertAlign w:val="subscript"/>
        </w:rPr>
        <w:t>2</w:t>
      </w:r>
      <w:r w:rsidR="002E5F19" w:rsidRPr="005808FC">
        <w:rPr>
          <w:rFonts w:asciiTheme="minorHAnsi" w:hAnsiTheme="minorHAnsi" w:cstheme="minorBidi"/>
          <w:i/>
          <w:iCs/>
        </w:rPr>
        <w:t xml:space="preserve"> za izradu SEAP-a Grada Zagreba</w:t>
      </w:r>
      <w:r w:rsidRPr="003E50D1">
        <w:rPr>
          <w:rFonts w:asciiTheme="minorHAnsi" w:hAnsiTheme="minorHAnsi" w:cstheme="minorBidi"/>
        </w:rPr>
        <w:t>.</w:t>
      </w:r>
    </w:p>
    <w:p w14:paraId="36C4ECEB" w14:textId="77777777" w:rsidR="002907A0" w:rsidRPr="007053EB" w:rsidRDefault="002907A0" w:rsidP="007053EB">
      <w:pPr>
        <w:pStyle w:val="Heading3"/>
      </w:pPr>
      <w:bookmarkStart w:id="52" w:name="_Toc251920768"/>
      <w:bookmarkStart w:id="53" w:name="_Toc4156077"/>
      <w:r w:rsidRPr="007053EB">
        <w:t>Emisije CO</w:t>
      </w:r>
      <w:r w:rsidRPr="005808FC">
        <w:rPr>
          <w:vertAlign w:val="subscript"/>
        </w:rPr>
        <w:t>2</w:t>
      </w:r>
      <w:r w:rsidRPr="007053EB">
        <w:t xml:space="preserve"> vozila u vlasništvu Grada Zagreba</w:t>
      </w:r>
      <w:bookmarkEnd w:id="52"/>
      <w:bookmarkEnd w:id="53"/>
    </w:p>
    <w:p w14:paraId="3BC1B828" w14:textId="4EBA6D2B" w:rsidR="002907A0" w:rsidRPr="00922031" w:rsidRDefault="002907A0" w:rsidP="005808FC">
      <w:pPr>
        <w:spacing w:after="0"/>
      </w:pPr>
      <w:r w:rsidRPr="003E50D1">
        <w:t>Podsektor vozila u vlasništvu Grada obuhvaća vozni park Gradske uprave</w:t>
      </w:r>
      <w:r w:rsidR="000509A0">
        <w:t xml:space="preserve"> i </w:t>
      </w:r>
      <w:r w:rsidRPr="003E50D1">
        <w:t>svih članica Zagrebačkog holdinga.</w:t>
      </w:r>
    </w:p>
    <w:p w14:paraId="11C2A6A2" w14:textId="77777777" w:rsidR="002907A0" w:rsidRPr="00922031" w:rsidRDefault="002907A0" w:rsidP="001D779A">
      <w:pPr>
        <w:spacing w:after="0"/>
        <w:rPr>
          <w:rFonts w:cstheme="minorHAnsi"/>
        </w:rPr>
      </w:pPr>
    </w:p>
    <w:p w14:paraId="737F4EFE" w14:textId="16B076CC" w:rsidR="002907A0" w:rsidRPr="00922031" w:rsidRDefault="002907A0" w:rsidP="005808FC">
      <w:pPr>
        <w:spacing w:after="0"/>
      </w:pPr>
      <w:r w:rsidRPr="003E50D1">
        <w:t xml:space="preserve">U </w:t>
      </w:r>
      <w:r w:rsidR="00FC154F" w:rsidRPr="00291DF5">
        <w:t>T</w:t>
      </w:r>
      <w:r w:rsidRPr="005808FC">
        <w:t xml:space="preserve">ablici </w:t>
      </w:r>
      <w:r w:rsidR="00FC154F" w:rsidRPr="005808FC">
        <w:t>4</w:t>
      </w:r>
      <w:r w:rsidRPr="005808FC">
        <w:t xml:space="preserve">.3 prikazane su emisije stakleničkih plinova voznog parka u vlasništvu Grada Zagreba u 2008. godini prema korištenom gorivu, a </w:t>
      </w:r>
      <w:r w:rsidR="00FC154F" w:rsidRPr="005808FC">
        <w:t>T</w:t>
      </w:r>
      <w:r w:rsidRPr="005808FC">
        <w:t xml:space="preserve">ablica </w:t>
      </w:r>
      <w:r w:rsidR="00FC154F" w:rsidRPr="005808FC">
        <w:t>4</w:t>
      </w:r>
      <w:r w:rsidRPr="005808FC">
        <w:t>.4 daje sumarni prikaz ukupno potrošene energije</w:t>
      </w:r>
      <w:r w:rsidR="000509A0">
        <w:t xml:space="preserve"> i </w:t>
      </w:r>
      <w:r w:rsidRPr="00291DF5">
        <w:t>pridruženih emisija</w:t>
      </w:r>
      <w:r w:rsidR="000509A0">
        <w:t xml:space="preserve"> i </w:t>
      </w:r>
      <w:r w:rsidRPr="00291DF5">
        <w:t>ekvivalenta emisija CO</w:t>
      </w:r>
      <w:r w:rsidRPr="005808FC">
        <w:rPr>
          <w:vertAlign w:val="subscript"/>
        </w:rPr>
        <w:t xml:space="preserve">2 </w:t>
      </w:r>
      <w:r w:rsidRPr="005808FC">
        <w:t>ovog podsektora.</w:t>
      </w:r>
    </w:p>
    <w:p w14:paraId="760664AD" w14:textId="77777777" w:rsidR="002907A0" w:rsidRPr="00922031" w:rsidRDefault="002907A0" w:rsidP="002907A0">
      <w:pPr>
        <w:spacing w:after="0" w:line="240" w:lineRule="auto"/>
        <w:rPr>
          <w:rFonts w:cstheme="minorHAnsi"/>
        </w:rPr>
      </w:pPr>
    </w:p>
    <w:p w14:paraId="6E512B2B" w14:textId="1BD89315" w:rsidR="002907A0" w:rsidRPr="005808FC" w:rsidRDefault="0082211F" w:rsidP="0082211F">
      <w:pPr>
        <w:pStyle w:val="Caption"/>
        <w:keepNext/>
        <w:rPr>
          <w:lang w:val="hr-HR"/>
        </w:rPr>
      </w:pPr>
      <w:bookmarkStart w:id="54" w:name="_Toc251924018"/>
      <w:bookmarkStart w:id="55" w:name="_Toc4155993"/>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4</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3</w:t>
      </w:r>
      <w:r w:rsidR="0019556A">
        <w:fldChar w:fldCharType="end"/>
      </w:r>
      <w:r w:rsidRPr="005808FC">
        <w:rPr>
          <w:lang w:val="hr-HR"/>
        </w:rPr>
        <w:t xml:space="preserve"> - </w:t>
      </w:r>
      <w:r w:rsidR="002907A0" w:rsidRPr="005808FC">
        <w:rPr>
          <w:rFonts w:asciiTheme="minorHAnsi" w:hAnsiTheme="minorHAnsi" w:cstheme="minorBidi"/>
          <w:lang w:val="hr-HR"/>
        </w:rPr>
        <w:t>Emisije stakleničkih plinova voznog parka u vlasništvu Grada Zagreba</w:t>
      </w:r>
      <w:bookmarkEnd w:id="54"/>
      <w:bookmarkEnd w:id="55"/>
    </w:p>
    <w:tbl>
      <w:tblPr>
        <w:tblW w:w="9227" w:type="dxa"/>
        <w:tblInd w:w="95"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A0" w:firstRow="1" w:lastRow="0" w:firstColumn="1" w:lastColumn="0" w:noHBand="0" w:noVBand="0"/>
      </w:tblPr>
      <w:tblGrid>
        <w:gridCol w:w="1714"/>
        <w:gridCol w:w="1701"/>
        <w:gridCol w:w="1276"/>
        <w:gridCol w:w="1134"/>
        <w:gridCol w:w="992"/>
        <w:gridCol w:w="1038"/>
        <w:gridCol w:w="1372"/>
      </w:tblGrid>
      <w:tr w:rsidR="002907A0" w:rsidRPr="00922031" w14:paraId="720C50F3" w14:textId="77777777" w:rsidTr="005808FC">
        <w:trPr>
          <w:trHeight w:val="227"/>
        </w:trPr>
        <w:tc>
          <w:tcPr>
            <w:tcW w:w="9227" w:type="dxa"/>
            <w:gridSpan w:val="7"/>
            <w:tcBorders>
              <w:top w:val="single" w:sz="8" w:space="0" w:color="auto"/>
              <w:bottom w:val="single" w:sz="4" w:space="0" w:color="auto"/>
            </w:tcBorders>
            <w:shd w:val="clear" w:color="auto" w:fill="C6D9F1" w:themeFill="text2" w:themeFillTint="33"/>
            <w:noWrap/>
            <w:vAlign w:val="center"/>
          </w:tcPr>
          <w:p w14:paraId="3AF2073C"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AUTOMOBILI U VLASNIŠTVU GRADA</w:t>
            </w:r>
          </w:p>
        </w:tc>
      </w:tr>
      <w:tr w:rsidR="002907A0" w:rsidRPr="00922031" w14:paraId="6646B378" w14:textId="77777777" w:rsidTr="005808FC">
        <w:trPr>
          <w:trHeight w:val="227"/>
        </w:trPr>
        <w:tc>
          <w:tcPr>
            <w:tcW w:w="1714" w:type="dxa"/>
            <w:vMerge w:val="restart"/>
            <w:tcBorders>
              <w:top w:val="single" w:sz="8" w:space="0" w:color="auto"/>
              <w:bottom w:val="single" w:sz="4" w:space="0" w:color="auto"/>
            </w:tcBorders>
            <w:shd w:val="clear" w:color="auto" w:fill="C6D9F1" w:themeFill="text2" w:themeFillTint="33"/>
            <w:noWrap/>
            <w:vAlign w:val="center"/>
          </w:tcPr>
          <w:p w14:paraId="5D8A7768"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ENERGENT</w:t>
            </w:r>
          </w:p>
        </w:tc>
        <w:tc>
          <w:tcPr>
            <w:tcW w:w="2977" w:type="dxa"/>
            <w:gridSpan w:val="2"/>
            <w:tcBorders>
              <w:top w:val="single" w:sz="8" w:space="0" w:color="auto"/>
              <w:bottom w:val="single" w:sz="4" w:space="0" w:color="auto"/>
            </w:tcBorders>
            <w:shd w:val="clear" w:color="auto" w:fill="C6D9F1" w:themeFill="text2" w:themeFillTint="33"/>
            <w:noWrap/>
            <w:vAlign w:val="center"/>
          </w:tcPr>
          <w:p w14:paraId="2413B7CF"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Količina potrošenog goriva</w:t>
            </w:r>
          </w:p>
        </w:tc>
        <w:tc>
          <w:tcPr>
            <w:tcW w:w="4536" w:type="dxa"/>
            <w:gridSpan w:val="4"/>
            <w:tcBorders>
              <w:top w:val="single" w:sz="8" w:space="0" w:color="auto"/>
              <w:bottom w:val="single" w:sz="4" w:space="0" w:color="auto"/>
            </w:tcBorders>
            <w:shd w:val="clear" w:color="auto" w:fill="C6D9F1" w:themeFill="text2" w:themeFillTint="33"/>
            <w:noWrap/>
            <w:vAlign w:val="center"/>
          </w:tcPr>
          <w:p w14:paraId="237F50AD"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Emisija, t</w:t>
            </w:r>
          </w:p>
        </w:tc>
      </w:tr>
      <w:tr w:rsidR="005808FC" w:rsidRPr="00922031" w14:paraId="3E5E6422" w14:textId="77777777" w:rsidTr="005808FC">
        <w:trPr>
          <w:trHeight w:val="227"/>
        </w:trPr>
        <w:tc>
          <w:tcPr>
            <w:tcW w:w="1714" w:type="dxa"/>
            <w:vMerge/>
            <w:tcBorders>
              <w:top w:val="single" w:sz="4" w:space="0" w:color="auto"/>
              <w:bottom w:val="single" w:sz="8" w:space="0" w:color="auto"/>
            </w:tcBorders>
            <w:shd w:val="clear" w:color="auto" w:fill="C6D9F1" w:themeFill="text2" w:themeFillTint="33"/>
            <w:vAlign w:val="center"/>
          </w:tcPr>
          <w:p w14:paraId="415FEC65" w14:textId="77777777" w:rsidR="002907A0" w:rsidRPr="00922031" w:rsidRDefault="002907A0" w:rsidP="002907A0">
            <w:pPr>
              <w:spacing w:after="0" w:line="240" w:lineRule="auto"/>
              <w:rPr>
                <w:rFonts w:cstheme="minorHAnsi"/>
                <w:b/>
                <w:bCs/>
                <w:sz w:val="20"/>
                <w:szCs w:val="20"/>
                <w:lang w:eastAsia="hr-HR"/>
              </w:rPr>
            </w:pPr>
          </w:p>
        </w:tc>
        <w:tc>
          <w:tcPr>
            <w:tcW w:w="1701" w:type="dxa"/>
            <w:tcBorders>
              <w:top w:val="single" w:sz="4" w:space="0" w:color="auto"/>
              <w:bottom w:val="single" w:sz="8" w:space="0" w:color="auto"/>
            </w:tcBorders>
            <w:shd w:val="clear" w:color="auto" w:fill="C6D9F1" w:themeFill="text2" w:themeFillTint="33"/>
            <w:noWrap/>
            <w:vAlign w:val="center"/>
          </w:tcPr>
          <w:p w14:paraId="17FCA474"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t</w:t>
            </w:r>
          </w:p>
        </w:tc>
        <w:tc>
          <w:tcPr>
            <w:tcW w:w="1276" w:type="dxa"/>
            <w:tcBorders>
              <w:top w:val="single" w:sz="4" w:space="0" w:color="auto"/>
              <w:bottom w:val="single" w:sz="8" w:space="0" w:color="auto"/>
            </w:tcBorders>
            <w:shd w:val="clear" w:color="auto" w:fill="C6D9F1" w:themeFill="text2" w:themeFillTint="33"/>
            <w:noWrap/>
            <w:vAlign w:val="center"/>
          </w:tcPr>
          <w:p w14:paraId="523DADBD"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TJ</w:t>
            </w:r>
          </w:p>
        </w:tc>
        <w:tc>
          <w:tcPr>
            <w:tcW w:w="1134" w:type="dxa"/>
            <w:tcBorders>
              <w:top w:val="single" w:sz="4" w:space="0" w:color="auto"/>
              <w:bottom w:val="single" w:sz="8" w:space="0" w:color="auto"/>
            </w:tcBorders>
            <w:shd w:val="clear" w:color="auto" w:fill="C6D9F1" w:themeFill="text2" w:themeFillTint="33"/>
            <w:noWrap/>
            <w:vAlign w:val="center"/>
          </w:tcPr>
          <w:p w14:paraId="233EFCF6"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CO</w:t>
            </w:r>
            <w:r w:rsidRPr="00291DF5">
              <w:rPr>
                <w:b/>
                <w:bCs/>
                <w:sz w:val="20"/>
                <w:szCs w:val="20"/>
                <w:vertAlign w:val="subscript"/>
                <w:lang w:eastAsia="hr-HR"/>
              </w:rPr>
              <w:t>2</w:t>
            </w:r>
          </w:p>
        </w:tc>
        <w:tc>
          <w:tcPr>
            <w:tcW w:w="992" w:type="dxa"/>
            <w:tcBorders>
              <w:top w:val="single" w:sz="4" w:space="0" w:color="auto"/>
              <w:bottom w:val="single" w:sz="8" w:space="0" w:color="auto"/>
            </w:tcBorders>
            <w:shd w:val="clear" w:color="auto" w:fill="C6D9F1" w:themeFill="text2" w:themeFillTint="33"/>
            <w:noWrap/>
            <w:vAlign w:val="center"/>
          </w:tcPr>
          <w:p w14:paraId="427B1FEA"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CH</w:t>
            </w:r>
            <w:r w:rsidRPr="00291DF5">
              <w:rPr>
                <w:b/>
                <w:bCs/>
                <w:sz w:val="20"/>
                <w:szCs w:val="20"/>
                <w:vertAlign w:val="subscript"/>
                <w:lang w:eastAsia="hr-HR"/>
              </w:rPr>
              <w:t>4</w:t>
            </w:r>
          </w:p>
        </w:tc>
        <w:tc>
          <w:tcPr>
            <w:tcW w:w="1038" w:type="dxa"/>
            <w:tcBorders>
              <w:top w:val="single" w:sz="4" w:space="0" w:color="auto"/>
              <w:bottom w:val="single" w:sz="8" w:space="0" w:color="auto"/>
            </w:tcBorders>
            <w:shd w:val="clear" w:color="auto" w:fill="C6D9F1" w:themeFill="text2" w:themeFillTint="33"/>
            <w:noWrap/>
            <w:vAlign w:val="center"/>
          </w:tcPr>
          <w:p w14:paraId="088436D8"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N</w:t>
            </w:r>
            <w:r w:rsidRPr="00291DF5">
              <w:rPr>
                <w:b/>
                <w:bCs/>
                <w:sz w:val="20"/>
                <w:szCs w:val="20"/>
                <w:vertAlign w:val="subscript"/>
                <w:lang w:eastAsia="hr-HR"/>
              </w:rPr>
              <w:t>2</w:t>
            </w:r>
            <w:r w:rsidRPr="005808FC">
              <w:rPr>
                <w:b/>
                <w:bCs/>
                <w:sz w:val="20"/>
                <w:szCs w:val="20"/>
                <w:lang w:eastAsia="hr-HR"/>
              </w:rPr>
              <w:t>O</w:t>
            </w:r>
          </w:p>
        </w:tc>
        <w:tc>
          <w:tcPr>
            <w:tcW w:w="1372" w:type="dxa"/>
            <w:tcBorders>
              <w:top w:val="single" w:sz="4" w:space="0" w:color="auto"/>
              <w:bottom w:val="single" w:sz="8" w:space="0" w:color="auto"/>
            </w:tcBorders>
            <w:shd w:val="clear" w:color="auto" w:fill="C6D9F1" w:themeFill="text2" w:themeFillTint="33"/>
            <w:noWrap/>
            <w:vAlign w:val="center"/>
          </w:tcPr>
          <w:p w14:paraId="53389FFC"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CO</w:t>
            </w:r>
            <w:r w:rsidRPr="00291DF5">
              <w:rPr>
                <w:b/>
                <w:bCs/>
                <w:sz w:val="20"/>
                <w:szCs w:val="20"/>
                <w:vertAlign w:val="subscript"/>
                <w:lang w:eastAsia="hr-HR"/>
              </w:rPr>
              <w:t>2</w:t>
            </w:r>
            <w:r w:rsidRPr="005808FC">
              <w:rPr>
                <w:b/>
                <w:bCs/>
                <w:sz w:val="20"/>
                <w:szCs w:val="20"/>
                <w:lang w:eastAsia="hr-HR"/>
              </w:rPr>
              <w:t>-ekv</w:t>
            </w:r>
          </w:p>
        </w:tc>
      </w:tr>
      <w:tr w:rsidR="002907A0" w:rsidRPr="00922031" w14:paraId="0A48CCBB" w14:textId="77777777" w:rsidTr="005808FC">
        <w:trPr>
          <w:trHeight w:val="227"/>
        </w:trPr>
        <w:tc>
          <w:tcPr>
            <w:tcW w:w="1714" w:type="dxa"/>
            <w:tcBorders>
              <w:top w:val="single" w:sz="8" w:space="0" w:color="auto"/>
            </w:tcBorders>
            <w:shd w:val="clear" w:color="auto" w:fill="F2DBDB" w:themeFill="accent2" w:themeFillTint="33"/>
            <w:noWrap/>
            <w:vAlign w:val="bottom"/>
          </w:tcPr>
          <w:p w14:paraId="4634412C"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Motorni benzin</w:t>
            </w:r>
          </w:p>
        </w:tc>
        <w:tc>
          <w:tcPr>
            <w:tcW w:w="1701" w:type="dxa"/>
            <w:tcBorders>
              <w:top w:val="single" w:sz="8" w:space="0" w:color="auto"/>
            </w:tcBorders>
            <w:shd w:val="clear" w:color="auto" w:fill="auto"/>
            <w:noWrap/>
            <w:vAlign w:val="bottom"/>
          </w:tcPr>
          <w:p w14:paraId="5DB50023" w14:textId="77777777" w:rsidR="002907A0" w:rsidRPr="005808FC" w:rsidRDefault="002907A0" w:rsidP="005808FC">
            <w:pPr>
              <w:spacing w:after="0" w:line="240" w:lineRule="auto"/>
              <w:jc w:val="center"/>
              <w:rPr>
                <w:sz w:val="20"/>
                <w:szCs w:val="20"/>
              </w:rPr>
            </w:pPr>
            <w:r w:rsidRPr="003E50D1">
              <w:rPr>
                <w:sz w:val="20"/>
                <w:szCs w:val="20"/>
              </w:rPr>
              <w:t>424,42</w:t>
            </w:r>
          </w:p>
        </w:tc>
        <w:tc>
          <w:tcPr>
            <w:tcW w:w="1276" w:type="dxa"/>
            <w:tcBorders>
              <w:top w:val="single" w:sz="8" w:space="0" w:color="auto"/>
            </w:tcBorders>
            <w:shd w:val="clear" w:color="auto" w:fill="auto"/>
            <w:noWrap/>
            <w:vAlign w:val="bottom"/>
          </w:tcPr>
          <w:p w14:paraId="03D31FAD" w14:textId="77777777" w:rsidR="002907A0" w:rsidRPr="005808FC" w:rsidRDefault="002907A0" w:rsidP="005808FC">
            <w:pPr>
              <w:spacing w:after="0" w:line="240" w:lineRule="auto"/>
              <w:jc w:val="center"/>
              <w:rPr>
                <w:sz w:val="20"/>
                <w:szCs w:val="20"/>
              </w:rPr>
            </w:pPr>
            <w:r w:rsidRPr="003E50D1">
              <w:rPr>
                <w:sz w:val="20"/>
                <w:szCs w:val="20"/>
              </w:rPr>
              <w:t>18,93</w:t>
            </w:r>
          </w:p>
        </w:tc>
        <w:tc>
          <w:tcPr>
            <w:tcW w:w="1134" w:type="dxa"/>
            <w:tcBorders>
              <w:top w:val="single" w:sz="8" w:space="0" w:color="auto"/>
            </w:tcBorders>
            <w:shd w:val="clear" w:color="auto" w:fill="auto"/>
            <w:noWrap/>
            <w:vAlign w:val="bottom"/>
          </w:tcPr>
          <w:p w14:paraId="5572E4F9" w14:textId="77777777" w:rsidR="002907A0" w:rsidRPr="005808FC" w:rsidRDefault="002907A0" w:rsidP="005808FC">
            <w:pPr>
              <w:spacing w:after="0" w:line="240" w:lineRule="auto"/>
              <w:jc w:val="center"/>
              <w:rPr>
                <w:sz w:val="20"/>
                <w:szCs w:val="20"/>
              </w:rPr>
            </w:pPr>
            <w:r w:rsidRPr="003E50D1">
              <w:rPr>
                <w:sz w:val="20"/>
                <w:szCs w:val="20"/>
              </w:rPr>
              <w:t>1298,52</w:t>
            </w:r>
          </w:p>
        </w:tc>
        <w:tc>
          <w:tcPr>
            <w:tcW w:w="992" w:type="dxa"/>
            <w:tcBorders>
              <w:top w:val="single" w:sz="8" w:space="0" w:color="auto"/>
            </w:tcBorders>
            <w:shd w:val="clear" w:color="auto" w:fill="auto"/>
            <w:noWrap/>
            <w:vAlign w:val="bottom"/>
          </w:tcPr>
          <w:p w14:paraId="33C6F5FB" w14:textId="77777777" w:rsidR="002907A0" w:rsidRPr="005808FC" w:rsidRDefault="002907A0" w:rsidP="005808FC">
            <w:pPr>
              <w:spacing w:after="0" w:line="240" w:lineRule="auto"/>
              <w:jc w:val="center"/>
              <w:rPr>
                <w:sz w:val="20"/>
                <w:szCs w:val="20"/>
              </w:rPr>
            </w:pPr>
            <w:r w:rsidRPr="003E50D1">
              <w:rPr>
                <w:sz w:val="20"/>
                <w:szCs w:val="20"/>
              </w:rPr>
              <w:t>0,09</w:t>
            </w:r>
          </w:p>
        </w:tc>
        <w:tc>
          <w:tcPr>
            <w:tcW w:w="1038" w:type="dxa"/>
            <w:tcBorders>
              <w:top w:val="single" w:sz="8" w:space="0" w:color="auto"/>
            </w:tcBorders>
            <w:shd w:val="clear" w:color="auto" w:fill="auto"/>
            <w:noWrap/>
            <w:vAlign w:val="bottom"/>
          </w:tcPr>
          <w:p w14:paraId="72D769A2" w14:textId="77777777" w:rsidR="002907A0" w:rsidRPr="005808FC" w:rsidRDefault="002907A0" w:rsidP="005808FC">
            <w:pPr>
              <w:spacing w:after="0" w:line="240" w:lineRule="auto"/>
              <w:jc w:val="center"/>
              <w:rPr>
                <w:sz w:val="20"/>
                <w:szCs w:val="20"/>
              </w:rPr>
            </w:pPr>
            <w:r w:rsidRPr="003E50D1">
              <w:rPr>
                <w:sz w:val="20"/>
                <w:szCs w:val="20"/>
              </w:rPr>
              <w:t>0,01</w:t>
            </w:r>
          </w:p>
        </w:tc>
        <w:tc>
          <w:tcPr>
            <w:tcW w:w="1372" w:type="dxa"/>
            <w:tcBorders>
              <w:top w:val="single" w:sz="8" w:space="0" w:color="auto"/>
            </w:tcBorders>
            <w:shd w:val="clear" w:color="auto" w:fill="auto"/>
            <w:noWrap/>
            <w:vAlign w:val="bottom"/>
          </w:tcPr>
          <w:p w14:paraId="4CFC68AF" w14:textId="77777777" w:rsidR="002907A0" w:rsidRPr="005808FC" w:rsidRDefault="002907A0" w:rsidP="005808FC">
            <w:pPr>
              <w:spacing w:after="0" w:line="240" w:lineRule="auto"/>
              <w:jc w:val="center"/>
              <w:rPr>
                <w:sz w:val="20"/>
                <w:szCs w:val="20"/>
              </w:rPr>
            </w:pPr>
            <w:r w:rsidRPr="003E50D1">
              <w:rPr>
                <w:sz w:val="20"/>
                <w:szCs w:val="20"/>
              </w:rPr>
              <w:t>1304,03</w:t>
            </w:r>
          </w:p>
        </w:tc>
      </w:tr>
      <w:tr w:rsidR="002907A0" w:rsidRPr="00922031" w14:paraId="55B858B7" w14:textId="77777777" w:rsidTr="005808FC">
        <w:trPr>
          <w:trHeight w:val="227"/>
        </w:trPr>
        <w:tc>
          <w:tcPr>
            <w:tcW w:w="1714" w:type="dxa"/>
            <w:shd w:val="clear" w:color="auto" w:fill="F2DBDB" w:themeFill="accent2" w:themeFillTint="33"/>
            <w:noWrap/>
            <w:vAlign w:val="bottom"/>
          </w:tcPr>
          <w:p w14:paraId="25E2DC88"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Dizel</w:t>
            </w:r>
          </w:p>
        </w:tc>
        <w:tc>
          <w:tcPr>
            <w:tcW w:w="1701" w:type="dxa"/>
            <w:shd w:val="clear" w:color="auto" w:fill="auto"/>
            <w:noWrap/>
            <w:vAlign w:val="bottom"/>
          </w:tcPr>
          <w:p w14:paraId="0B330289" w14:textId="77777777" w:rsidR="002907A0" w:rsidRPr="005808FC" w:rsidRDefault="002907A0" w:rsidP="005808FC">
            <w:pPr>
              <w:spacing w:after="0" w:line="240" w:lineRule="auto"/>
              <w:jc w:val="center"/>
              <w:rPr>
                <w:sz w:val="20"/>
                <w:szCs w:val="20"/>
              </w:rPr>
            </w:pPr>
            <w:r w:rsidRPr="003E50D1">
              <w:rPr>
                <w:sz w:val="20"/>
                <w:szCs w:val="20"/>
              </w:rPr>
              <w:t>4237,49</w:t>
            </w:r>
          </w:p>
        </w:tc>
        <w:tc>
          <w:tcPr>
            <w:tcW w:w="1276" w:type="dxa"/>
            <w:shd w:val="clear" w:color="auto" w:fill="auto"/>
            <w:noWrap/>
            <w:vAlign w:val="bottom"/>
          </w:tcPr>
          <w:p w14:paraId="3EF4ECEE" w14:textId="77777777" w:rsidR="002907A0" w:rsidRPr="005808FC" w:rsidRDefault="002907A0" w:rsidP="005808FC">
            <w:pPr>
              <w:spacing w:after="0" w:line="240" w:lineRule="auto"/>
              <w:jc w:val="center"/>
              <w:rPr>
                <w:sz w:val="20"/>
                <w:szCs w:val="20"/>
              </w:rPr>
            </w:pPr>
            <w:r w:rsidRPr="003E50D1">
              <w:rPr>
                <w:sz w:val="20"/>
                <w:szCs w:val="20"/>
              </w:rPr>
              <w:t>180,94</w:t>
            </w:r>
          </w:p>
        </w:tc>
        <w:tc>
          <w:tcPr>
            <w:tcW w:w="1134" w:type="dxa"/>
            <w:shd w:val="clear" w:color="auto" w:fill="auto"/>
            <w:noWrap/>
            <w:vAlign w:val="bottom"/>
          </w:tcPr>
          <w:p w14:paraId="553231EA" w14:textId="77777777" w:rsidR="002907A0" w:rsidRPr="005808FC" w:rsidRDefault="002907A0" w:rsidP="005808FC">
            <w:pPr>
              <w:spacing w:after="0" w:line="240" w:lineRule="auto"/>
              <w:jc w:val="center"/>
              <w:rPr>
                <w:sz w:val="20"/>
                <w:szCs w:val="20"/>
              </w:rPr>
            </w:pPr>
            <w:r w:rsidRPr="003E50D1">
              <w:rPr>
                <w:sz w:val="20"/>
                <w:szCs w:val="20"/>
              </w:rPr>
              <w:t>13262,97</w:t>
            </w:r>
          </w:p>
        </w:tc>
        <w:tc>
          <w:tcPr>
            <w:tcW w:w="992" w:type="dxa"/>
            <w:shd w:val="clear" w:color="auto" w:fill="auto"/>
            <w:noWrap/>
            <w:vAlign w:val="bottom"/>
          </w:tcPr>
          <w:p w14:paraId="01B1B47B" w14:textId="77777777" w:rsidR="002907A0" w:rsidRPr="005808FC" w:rsidRDefault="002907A0" w:rsidP="005808FC">
            <w:pPr>
              <w:spacing w:after="0" w:line="240" w:lineRule="auto"/>
              <w:jc w:val="center"/>
              <w:rPr>
                <w:sz w:val="20"/>
                <w:szCs w:val="20"/>
              </w:rPr>
            </w:pPr>
            <w:r w:rsidRPr="003E50D1">
              <w:rPr>
                <w:sz w:val="20"/>
                <w:szCs w:val="20"/>
              </w:rPr>
              <w:t>0,90</w:t>
            </w:r>
          </w:p>
        </w:tc>
        <w:tc>
          <w:tcPr>
            <w:tcW w:w="1038" w:type="dxa"/>
            <w:shd w:val="clear" w:color="auto" w:fill="auto"/>
            <w:noWrap/>
            <w:vAlign w:val="bottom"/>
          </w:tcPr>
          <w:p w14:paraId="19657754" w14:textId="77777777" w:rsidR="002907A0" w:rsidRPr="005808FC" w:rsidRDefault="002907A0" w:rsidP="005808FC">
            <w:pPr>
              <w:spacing w:after="0" w:line="240" w:lineRule="auto"/>
              <w:jc w:val="center"/>
              <w:rPr>
                <w:sz w:val="20"/>
                <w:szCs w:val="20"/>
              </w:rPr>
            </w:pPr>
            <w:r w:rsidRPr="003E50D1">
              <w:rPr>
                <w:sz w:val="20"/>
                <w:szCs w:val="20"/>
              </w:rPr>
              <w:t>0,11</w:t>
            </w:r>
          </w:p>
        </w:tc>
        <w:tc>
          <w:tcPr>
            <w:tcW w:w="1372" w:type="dxa"/>
            <w:shd w:val="clear" w:color="auto" w:fill="auto"/>
            <w:noWrap/>
            <w:vAlign w:val="bottom"/>
          </w:tcPr>
          <w:p w14:paraId="649F7E2C" w14:textId="77777777" w:rsidR="002907A0" w:rsidRPr="005808FC" w:rsidRDefault="002907A0" w:rsidP="005808FC">
            <w:pPr>
              <w:spacing w:after="0" w:line="240" w:lineRule="auto"/>
              <w:jc w:val="center"/>
              <w:rPr>
                <w:sz w:val="20"/>
                <w:szCs w:val="20"/>
              </w:rPr>
            </w:pPr>
            <w:r w:rsidRPr="003E50D1">
              <w:rPr>
                <w:sz w:val="20"/>
                <w:szCs w:val="20"/>
              </w:rPr>
              <w:t>13315,62</w:t>
            </w:r>
          </w:p>
        </w:tc>
      </w:tr>
      <w:tr w:rsidR="002907A0" w:rsidRPr="00922031" w14:paraId="094199DB" w14:textId="77777777" w:rsidTr="005808FC">
        <w:trPr>
          <w:trHeight w:val="227"/>
        </w:trPr>
        <w:tc>
          <w:tcPr>
            <w:tcW w:w="1714" w:type="dxa"/>
            <w:shd w:val="clear" w:color="auto" w:fill="F2DBDB" w:themeFill="accent2" w:themeFillTint="33"/>
            <w:noWrap/>
            <w:vAlign w:val="bottom"/>
          </w:tcPr>
          <w:p w14:paraId="1C30528D"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UNP</w:t>
            </w:r>
          </w:p>
        </w:tc>
        <w:tc>
          <w:tcPr>
            <w:tcW w:w="1701" w:type="dxa"/>
            <w:shd w:val="clear" w:color="auto" w:fill="auto"/>
            <w:noWrap/>
            <w:vAlign w:val="bottom"/>
          </w:tcPr>
          <w:p w14:paraId="04DBBE8C" w14:textId="77777777" w:rsidR="002907A0" w:rsidRPr="005808FC" w:rsidRDefault="002907A0" w:rsidP="005808FC">
            <w:pPr>
              <w:spacing w:after="0" w:line="240" w:lineRule="auto"/>
              <w:jc w:val="center"/>
              <w:rPr>
                <w:sz w:val="20"/>
                <w:szCs w:val="20"/>
              </w:rPr>
            </w:pPr>
            <w:r w:rsidRPr="003E50D1">
              <w:rPr>
                <w:sz w:val="20"/>
                <w:szCs w:val="20"/>
              </w:rPr>
              <w:t>2,52</w:t>
            </w:r>
          </w:p>
        </w:tc>
        <w:tc>
          <w:tcPr>
            <w:tcW w:w="1276" w:type="dxa"/>
            <w:shd w:val="clear" w:color="auto" w:fill="auto"/>
            <w:noWrap/>
            <w:vAlign w:val="bottom"/>
          </w:tcPr>
          <w:p w14:paraId="7D29B3BB" w14:textId="77777777" w:rsidR="002907A0" w:rsidRPr="005808FC" w:rsidRDefault="002907A0" w:rsidP="005808FC">
            <w:pPr>
              <w:spacing w:after="0" w:line="240" w:lineRule="auto"/>
              <w:jc w:val="center"/>
              <w:rPr>
                <w:sz w:val="20"/>
                <w:szCs w:val="20"/>
              </w:rPr>
            </w:pPr>
            <w:r w:rsidRPr="003E50D1">
              <w:rPr>
                <w:sz w:val="20"/>
                <w:szCs w:val="20"/>
              </w:rPr>
              <w:t>0,12</w:t>
            </w:r>
          </w:p>
        </w:tc>
        <w:tc>
          <w:tcPr>
            <w:tcW w:w="1134" w:type="dxa"/>
            <w:shd w:val="clear" w:color="auto" w:fill="auto"/>
            <w:noWrap/>
            <w:vAlign w:val="bottom"/>
          </w:tcPr>
          <w:p w14:paraId="43E119F3" w14:textId="77777777" w:rsidR="002907A0" w:rsidRPr="005808FC" w:rsidRDefault="002907A0" w:rsidP="005808FC">
            <w:pPr>
              <w:spacing w:after="0" w:line="240" w:lineRule="auto"/>
              <w:jc w:val="center"/>
              <w:rPr>
                <w:sz w:val="20"/>
                <w:szCs w:val="20"/>
              </w:rPr>
            </w:pPr>
            <w:r w:rsidRPr="003E50D1">
              <w:rPr>
                <w:sz w:val="20"/>
                <w:szCs w:val="20"/>
              </w:rPr>
              <w:t>7,37</w:t>
            </w:r>
          </w:p>
        </w:tc>
        <w:tc>
          <w:tcPr>
            <w:tcW w:w="992" w:type="dxa"/>
            <w:shd w:val="clear" w:color="auto" w:fill="auto"/>
            <w:noWrap/>
            <w:vAlign w:val="bottom"/>
          </w:tcPr>
          <w:p w14:paraId="2DAD536C" w14:textId="77777777" w:rsidR="002907A0" w:rsidRPr="005808FC" w:rsidRDefault="002907A0" w:rsidP="005808FC">
            <w:pPr>
              <w:spacing w:after="0" w:line="240" w:lineRule="auto"/>
              <w:jc w:val="center"/>
              <w:rPr>
                <w:sz w:val="20"/>
                <w:szCs w:val="20"/>
              </w:rPr>
            </w:pPr>
            <w:r w:rsidRPr="003E50D1">
              <w:rPr>
                <w:sz w:val="20"/>
                <w:szCs w:val="20"/>
              </w:rPr>
              <w:t>0,00</w:t>
            </w:r>
          </w:p>
        </w:tc>
        <w:tc>
          <w:tcPr>
            <w:tcW w:w="1038" w:type="dxa"/>
            <w:shd w:val="clear" w:color="auto" w:fill="auto"/>
            <w:noWrap/>
            <w:vAlign w:val="bottom"/>
          </w:tcPr>
          <w:p w14:paraId="6D662F66" w14:textId="77777777" w:rsidR="002907A0" w:rsidRPr="005808FC" w:rsidRDefault="002907A0" w:rsidP="005808FC">
            <w:pPr>
              <w:spacing w:after="0" w:line="240" w:lineRule="auto"/>
              <w:jc w:val="center"/>
              <w:rPr>
                <w:sz w:val="20"/>
                <w:szCs w:val="20"/>
              </w:rPr>
            </w:pPr>
            <w:r w:rsidRPr="003E50D1">
              <w:rPr>
                <w:sz w:val="20"/>
                <w:szCs w:val="20"/>
              </w:rPr>
              <w:t>0,00</w:t>
            </w:r>
          </w:p>
        </w:tc>
        <w:tc>
          <w:tcPr>
            <w:tcW w:w="1372" w:type="dxa"/>
            <w:shd w:val="clear" w:color="auto" w:fill="auto"/>
            <w:noWrap/>
            <w:vAlign w:val="bottom"/>
          </w:tcPr>
          <w:p w14:paraId="04353BBE" w14:textId="77777777" w:rsidR="002907A0" w:rsidRPr="005808FC" w:rsidRDefault="002907A0" w:rsidP="005808FC">
            <w:pPr>
              <w:spacing w:after="0" w:line="240" w:lineRule="auto"/>
              <w:jc w:val="center"/>
              <w:rPr>
                <w:sz w:val="20"/>
                <w:szCs w:val="20"/>
              </w:rPr>
            </w:pPr>
            <w:r w:rsidRPr="003E50D1">
              <w:rPr>
                <w:sz w:val="20"/>
                <w:szCs w:val="20"/>
              </w:rPr>
              <w:t>7,40</w:t>
            </w:r>
          </w:p>
        </w:tc>
      </w:tr>
      <w:tr w:rsidR="002907A0" w:rsidRPr="00922031" w14:paraId="1305D060" w14:textId="77777777" w:rsidTr="005808FC">
        <w:trPr>
          <w:trHeight w:val="227"/>
        </w:trPr>
        <w:tc>
          <w:tcPr>
            <w:tcW w:w="1714" w:type="dxa"/>
            <w:shd w:val="clear" w:color="auto" w:fill="F2DBDB" w:themeFill="accent2" w:themeFillTint="33"/>
            <w:noWrap/>
            <w:vAlign w:val="bottom"/>
          </w:tcPr>
          <w:p w14:paraId="34B81205"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Prirodni plin</w:t>
            </w:r>
          </w:p>
        </w:tc>
        <w:tc>
          <w:tcPr>
            <w:tcW w:w="1701" w:type="dxa"/>
            <w:shd w:val="clear" w:color="auto" w:fill="auto"/>
            <w:noWrap/>
            <w:vAlign w:val="bottom"/>
          </w:tcPr>
          <w:p w14:paraId="14980AC8" w14:textId="77777777" w:rsidR="002907A0" w:rsidRPr="005808FC" w:rsidRDefault="002907A0" w:rsidP="005808FC">
            <w:pPr>
              <w:spacing w:after="0" w:line="240" w:lineRule="auto"/>
              <w:jc w:val="center"/>
              <w:rPr>
                <w:sz w:val="20"/>
                <w:szCs w:val="20"/>
              </w:rPr>
            </w:pPr>
            <w:r w:rsidRPr="003E50D1">
              <w:rPr>
                <w:sz w:val="20"/>
                <w:szCs w:val="20"/>
              </w:rPr>
              <w:t>33,23</w:t>
            </w:r>
          </w:p>
        </w:tc>
        <w:tc>
          <w:tcPr>
            <w:tcW w:w="1276" w:type="dxa"/>
            <w:shd w:val="clear" w:color="auto" w:fill="auto"/>
            <w:noWrap/>
            <w:vAlign w:val="bottom"/>
          </w:tcPr>
          <w:p w14:paraId="27E260A4" w14:textId="77777777" w:rsidR="002907A0" w:rsidRPr="005808FC" w:rsidRDefault="002907A0" w:rsidP="005808FC">
            <w:pPr>
              <w:spacing w:after="0" w:line="240" w:lineRule="auto"/>
              <w:jc w:val="center"/>
              <w:rPr>
                <w:sz w:val="20"/>
                <w:szCs w:val="20"/>
              </w:rPr>
            </w:pPr>
            <w:r w:rsidRPr="003E50D1">
              <w:rPr>
                <w:sz w:val="20"/>
                <w:szCs w:val="20"/>
              </w:rPr>
              <w:t>1,61</w:t>
            </w:r>
          </w:p>
        </w:tc>
        <w:tc>
          <w:tcPr>
            <w:tcW w:w="1134" w:type="dxa"/>
            <w:shd w:val="clear" w:color="auto" w:fill="auto"/>
            <w:noWrap/>
            <w:vAlign w:val="bottom"/>
          </w:tcPr>
          <w:p w14:paraId="32A24015" w14:textId="77777777" w:rsidR="002907A0" w:rsidRPr="005808FC" w:rsidRDefault="002907A0" w:rsidP="005808FC">
            <w:pPr>
              <w:spacing w:after="0" w:line="240" w:lineRule="auto"/>
              <w:jc w:val="center"/>
              <w:rPr>
                <w:sz w:val="20"/>
                <w:szCs w:val="20"/>
              </w:rPr>
            </w:pPr>
            <w:r w:rsidRPr="003E50D1">
              <w:rPr>
                <w:sz w:val="20"/>
                <w:szCs w:val="20"/>
              </w:rPr>
              <w:t>90,07</w:t>
            </w:r>
          </w:p>
        </w:tc>
        <w:tc>
          <w:tcPr>
            <w:tcW w:w="992" w:type="dxa"/>
            <w:shd w:val="clear" w:color="auto" w:fill="auto"/>
            <w:noWrap/>
            <w:vAlign w:val="bottom"/>
          </w:tcPr>
          <w:p w14:paraId="15812A91" w14:textId="77777777" w:rsidR="002907A0" w:rsidRPr="005808FC" w:rsidRDefault="002907A0" w:rsidP="005808FC">
            <w:pPr>
              <w:spacing w:after="0" w:line="240" w:lineRule="auto"/>
              <w:jc w:val="center"/>
              <w:rPr>
                <w:sz w:val="20"/>
                <w:szCs w:val="20"/>
              </w:rPr>
            </w:pPr>
            <w:r w:rsidRPr="003E50D1">
              <w:rPr>
                <w:sz w:val="20"/>
                <w:szCs w:val="20"/>
              </w:rPr>
              <w:t>0,01</w:t>
            </w:r>
          </w:p>
        </w:tc>
        <w:tc>
          <w:tcPr>
            <w:tcW w:w="1038" w:type="dxa"/>
            <w:shd w:val="clear" w:color="auto" w:fill="auto"/>
            <w:noWrap/>
            <w:vAlign w:val="bottom"/>
          </w:tcPr>
          <w:p w14:paraId="174AB45A" w14:textId="77777777" w:rsidR="002907A0" w:rsidRPr="005808FC" w:rsidRDefault="002907A0" w:rsidP="005808FC">
            <w:pPr>
              <w:spacing w:after="0" w:line="240" w:lineRule="auto"/>
              <w:jc w:val="center"/>
              <w:rPr>
                <w:sz w:val="20"/>
                <w:szCs w:val="20"/>
              </w:rPr>
            </w:pPr>
            <w:r w:rsidRPr="003E50D1">
              <w:rPr>
                <w:sz w:val="20"/>
                <w:szCs w:val="20"/>
              </w:rPr>
              <w:t>0,00</w:t>
            </w:r>
          </w:p>
        </w:tc>
        <w:tc>
          <w:tcPr>
            <w:tcW w:w="1372" w:type="dxa"/>
            <w:shd w:val="clear" w:color="auto" w:fill="auto"/>
            <w:noWrap/>
            <w:vAlign w:val="bottom"/>
          </w:tcPr>
          <w:p w14:paraId="27F59299" w14:textId="77777777" w:rsidR="002907A0" w:rsidRPr="005808FC" w:rsidRDefault="002907A0" w:rsidP="005808FC">
            <w:pPr>
              <w:spacing w:after="0" w:line="240" w:lineRule="auto"/>
              <w:jc w:val="center"/>
              <w:rPr>
                <w:sz w:val="20"/>
                <w:szCs w:val="20"/>
              </w:rPr>
            </w:pPr>
            <w:r w:rsidRPr="003E50D1">
              <w:rPr>
                <w:sz w:val="20"/>
                <w:szCs w:val="20"/>
              </w:rPr>
              <w:t>90,29</w:t>
            </w:r>
          </w:p>
        </w:tc>
      </w:tr>
      <w:tr w:rsidR="002907A0" w:rsidRPr="00922031" w14:paraId="5ADE082D" w14:textId="77777777" w:rsidTr="005808FC">
        <w:trPr>
          <w:trHeight w:val="227"/>
        </w:trPr>
        <w:tc>
          <w:tcPr>
            <w:tcW w:w="1714" w:type="dxa"/>
            <w:shd w:val="clear" w:color="auto" w:fill="F2DBDB" w:themeFill="accent2" w:themeFillTint="33"/>
            <w:noWrap/>
            <w:vAlign w:val="bottom"/>
          </w:tcPr>
          <w:p w14:paraId="6117AFB7"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UKUPNO</w:t>
            </w:r>
          </w:p>
        </w:tc>
        <w:tc>
          <w:tcPr>
            <w:tcW w:w="1701" w:type="dxa"/>
            <w:shd w:val="clear" w:color="auto" w:fill="auto"/>
            <w:noWrap/>
            <w:vAlign w:val="bottom"/>
          </w:tcPr>
          <w:p w14:paraId="64BCEC33" w14:textId="77777777" w:rsidR="002907A0" w:rsidRPr="005808FC" w:rsidRDefault="002907A0" w:rsidP="005808FC">
            <w:pPr>
              <w:spacing w:after="0" w:line="240" w:lineRule="auto"/>
              <w:jc w:val="center"/>
              <w:rPr>
                <w:b/>
                <w:bCs/>
                <w:sz w:val="20"/>
                <w:szCs w:val="20"/>
              </w:rPr>
            </w:pPr>
            <w:r w:rsidRPr="003E50D1">
              <w:rPr>
                <w:b/>
                <w:bCs/>
                <w:sz w:val="20"/>
                <w:szCs w:val="20"/>
              </w:rPr>
              <w:t> </w:t>
            </w:r>
          </w:p>
        </w:tc>
        <w:tc>
          <w:tcPr>
            <w:tcW w:w="1276" w:type="dxa"/>
            <w:shd w:val="clear" w:color="auto" w:fill="auto"/>
            <w:noWrap/>
            <w:vAlign w:val="bottom"/>
          </w:tcPr>
          <w:p w14:paraId="3EBE4FDF" w14:textId="77777777" w:rsidR="002907A0" w:rsidRPr="005808FC" w:rsidRDefault="002907A0" w:rsidP="005808FC">
            <w:pPr>
              <w:spacing w:after="0" w:line="240" w:lineRule="auto"/>
              <w:jc w:val="center"/>
              <w:rPr>
                <w:b/>
                <w:bCs/>
                <w:sz w:val="20"/>
                <w:szCs w:val="20"/>
              </w:rPr>
            </w:pPr>
            <w:r w:rsidRPr="003E50D1">
              <w:rPr>
                <w:b/>
                <w:bCs/>
                <w:sz w:val="20"/>
                <w:szCs w:val="20"/>
              </w:rPr>
              <w:t>201,60</w:t>
            </w:r>
          </w:p>
        </w:tc>
        <w:tc>
          <w:tcPr>
            <w:tcW w:w="1134" w:type="dxa"/>
            <w:shd w:val="clear" w:color="auto" w:fill="auto"/>
            <w:noWrap/>
            <w:vAlign w:val="bottom"/>
          </w:tcPr>
          <w:p w14:paraId="260AF4B5" w14:textId="77777777" w:rsidR="002907A0" w:rsidRPr="005808FC" w:rsidRDefault="002907A0" w:rsidP="005808FC">
            <w:pPr>
              <w:spacing w:after="0" w:line="240" w:lineRule="auto"/>
              <w:jc w:val="center"/>
              <w:rPr>
                <w:b/>
                <w:bCs/>
                <w:sz w:val="20"/>
                <w:szCs w:val="20"/>
              </w:rPr>
            </w:pPr>
            <w:r w:rsidRPr="003E50D1">
              <w:rPr>
                <w:b/>
                <w:bCs/>
                <w:sz w:val="20"/>
                <w:szCs w:val="20"/>
              </w:rPr>
              <w:t>14658,93</w:t>
            </w:r>
          </w:p>
        </w:tc>
        <w:tc>
          <w:tcPr>
            <w:tcW w:w="992" w:type="dxa"/>
            <w:shd w:val="clear" w:color="auto" w:fill="auto"/>
            <w:noWrap/>
            <w:vAlign w:val="bottom"/>
          </w:tcPr>
          <w:p w14:paraId="0D5A7D4D" w14:textId="77777777" w:rsidR="002907A0" w:rsidRPr="005808FC" w:rsidRDefault="002907A0" w:rsidP="005808FC">
            <w:pPr>
              <w:spacing w:after="0" w:line="240" w:lineRule="auto"/>
              <w:jc w:val="center"/>
              <w:rPr>
                <w:b/>
                <w:bCs/>
                <w:sz w:val="20"/>
                <w:szCs w:val="20"/>
              </w:rPr>
            </w:pPr>
            <w:r w:rsidRPr="003E50D1">
              <w:rPr>
                <w:b/>
                <w:bCs/>
                <w:sz w:val="20"/>
                <w:szCs w:val="20"/>
              </w:rPr>
              <w:t>1,01</w:t>
            </w:r>
          </w:p>
        </w:tc>
        <w:tc>
          <w:tcPr>
            <w:tcW w:w="1038" w:type="dxa"/>
            <w:shd w:val="clear" w:color="auto" w:fill="auto"/>
            <w:noWrap/>
            <w:vAlign w:val="bottom"/>
          </w:tcPr>
          <w:p w14:paraId="6385B9A1" w14:textId="77777777" w:rsidR="002907A0" w:rsidRPr="005808FC" w:rsidRDefault="002907A0" w:rsidP="005808FC">
            <w:pPr>
              <w:spacing w:after="0" w:line="240" w:lineRule="auto"/>
              <w:jc w:val="center"/>
              <w:rPr>
                <w:b/>
                <w:bCs/>
                <w:sz w:val="20"/>
                <w:szCs w:val="20"/>
              </w:rPr>
            </w:pPr>
            <w:r w:rsidRPr="003E50D1">
              <w:rPr>
                <w:b/>
                <w:bCs/>
                <w:sz w:val="20"/>
                <w:szCs w:val="20"/>
              </w:rPr>
              <w:t>0,12</w:t>
            </w:r>
          </w:p>
        </w:tc>
        <w:tc>
          <w:tcPr>
            <w:tcW w:w="1372" w:type="dxa"/>
            <w:shd w:val="clear" w:color="auto" w:fill="auto"/>
            <w:noWrap/>
            <w:vAlign w:val="bottom"/>
          </w:tcPr>
          <w:p w14:paraId="1C2F3A58" w14:textId="77777777" w:rsidR="002907A0" w:rsidRPr="005808FC" w:rsidRDefault="002907A0" w:rsidP="005808FC">
            <w:pPr>
              <w:spacing w:after="0" w:line="240" w:lineRule="auto"/>
              <w:jc w:val="center"/>
              <w:rPr>
                <w:b/>
                <w:bCs/>
                <w:sz w:val="20"/>
                <w:szCs w:val="20"/>
              </w:rPr>
            </w:pPr>
            <w:r w:rsidRPr="003E50D1">
              <w:rPr>
                <w:b/>
                <w:bCs/>
                <w:sz w:val="20"/>
                <w:szCs w:val="20"/>
              </w:rPr>
              <w:t>14717,35</w:t>
            </w:r>
          </w:p>
        </w:tc>
      </w:tr>
    </w:tbl>
    <w:p w14:paraId="12EC87C2" w14:textId="77777777" w:rsidR="002907A0" w:rsidRPr="00922031" w:rsidRDefault="002907A0" w:rsidP="002907A0">
      <w:pPr>
        <w:spacing w:after="0" w:line="240" w:lineRule="auto"/>
        <w:rPr>
          <w:rFonts w:cstheme="minorHAnsi"/>
        </w:rPr>
      </w:pPr>
    </w:p>
    <w:p w14:paraId="1720D60D" w14:textId="0ACA2E61" w:rsidR="002907A0" w:rsidRPr="005808FC" w:rsidRDefault="0082211F">
      <w:pPr>
        <w:pStyle w:val="Caption"/>
        <w:keepNext/>
        <w:rPr>
          <w:rFonts w:asciiTheme="minorHAnsi" w:hAnsiTheme="minorHAnsi" w:cstheme="minorBidi"/>
          <w:lang w:val="hr-HR"/>
        </w:rPr>
      </w:pPr>
      <w:bookmarkStart w:id="56" w:name="_Toc251924019"/>
      <w:bookmarkStart w:id="57" w:name="_Toc4155994"/>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4</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4</w:t>
      </w:r>
      <w:r w:rsidR="0019556A">
        <w:fldChar w:fldCharType="end"/>
      </w:r>
      <w:r w:rsidRPr="005808FC">
        <w:rPr>
          <w:lang w:val="hr-HR"/>
        </w:rPr>
        <w:t xml:space="preserve"> -</w:t>
      </w:r>
      <w:r w:rsidR="002907A0" w:rsidRPr="005808FC">
        <w:rPr>
          <w:rFonts w:asciiTheme="minorHAnsi" w:hAnsiTheme="minorHAnsi" w:cstheme="minorBidi"/>
          <w:lang w:val="hr-HR"/>
        </w:rPr>
        <w:t xml:space="preserve"> Prikaz ukupno potrošene energije</w:t>
      </w:r>
      <w:r w:rsidR="000509A0">
        <w:rPr>
          <w:rFonts w:asciiTheme="minorHAnsi" w:hAnsiTheme="minorHAnsi" w:cstheme="minorBidi"/>
          <w:lang w:val="hr-HR"/>
        </w:rPr>
        <w:t xml:space="preserve"> i </w:t>
      </w:r>
      <w:r w:rsidR="002907A0" w:rsidRPr="005808FC">
        <w:rPr>
          <w:rFonts w:asciiTheme="minorHAnsi" w:hAnsiTheme="minorHAnsi" w:cstheme="minorBidi"/>
          <w:lang w:val="hr-HR"/>
        </w:rPr>
        <w:t>pridruženih emisija te ekvivalenta emisija CO</w:t>
      </w:r>
      <w:r w:rsidR="002907A0" w:rsidRPr="005808FC">
        <w:rPr>
          <w:rFonts w:asciiTheme="minorHAnsi" w:hAnsiTheme="minorHAnsi" w:cstheme="minorBidi"/>
          <w:vertAlign w:val="subscript"/>
          <w:lang w:val="hr-HR"/>
        </w:rPr>
        <w:t>2</w:t>
      </w:r>
      <w:r w:rsidR="00B25B9E" w:rsidRPr="005808FC">
        <w:rPr>
          <w:rFonts w:asciiTheme="minorHAnsi" w:hAnsiTheme="minorHAnsi" w:cstheme="minorBidi"/>
          <w:vertAlign w:val="subscript"/>
          <w:lang w:val="hr-HR"/>
        </w:rPr>
        <w:t xml:space="preserve"> </w:t>
      </w:r>
      <w:r w:rsidR="002907A0" w:rsidRPr="005808FC">
        <w:rPr>
          <w:rFonts w:asciiTheme="minorHAnsi" w:hAnsiTheme="minorHAnsi" w:cstheme="minorBidi"/>
          <w:lang w:val="hr-HR"/>
        </w:rPr>
        <w:t>za vozila u vlasništvu Grada Zagreba.</w:t>
      </w:r>
      <w:bookmarkEnd w:id="56"/>
      <w:bookmarkEnd w:id="57"/>
    </w:p>
    <w:tbl>
      <w:tblPr>
        <w:tblW w:w="9219"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9"/>
        <w:gridCol w:w="2126"/>
        <w:gridCol w:w="1701"/>
        <w:gridCol w:w="1843"/>
      </w:tblGrid>
      <w:tr w:rsidR="002907A0" w:rsidRPr="00922031" w14:paraId="15325C9C" w14:textId="77777777" w:rsidTr="005808FC">
        <w:trPr>
          <w:trHeight w:val="227"/>
        </w:trPr>
        <w:tc>
          <w:tcPr>
            <w:tcW w:w="3549" w:type="dxa"/>
            <w:shd w:val="clear" w:color="auto" w:fill="C6D9F1" w:themeFill="text2" w:themeFillTint="33"/>
            <w:noWrap/>
            <w:vAlign w:val="center"/>
            <w:hideMark/>
          </w:tcPr>
          <w:p w14:paraId="61C06984"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POTKATEGORIJA</w:t>
            </w:r>
          </w:p>
        </w:tc>
        <w:tc>
          <w:tcPr>
            <w:tcW w:w="2126" w:type="dxa"/>
            <w:shd w:val="clear" w:color="auto" w:fill="C6D9F1" w:themeFill="text2" w:themeFillTint="33"/>
            <w:vAlign w:val="center"/>
            <w:hideMark/>
          </w:tcPr>
          <w:p w14:paraId="2D9CE105"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Potrošena energija, MWh</w:t>
            </w:r>
          </w:p>
        </w:tc>
        <w:tc>
          <w:tcPr>
            <w:tcW w:w="1701" w:type="dxa"/>
            <w:shd w:val="clear" w:color="auto" w:fill="C6D9F1" w:themeFill="text2" w:themeFillTint="33"/>
            <w:vAlign w:val="center"/>
            <w:hideMark/>
          </w:tcPr>
          <w:p w14:paraId="76713E27"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 xml:space="preserve">2 </w:t>
            </w:r>
            <w:r w:rsidRPr="005808FC">
              <w:rPr>
                <w:rFonts w:eastAsia="Times New Roman"/>
                <w:b/>
                <w:bCs/>
                <w:sz w:val="20"/>
                <w:szCs w:val="20"/>
                <w:lang w:eastAsia="hr-HR"/>
              </w:rPr>
              <w:t>t</w:t>
            </w:r>
          </w:p>
        </w:tc>
        <w:tc>
          <w:tcPr>
            <w:tcW w:w="1843" w:type="dxa"/>
            <w:shd w:val="clear" w:color="auto" w:fill="C6D9F1" w:themeFill="text2" w:themeFillTint="33"/>
            <w:vAlign w:val="center"/>
            <w:hideMark/>
          </w:tcPr>
          <w:p w14:paraId="716A46FD"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2</w:t>
            </w:r>
            <w:r w:rsidRPr="005808FC">
              <w:rPr>
                <w:rFonts w:eastAsia="Times New Roman"/>
                <w:b/>
                <w:bCs/>
                <w:sz w:val="20"/>
                <w:szCs w:val="20"/>
                <w:lang w:eastAsia="hr-HR"/>
              </w:rPr>
              <w:t>-ekv, t</w:t>
            </w:r>
          </w:p>
        </w:tc>
      </w:tr>
      <w:tr w:rsidR="002907A0" w:rsidRPr="00922031" w14:paraId="34FB599C" w14:textId="77777777" w:rsidTr="005808FC">
        <w:trPr>
          <w:trHeight w:val="227"/>
        </w:trPr>
        <w:tc>
          <w:tcPr>
            <w:tcW w:w="3549" w:type="dxa"/>
            <w:shd w:val="clear" w:color="auto" w:fill="F2DBDB" w:themeFill="accent2" w:themeFillTint="33"/>
            <w:noWrap/>
            <w:vAlign w:val="bottom"/>
            <w:hideMark/>
          </w:tcPr>
          <w:p w14:paraId="48179A86"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 xml:space="preserve">Vozila u vlasništvu Grada </w:t>
            </w:r>
            <w:r w:rsidRPr="00291DF5">
              <w:rPr>
                <w:rFonts w:eastAsia="Times New Roman"/>
                <w:b/>
                <w:bCs/>
                <w:sz w:val="20"/>
                <w:szCs w:val="20"/>
                <w:lang w:eastAsia="hr-HR"/>
              </w:rPr>
              <w:t>Zagreba</w:t>
            </w:r>
          </w:p>
        </w:tc>
        <w:tc>
          <w:tcPr>
            <w:tcW w:w="2126" w:type="dxa"/>
            <w:shd w:val="clear" w:color="auto" w:fill="auto"/>
            <w:noWrap/>
            <w:vAlign w:val="bottom"/>
            <w:hideMark/>
          </w:tcPr>
          <w:p w14:paraId="4C8FD5F4"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55 877,9</w:t>
            </w:r>
          </w:p>
        </w:tc>
        <w:tc>
          <w:tcPr>
            <w:tcW w:w="1701" w:type="dxa"/>
            <w:shd w:val="clear" w:color="auto" w:fill="auto"/>
            <w:noWrap/>
            <w:vAlign w:val="bottom"/>
            <w:hideMark/>
          </w:tcPr>
          <w:p w14:paraId="450FD239"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14 658,9</w:t>
            </w:r>
          </w:p>
        </w:tc>
        <w:tc>
          <w:tcPr>
            <w:tcW w:w="1843" w:type="dxa"/>
            <w:shd w:val="clear" w:color="auto" w:fill="auto"/>
            <w:noWrap/>
            <w:vAlign w:val="bottom"/>
            <w:hideMark/>
          </w:tcPr>
          <w:p w14:paraId="0B00B3B8"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14 717,3</w:t>
            </w:r>
          </w:p>
        </w:tc>
      </w:tr>
    </w:tbl>
    <w:p w14:paraId="29A97F41" w14:textId="77777777" w:rsidR="002907A0" w:rsidRPr="00922031" w:rsidRDefault="002907A0" w:rsidP="002907A0">
      <w:pPr>
        <w:spacing w:after="0" w:line="240" w:lineRule="auto"/>
        <w:rPr>
          <w:rFonts w:cstheme="minorHAnsi"/>
        </w:rPr>
      </w:pPr>
    </w:p>
    <w:p w14:paraId="6683A253" w14:textId="7DD4731F" w:rsidR="002907A0" w:rsidRPr="00922031" w:rsidRDefault="002907A0" w:rsidP="005808FC">
      <w:pPr>
        <w:spacing w:after="0"/>
      </w:pPr>
      <w:r w:rsidRPr="003E50D1">
        <w:t>Udio emisija CO</w:t>
      </w:r>
      <w:r w:rsidRPr="00291DF5">
        <w:rPr>
          <w:vertAlign w:val="subscript"/>
        </w:rPr>
        <w:t>2</w:t>
      </w:r>
      <w:r w:rsidRPr="005808FC">
        <w:t xml:space="preserve"> vozila u vlasništvu Grada Zagreba u ukupnoj emisiji CO</w:t>
      </w:r>
      <w:r w:rsidRPr="005808FC">
        <w:rPr>
          <w:vertAlign w:val="subscript"/>
        </w:rPr>
        <w:t>2</w:t>
      </w:r>
      <w:r w:rsidRPr="005808FC">
        <w:t xml:space="preserve"> iz sektora prometa Grada</w:t>
      </w:r>
      <w:r w:rsidR="00B25B9E" w:rsidRPr="005808FC">
        <w:t xml:space="preserve"> </w:t>
      </w:r>
      <w:r w:rsidRPr="005808FC">
        <w:t>iznosi 2,8%.</w:t>
      </w:r>
    </w:p>
    <w:p w14:paraId="62F72F74" w14:textId="77777777" w:rsidR="002907A0" w:rsidRPr="00922031" w:rsidRDefault="002907A0" w:rsidP="001D779A">
      <w:pPr>
        <w:spacing w:after="0"/>
        <w:rPr>
          <w:rFonts w:cstheme="minorHAnsi"/>
        </w:rPr>
      </w:pPr>
    </w:p>
    <w:p w14:paraId="3FE46529" w14:textId="347F19CC" w:rsidR="002907A0" w:rsidRPr="00922031" w:rsidRDefault="002907A0" w:rsidP="005808FC">
      <w:pPr>
        <w:spacing w:after="0"/>
      </w:pPr>
      <w:r w:rsidRPr="003E50D1">
        <w:t>Detaljni opis korištene metodologije, potrošnje</w:t>
      </w:r>
      <w:r w:rsidR="000509A0">
        <w:t xml:space="preserve"> i </w:t>
      </w:r>
      <w:r w:rsidRPr="003E50D1">
        <w:t>vrste goriva, te korišteni emisijski faktori</w:t>
      </w:r>
      <w:r w:rsidR="000509A0">
        <w:t xml:space="preserve"> i </w:t>
      </w:r>
      <w:r w:rsidRPr="003E50D1">
        <w:t xml:space="preserve">ogrjevne vrijednosti dani su u </w:t>
      </w:r>
      <w:r w:rsidR="001D03F0" w:rsidRPr="005808FC">
        <w:rPr>
          <w:i/>
          <w:iCs/>
        </w:rPr>
        <w:t>Prilogu 7</w:t>
      </w:r>
      <w:r w:rsidR="002E5F19" w:rsidRPr="003E50D1">
        <w:t xml:space="preserve"> -</w:t>
      </w:r>
      <w:r w:rsidR="002E5F19" w:rsidRPr="005808FC">
        <w:rPr>
          <w:i/>
          <w:iCs/>
        </w:rPr>
        <w:t xml:space="preserve"> </w:t>
      </w:r>
      <w:r w:rsidR="00982332" w:rsidRPr="005808FC">
        <w:rPr>
          <w:i/>
          <w:iCs/>
        </w:rPr>
        <w:t>Osnovne odrednice</w:t>
      </w:r>
      <w:r w:rsidR="000509A0">
        <w:rPr>
          <w:i/>
          <w:iCs/>
        </w:rPr>
        <w:t xml:space="preserve"> i </w:t>
      </w:r>
      <w:r w:rsidR="00982332" w:rsidRPr="005808FC">
        <w:rPr>
          <w:i/>
          <w:iCs/>
        </w:rPr>
        <w:t>podloge za praćenje emisija CO</w:t>
      </w:r>
      <w:r w:rsidR="00982332" w:rsidRPr="005808FC">
        <w:rPr>
          <w:i/>
          <w:iCs/>
          <w:vertAlign w:val="subscript"/>
        </w:rPr>
        <w:t>2</w:t>
      </w:r>
      <w:r w:rsidR="00982332" w:rsidRPr="005808FC">
        <w:rPr>
          <w:i/>
          <w:iCs/>
        </w:rPr>
        <w:t xml:space="preserve"> za izradu SE</w:t>
      </w:r>
      <w:r w:rsidR="00693B4B">
        <w:rPr>
          <w:i/>
          <w:iCs/>
        </w:rPr>
        <w:t>C</w:t>
      </w:r>
      <w:r w:rsidR="00982332" w:rsidRPr="005808FC">
        <w:rPr>
          <w:i/>
          <w:iCs/>
        </w:rPr>
        <w:t>AP-a Grada Zagreba</w:t>
      </w:r>
      <w:r w:rsidRPr="003E50D1">
        <w:t>.</w:t>
      </w:r>
    </w:p>
    <w:p w14:paraId="38099E93" w14:textId="77777777" w:rsidR="002907A0" w:rsidRPr="00922031" w:rsidRDefault="002907A0" w:rsidP="002907A0">
      <w:pPr>
        <w:spacing w:after="0" w:line="240" w:lineRule="auto"/>
        <w:rPr>
          <w:rFonts w:cstheme="minorHAnsi"/>
        </w:rPr>
      </w:pPr>
    </w:p>
    <w:p w14:paraId="52B08D77" w14:textId="77777777" w:rsidR="001D03F0" w:rsidRPr="00922031" w:rsidRDefault="001D03F0">
      <w:pPr>
        <w:rPr>
          <w:rFonts w:eastAsiaTheme="majorEastAsia" w:cstheme="minorHAnsi"/>
          <w:b/>
          <w:bCs/>
          <w:sz w:val="26"/>
        </w:rPr>
      </w:pPr>
      <w:bookmarkStart w:id="58" w:name="_Toc251920769"/>
      <w:r w:rsidRPr="00922031">
        <w:rPr>
          <w:rFonts w:cstheme="minorHAnsi"/>
        </w:rPr>
        <w:br w:type="page"/>
      </w:r>
    </w:p>
    <w:p w14:paraId="64154E95" w14:textId="608B14F9" w:rsidR="002907A0" w:rsidRPr="007053EB" w:rsidRDefault="002907A0" w:rsidP="007053EB">
      <w:pPr>
        <w:pStyle w:val="Heading3"/>
      </w:pPr>
      <w:bookmarkStart w:id="59" w:name="_Toc4156078"/>
      <w:r w:rsidRPr="007053EB">
        <w:lastRenderedPageBreak/>
        <w:t>Emisije CO</w:t>
      </w:r>
      <w:r w:rsidRPr="005808FC">
        <w:rPr>
          <w:vertAlign w:val="subscript"/>
        </w:rPr>
        <w:t>2</w:t>
      </w:r>
      <w:r w:rsidRPr="007053EB">
        <w:t xml:space="preserve"> javnog prijevoza Grada Zagreba</w:t>
      </w:r>
      <w:bookmarkEnd w:id="58"/>
      <w:bookmarkEnd w:id="59"/>
    </w:p>
    <w:p w14:paraId="20749A86" w14:textId="4C1AB166"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Podsektor javnog prijevoza Grada Zagreba obuhvaća autobusni prijevoz</w:t>
      </w:r>
      <w:r w:rsidR="000509A0">
        <w:rPr>
          <w:rFonts w:asciiTheme="minorHAnsi" w:hAnsiTheme="minorHAnsi" w:cstheme="minorBidi"/>
        </w:rPr>
        <w:t xml:space="preserve"> i </w:t>
      </w:r>
      <w:r w:rsidRPr="003E50D1">
        <w:rPr>
          <w:rFonts w:asciiTheme="minorHAnsi" w:hAnsiTheme="minorHAnsi" w:cstheme="minorBidi"/>
        </w:rPr>
        <w:t>vozila na električni pogon (tramvaji, žičara</w:t>
      </w:r>
      <w:r w:rsidR="000509A0">
        <w:rPr>
          <w:rFonts w:asciiTheme="minorHAnsi" w:hAnsiTheme="minorHAnsi" w:cstheme="minorBidi"/>
        </w:rPr>
        <w:t xml:space="preserve"> i </w:t>
      </w:r>
      <w:r w:rsidRPr="003E50D1">
        <w:rPr>
          <w:rFonts w:asciiTheme="minorHAnsi" w:hAnsiTheme="minorHAnsi" w:cstheme="minorBidi"/>
        </w:rPr>
        <w:t>uspinjača). Prema podacima Zagrebačkog električnog tramvaja (ZET-a), autobusni prijevoz u 2008. godini čin</w:t>
      </w:r>
      <w:r w:rsidRPr="00291DF5">
        <w:rPr>
          <w:rFonts w:asciiTheme="minorHAnsi" w:hAnsiTheme="minorHAnsi" w:cstheme="minorBidi"/>
        </w:rPr>
        <w:t>i 323 autobusa koji kao gorivo kori</w:t>
      </w:r>
      <w:r w:rsidRPr="005808FC">
        <w:rPr>
          <w:rFonts w:asciiTheme="minorHAnsi" w:hAnsiTheme="minorHAnsi" w:cstheme="minorBidi"/>
        </w:rPr>
        <w:t>ste dizel</w:t>
      </w:r>
      <w:r w:rsidR="000509A0">
        <w:rPr>
          <w:rFonts w:asciiTheme="minorHAnsi" w:hAnsiTheme="minorHAnsi" w:cstheme="minorBidi"/>
        </w:rPr>
        <w:t xml:space="preserve"> i </w:t>
      </w:r>
      <w:r w:rsidRPr="00291DF5">
        <w:rPr>
          <w:rFonts w:asciiTheme="minorHAnsi" w:hAnsiTheme="minorHAnsi" w:cstheme="minorBidi"/>
        </w:rPr>
        <w:t>biodizel. U 2008. godini potrošnja dizela je iznosila 10 298,2 t, a biodizela 265,82 t, što čini 2,2% ukupne potrošnje goriva gradskog autobusnog prijevoz.</w:t>
      </w:r>
      <w:r w:rsidR="00B25B9E" w:rsidRPr="005808FC">
        <w:rPr>
          <w:rFonts w:asciiTheme="minorHAnsi" w:hAnsiTheme="minorHAnsi" w:cstheme="minorBidi"/>
        </w:rPr>
        <w:t xml:space="preserve"> </w:t>
      </w:r>
    </w:p>
    <w:p w14:paraId="3458CBD7" w14:textId="77777777" w:rsidR="002907A0" w:rsidRPr="00922031" w:rsidRDefault="002907A0" w:rsidP="001D779A">
      <w:pPr>
        <w:pStyle w:val="NoSpacing"/>
        <w:spacing w:line="276" w:lineRule="auto"/>
        <w:rPr>
          <w:rFonts w:asciiTheme="minorHAnsi" w:hAnsiTheme="minorHAnsi" w:cstheme="minorHAnsi"/>
        </w:rPr>
      </w:pPr>
    </w:p>
    <w:p w14:paraId="4D90C3AF" w14:textId="37147823" w:rsidR="002907A0" w:rsidRPr="005808FC" w:rsidRDefault="002907A0" w:rsidP="005808FC">
      <w:pPr>
        <w:pStyle w:val="NoSpacing"/>
        <w:spacing w:line="276" w:lineRule="auto"/>
        <w:rPr>
          <w:rFonts w:asciiTheme="minorHAnsi" w:hAnsiTheme="minorHAnsi" w:cstheme="minorBidi"/>
        </w:rPr>
      </w:pPr>
      <w:bookmarkStart w:id="60" w:name="_Toc248427228"/>
      <w:r w:rsidRPr="003E50D1">
        <w:rPr>
          <w:rFonts w:asciiTheme="minorHAnsi" w:hAnsiTheme="minorHAnsi" w:cstheme="minorBidi"/>
        </w:rPr>
        <w:t>Potrošnje goriva</w:t>
      </w:r>
      <w:r w:rsidR="000509A0">
        <w:rPr>
          <w:rFonts w:asciiTheme="minorHAnsi" w:hAnsiTheme="minorHAnsi" w:cstheme="minorBidi"/>
        </w:rPr>
        <w:t xml:space="preserve"> i </w:t>
      </w:r>
      <w:r w:rsidRPr="003E50D1">
        <w:rPr>
          <w:rFonts w:asciiTheme="minorHAnsi" w:hAnsiTheme="minorHAnsi" w:cstheme="minorBidi"/>
        </w:rPr>
        <w:t>e</w:t>
      </w:r>
      <w:r w:rsidRPr="00291DF5">
        <w:rPr>
          <w:rFonts w:asciiTheme="minorHAnsi" w:hAnsiTheme="minorHAnsi" w:cstheme="minorBidi"/>
          <w:lang w:val="pl-PL"/>
        </w:rPr>
        <w:t>misije</w:t>
      </w:r>
      <w:r w:rsidRPr="005808FC">
        <w:rPr>
          <w:rFonts w:asciiTheme="minorHAnsi" w:hAnsiTheme="minorHAnsi" w:cstheme="minorBidi"/>
        </w:rPr>
        <w:t xml:space="preserve"> </w:t>
      </w:r>
      <w:r w:rsidRPr="005808FC">
        <w:rPr>
          <w:rFonts w:asciiTheme="minorHAnsi" w:hAnsiTheme="minorHAnsi" w:cstheme="minorBidi"/>
          <w:lang w:val="pl-PL"/>
        </w:rPr>
        <w:t>stakleni</w:t>
      </w:r>
      <w:r w:rsidRPr="005808FC">
        <w:rPr>
          <w:rFonts w:asciiTheme="minorHAnsi" w:hAnsiTheme="minorHAnsi" w:cstheme="minorBidi"/>
        </w:rPr>
        <w:t>č</w:t>
      </w:r>
      <w:r w:rsidRPr="005808FC">
        <w:rPr>
          <w:rFonts w:asciiTheme="minorHAnsi" w:hAnsiTheme="minorHAnsi" w:cstheme="minorBidi"/>
          <w:lang w:val="pl-PL"/>
        </w:rPr>
        <w:t>kih</w:t>
      </w:r>
      <w:r w:rsidRPr="005808FC">
        <w:rPr>
          <w:rFonts w:asciiTheme="minorHAnsi" w:hAnsiTheme="minorHAnsi" w:cstheme="minorBidi"/>
        </w:rPr>
        <w:t xml:space="preserve"> </w:t>
      </w:r>
      <w:r w:rsidRPr="005808FC">
        <w:rPr>
          <w:rFonts w:asciiTheme="minorHAnsi" w:hAnsiTheme="minorHAnsi" w:cstheme="minorBidi"/>
          <w:lang w:val="pl-PL"/>
        </w:rPr>
        <w:t>plinova</w:t>
      </w:r>
      <w:r w:rsidRPr="005808FC">
        <w:rPr>
          <w:rFonts w:asciiTheme="minorHAnsi" w:hAnsiTheme="minorHAnsi" w:cstheme="minorBidi"/>
        </w:rPr>
        <w:t xml:space="preserve"> </w:t>
      </w:r>
      <w:r w:rsidRPr="005808FC">
        <w:rPr>
          <w:rFonts w:asciiTheme="minorHAnsi" w:hAnsiTheme="minorHAnsi" w:cstheme="minorBidi"/>
          <w:lang w:val="pl-PL"/>
        </w:rPr>
        <w:t>po</w:t>
      </w:r>
      <w:r w:rsidRPr="005808FC">
        <w:rPr>
          <w:rFonts w:asciiTheme="minorHAnsi" w:hAnsiTheme="minorHAnsi" w:cstheme="minorBidi"/>
        </w:rPr>
        <w:t xml:space="preserve"> </w:t>
      </w:r>
      <w:r w:rsidRPr="005808FC">
        <w:rPr>
          <w:rFonts w:asciiTheme="minorHAnsi" w:hAnsiTheme="minorHAnsi" w:cstheme="minorBidi"/>
          <w:lang w:val="pl-PL"/>
        </w:rPr>
        <w:t>kategorijama</w:t>
      </w:r>
      <w:r w:rsidRPr="005808FC">
        <w:rPr>
          <w:rFonts w:asciiTheme="minorHAnsi" w:hAnsiTheme="minorHAnsi" w:cstheme="minorBidi"/>
        </w:rPr>
        <w:t xml:space="preserve"> autobusa</w:t>
      </w:r>
      <w:bookmarkEnd w:id="60"/>
      <w:r w:rsidRPr="005808FC">
        <w:rPr>
          <w:rFonts w:asciiTheme="minorHAnsi" w:hAnsiTheme="minorHAnsi" w:cstheme="minorBidi"/>
        </w:rPr>
        <w:t xml:space="preserve"> prikazane su u </w:t>
      </w:r>
      <w:r w:rsidR="00FC154F" w:rsidRPr="005808FC">
        <w:rPr>
          <w:rFonts w:asciiTheme="minorHAnsi" w:hAnsiTheme="minorHAnsi" w:cstheme="minorBidi"/>
        </w:rPr>
        <w:t>T</w:t>
      </w:r>
      <w:r w:rsidRPr="005808FC">
        <w:rPr>
          <w:rFonts w:asciiTheme="minorHAnsi" w:hAnsiTheme="minorHAnsi" w:cstheme="minorBidi"/>
        </w:rPr>
        <w:t xml:space="preserve">ablici </w:t>
      </w:r>
      <w:r w:rsidR="00FC154F" w:rsidRPr="005808FC">
        <w:rPr>
          <w:rFonts w:asciiTheme="minorHAnsi" w:hAnsiTheme="minorHAnsi" w:cstheme="minorBidi"/>
        </w:rPr>
        <w:t>4</w:t>
      </w:r>
      <w:r w:rsidRPr="005808FC">
        <w:rPr>
          <w:rFonts w:asciiTheme="minorHAnsi" w:hAnsiTheme="minorHAnsi" w:cstheme="minorBidi"/>
        </w:rPr>
        <w:t>.5 .</w:t>
      </w:r>
    </w:p>
    <w:p w14:paraId="06AA0E3D" w14:textId="5A2FF57B" w:rsidR="002907A0" w:rsidRPr="00922031" w:rsidRDefault="002907A0" w:rsidP="001D779A">
      <w:pPr>
        <w:spacing w:after="0"/>
        <w:rPr>
          <w:rFonts w:cstheme="minorHAnsi"/>
        </w:rPr>
      </w:pPr>
    </w:p>
    <w:p w14:paraId="44F0EC70" w14:textId="2751A7A4" w:rsidR="002907A0" w:rsidRPr="005808FC" w:rsidRDefault="0082211F" w:rsidP="0082211F">
      <w:pPr>
        <w:pStyle w:val="Caption"/>
        <w:keepNext/>
        <w:rPr>
          <w:lang w:val="it-IT"/>
        </w:rPr>
      </w:pPr>
      <w:bookmarkStart w:id="61" w:name="_Toc251924020"/>
      <w:bookmarkStart w:id="62" w:name="_Toc4155995"/>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5</w:t>
      </w:r>
      <w:r w:rsidR="0019556A">
        <w:fldChar w:fldCharType="end"/>
      </w:r>
      <w:r w:rsidRPr="005808FC">
        <w:rPr>
          <w:lang w:val="it-IT"/>
        </w:rPr>
        <w:t xml:space="preserve"> - </w:t>
      </w:r>
      <w:r w:rsidR="002907A0" w:rsidRPr="005808FC">
        <w:rPr>
          <w:rFonts w:asciiTheme="minorHAnsi" w:hAnsiTheme="minorHAnsi" w:cstheme="minorBidi"/>
          <w:lang w:val="it-IT"/>
        </w:rPr>
        <w:t>Potrošnje goriva</w:t>
      </w:r>
      <w:r w:rsidR="000509A0">
        <w:rPr>
          <w:rFonts w:asciiTheme="minorHAnsi" w:hAnsiTheme="minorHAnsi" w:cstheme="minorBidi"/>
          <w:lang w:val="it-IT"/>
        </w:rPr>
        <w:t xml:space="preserve"> i </w:t>
      </w:r>
      <w:r w:rsidR="002907A0" w:rsidRPr="005808FC">
        <w:rPr>
          <w:rFonts w:asciiTheme="minorHAnsi" w:hAnsiTheme="minorHAnsi" w:cstheme="minorBidi"/>
          <w:lang w:val="it-IT"/>
        </w:rPr>
        <w:t>e</w:t>
      </w:r>
      <w:r w:rsidR="002907A0" w:rsidRPr="003E50D1">
        <w:rPr>
          <w:rFonts w:asciiTheme="minorHAnsi" w:hAnsiTheme="minorHAnsi" w:cstheme="minorBidi"/>
          <w:lang w:val="pl-PL"/>
        </w:rPr>
        <w:t>misije</w:t>
      </w:r>
      <w:r w:rsidR="002907A0" w:rsidRPr="005808FC">
        <w:rPr>
          <w:rFonts w:asciiTheme="minorHAnsi" w:hAnsiTheme="minorHAnsi" w:cstheme="minorBidi"/>
          <w:lang w:val="it-IT"/>
        </w:rPr>
        <w:t xml:space="preserve"> </w:t>
      </w:r>
      <w:r w:rsidR="002907A0" w:rsidRPr="003E50D1">
        <w:rPr>
          <w:rFonts w:asciiTheme="minorHAnsi" w:hAnsiTheme="minorHAnsi" w:cstheme="minorBidi"/>
          <w:lang w:val="pl-PL"/>
        </w:rPr>
        <w:t>stakleni</w:t>
      </w:r>
      <w:r w:rsidR="002907A0" w:rsidRPr="005808FC">
        <w:rPr>
          <w:rFonts w:asciiTheme="minorHAnsi" w:hAnsiTheme="minorHAnsi" w:cstheme="minorBidi"/>
          <w:lang w:val="it-IT"/>
        </w:rPr>
        <w:t>č</w:t>
      </w:r>
      <w:r w:rsidR="002907A0" w:rsidRPr="003E50D1">
        <w:rPr>
          <w:rFonts w:asciiTheme="minorHAnsi" w:hAnsiTheme="minorHAnsi" w:cstheme="minorBidi"/>
          <w:lang w:val="pl-PL"/>
        </w:rPr>
        <w:t>kih</w:t>
      </w:r>
      <w:r w:rsidR="002907A0" w:rsidRPr="005808FC">
        <w:rPr>
          <w:rFonts w:asciiTheme="minorHAnsi" w:hAnsiTheme="minorHAnsi" w:cstheme="minorBidi"/>
          <w:lang w:val="it-IT"/>
        </w:rPr>
        <w:t xml:space="preserve"> </w:t>
      </w:r>
      <w:r w:rsidR="002907A0" w:rsidRPr="003E50D1">
        <w:rPr>
          <w:rFonts w:asciiTheme="minorHAnsi" w:hAnsiTheme="minorHAnsi" w:cstheme="minorBidi"/>
          <w:lang w:val="pl-PL"/>
        </w:rPr>
        <w:t>plinova</w:t>
      </w:r>
      <w:r w:rsidR="002907A0" w:rsidRPr="005808FC">
        <w:rPr>
          <w:rFonts w:asciiTheme="minorHAnsi" w:hAnsiTheme="minorHAnsi" w:cstheme="minorBidi"/>
          <w:lang w:val="it-IT"/>
        </w:rPr>
        <w:t xml:space="preserve"> </w:t>
      </w:r>
      <w:r w:rsidR="002907A0" w:rsidRPr="003E50D1">
        <w:rPr>
          <w:rFonts w:asciiTheme="minorHAnsi" w:hAnsiTheme="minorHAnsi" w:cstheme="minorBidi"/>
          <w:lang w:val="pl-PL"/>
        </w:rPr>
        <w:t>po</w:t>
      </w:r>
      <w:r w:rsidR="002907A0" w:rsidRPr="005808FC">
        <w:rPr>
          <w:rFonts w:asciiTheme="minorHAnsi" w:hAnsiTheme="minorHAnsi" w:cstheme="minorBidi"/>
          <w:lang w:val="it-IT"/>
        </w:rPr>
        <w:t xml:space="preserve"> </w:t>
      </w:r>
      <w:r w:rsidR="002907A0" w:rsidRPr="003E50D1">
        <w:rPr>
          <w:rFonts w:asciiTheme="minorHAnsi" w:hAnsiTheme="minorHAnsi" w:cstheme="minorBidi"/>
          <w:lang w:val="pl-PL"/>
        </w:rPr>
        <w:t>kategorijama</w:t>
      </w:r>
      <w:r w:rsidR="002907A0" w:rsidRPr="005808FC">
        <w:rPr>
          <w:rFonts w:asciiTheme="minorHAnsi" w:hAnsiTheme="minorHAnsi" w:cstheme="minorBidi"/>
          <w:lang w:val="it-IT"/>
        </w:rPr>
        <w:t xml:space="preserve"> autobusa</w:t>
      </w:r>
      <w:bookmarkEnd w:id="61"/>
      <w:bookmarkEnd w:id="62"/>
    </w:p>
    <w:tbl>
      <w:tblPr>
        <w:tblW w:w="9083" w:type="dxa"/>
        <w:tblInd w:w="9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965"/>
        <w:gridCol w:w="1310"/>
        <w:gridCol w:w="1402"/>
        <w:gridCol w:w="825"/>
        <w:gridCol w:w="1147"/>
        <w:gridCol w:w="876"/>
        <w:gridCol w:w="702"/>
        <w:gridCol w:w="842"/>
        <w:gridCol w:w="1014"/>
      </w:tblGrid>
      <w:tr w:rsidR="005808FC" w:rsidRPr="00922031" w14:paraId="3468569A" w14:textId="77777777" w:rsidTr="005808FC">
        <w:trPr>
          <w:trHeight w:val="227"/>
        </w:trPr>
        <w:tc>
          <w:tcPr>
            <w:tcW w:w="965" w:type="dxa"/>
            <w:tcBorders>
              <w:top w:val="single" w:sz="8" w:space="0" w:color="auto"/>
              <w:bottom w:val="single" w:sz="8" w:space="0" w:color="auto"/>
            </w:tcBorders>
            <w:shd w:val="clear" w:color="auto" w:fill="C6D9F1" w:themeFill="text2" w:themeFillTint="33"/>
            <w:vAlign w:val="center"/>
          </w:tcPr>
          <w:p w14:paraId="69AB59F4"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SEKTOR</w:t>
            </w:r>
          </w:p>
        </w:tc>
        <w:tc>
          <w:tcPr>
            <w:tcW w:w="1310" w:type="dxa"/>
            <w:tcBorders>
              <w:top w:val="single" w:sz="8" w:space="0" w:color="auto"/>
              <w:bottom w:val="single" w:sz="8" w:space="0" w:color="auto"/>
            </w:tcBorders>
            <w:shd w:val="clear" w:color="auto" w:fill="C6D9F1" w:themeFill="text2" w:themeFillTint="33"/>
            <w:vAlign w:val="center"/>
          </w:tcPr>
          <w:p w14:paraId="6DA6DA9A"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PODSEKTOR</w:t>
            </w:r>
          </w:p>
        </w:tc>
        <w:tc>
          <w:tcPr>
            <w:tcW w:w="1402" w:type="dxa"/>
            <w:tcBorders>
              <w:top w:val="single" w:sz="8" w:space="0" w:color="auto"/>
              <w:bottom w:val="single" w:sz="8" w:space="0" w:color="auto"/>
            </w:tcBorders>
            <w:shd w:val="clear" w:color="auto" w:fill="C6D9F1" w:themeFill="text2" w:themeFillTint="33"/>
            <w:vAlign w:val="center"/>
          </w:tcPr>
          <w:p w14:paraId="351D348A"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TEHNOLOGIJA</w:t>
            </w:r>
          </w:p>
        </w:tc>
        <w:tc>
          <w:tcPr>
            <w:tcW w:w="825" w:type="dxa"/>
            <w:tcBorders>
              <w:top w:val="single" w:sz="8" w:space="0" w:color="auto"/>
              <w:bottom w:val="single" w:sz="8" w:space="0" w:color="auto"/>
            </w:tcBorders>
            <w:shd w:val="clear" w:color="auto" w:fill="C6D9F1" w:themeFill="text2" w:themeFillTint="33"/>
            <w:vAlign w:val="center"/>
          </w:tcPr>
          <w:p w14:paraId="3C756FDE"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BROJ VOZILA</w:t>
            </w:r>
          </w:p>
        </w:tc>
        <w:tc>
          <w:tcPr>
            <w:tcW w:w="1147" w:type="dxa"/>
            <w:tcBorders>
              <w:top w:val="single" w:sz="8" w:space="0" w:color="auto"/>
              <w:bottom w:val="single" w:sz="8" w:space="0" w:color="auto"/>
            </w:tcBorders>
            <w:shd w:val="clear" w:color="auto" w:fill="C6D9F1" w:themeFill="text2" w:themeFillTint="33"/>
            <w:vAlign w:val="center"/>
          </w:tcPr>
          <w:p w14:paraId="00517A68"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POTR. GORIVA, t</w:t>
            </w:r>
          </w:p>
        </w:tc>
        <w:tc>
          <w:tcPr>
            <w:tcW w:w="876" w:type="dxa"/>
            <w:tcBorders>
              <w:top w:val="single" w:sz="8" w:space="0" w:color="auto"/>
              <w:bottom w:val="single" w:sz="8" w:space="0" w:color="auto"/>
            </w:tcBorders>
            <w:shd w:val="clear" w:color="auto" w:fill="C6D9F1" w:themeFill="text2" w:themeFillTint="33"/>
            <w:vAlign w:val="center"/>
          </w:tcPr>
          <w:p w14:paraId="50D1AAB1"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CO</w:t>
            </w:r>
            <w:r w:rsidRPr="00291DF5">
              <w:rPr>
                <w:b/>
                <w:bCs/>
                <w:sz w:val="20"/>
                <w:szCs w:val="20"/>
                <w:vertAlign w:val="subscript"/>
                <w:lang w:val="en-US"/>
              </w:rPr>
              <w:t>2</w:t>
            </w:r>
            <w:r w:rsidRPr="005808FC">
              <w:rPr>
                <w:b/>
                <w:bCs/>
                <w:sz w:val="20"/>
                <w:szCs w:val="20"/>
                <w:lang w:val="en-US"/>
              </w:rPr>
              <w:t>, t</w:t>
            </w:r>
          </w:p>
        </w:tc>
        <w:tc>
          <w:tcPr>
            <w:tcW w:w="702" w:type="dxa"/>
            <w:tcBorders>
              <w:top w:val="single" w:sz="8" w:space="0" w:color="auto"/>
              <w:bottom w:val="single" w:sz="8" w:space="0" w:color="auto"/>
            </w:tcBorders>
            <w:shd w:val="clear" w:color="auto" w:fill="C6D9F1" w:themeFill="text2" w:themeFillTint="33"/>
            <w:vAlign w:val="center"/>
          </w:tcPr>
          <w:p w14:paraId="168E2A03"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CH</w:t>
            </w:r>
            <w:r w:rsidRPr="00291DF5">
              <w:rPr>
                <w:b/>
                <w:bCs/>
                <w:sz w:val="20"/>
                <w:szCs w:val="20"/>
                <w:vertAlign w:val="subscript"/>
                <w:lang w:val="en-US"/>
              </w:rPr>
              <w:t>4</w:t>
            </w:r>
            <w:r w:rsidRPr="005808FC">
              <w:rPr>
                <w:b/>
                <w:bCs/>
                <w:sz w:val="20"/>
                <w:szCs w:val="20"/>
                <w:lang w:val="en-US"/>
              </w:rPr>
              <w:t>, t</w:t>
            </w:r>
          </w:p>
        </w:tc>
        <w:tc>
          <w:tcPr>
            <w:tcW w:w="842" w:type="dxa"/>
            <w:tcBorders>
              <w:top w:val="single" w:sz="8" w:space="0" w:color="auto"/>
              <w:bottom w:val="single" w:sz="8" w:space="0" w:color="auto"/>
            </w:tcBorders>
            <w:shd w:val="clear" w:color="auto" w:fill="C6D9F1" w:themeFill="text2" w:themeFillTint="33"/>
            <w:vAlign w:val="center"/>
          </w:tcPr>
          <w:p w14:paraId="66EE718E"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N</w:t>
            </w:r>
            <w:r w:rsidRPr="00291DF5">
              <w:rPr>
                <w:b/>
                <w:bCs/>
                <w:sz w:val="20"/>
                <w:szCs w:val="20"/>
                <w:vertAlign w:val="subscript"/>
                <w:lang w:val="en-US"/>
              </w:rPr>
              <w:t>2</w:t>
            </w:r>
            <w:r w:rsidRPr="005808FC">
              <w:rPr>
                <w:b/>
                <w:bCs/>
                <w:sz w:val="20"/>
                <w:szCs w:val="20"/>
                <w:lang w:val="en-US"/>
              </w:rPr>
              <w:t>O, t</w:t>
            </w:r>
          </w:p>
        </w:tc>
        <w:tc>
          <w:tcPr>
            <w:tcW w:w="1014" w:type="dxa"/>
            <w:tcBorders>
              <w:top w:val="single" w:sz="8" w:space="0" w:color="auto"/>
              <w:bottom w:val="single" w:sz="8" w:space="0" w:color="auto"/>
            </w:tcBorders>
            <w:shd w:val="clear" w:color="auto" w:fill="C6D9F1" w:themeFill="text2" w:themeFillTint="33"/>
            <w:vAlign w:val="center"/>
          </w:tcPr>
          <w:p w14:paraId="648744D4"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CO</w:t>
            </w:r>
            <w:r w:rsidRPr="00291DF5">
              <w:rPr>
                <w:b/>
                <w:bCs/>
                <w:sz w:val="20"/>
                <w:szCs w:val="20"/>
                <w:vertAlign w:val="subscript"/>
                <w:lang w:val="en-US"/>
              </w:rPr>
              <w:t>2</w:t>
            </w:r>
            <w:r w:rsidRPr="005808FC">
              <w:rPr>
                <w:b/>
                <w:bCs/>
                <w:sz w:val="20"/>
                <w:szCs w:val="20"/>
                <w:lang w:val="en-US"/>
              </w:rPr>
              <w:t>-ekv, t</w:t>
            </w:r>
          </w:p>
        </w:tc>
      </w:tr>
      <w:tr w:rsidR="002907A0" w:rsidRPr="00922031" w14:paraId="49229582" w14:textId="77777777" w:rsidTr="005808FC">
        <w:trPr>
          <w:trHeight w:val="227"/>
        </w:trPr>
        <w:tc>
          <w:tcPr>
            <w:tcW w:w="965" w:type="dxa"/>
            <w:vMerge w:val="restart"/>
            <w:tcBorders>
              <w:top w:val="single" w:sz="8" w:space="0" w:color="auto"/>
            </w:tcBorders>
            <w:shd w:val="clear" w:color="auto" w:fill="F2DBDB" w:themeFill="accent2" w:themeFillTint="33"/>
            <w:noWrap/>
            <w:vAlign w:val="center"/>
          </w:tcPr>
          <w:p w14:paraId="21CF26C4"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Autobusi</w:t>
            </w:r>
          </w:p>
        </w:tc>
        <w:tc>
          <w:tcPr>
            <w:tcW w:w="1310" w:type="dxa"/>
            <w:vMerge w:val="restart"/>
            <w:tcBorders>
              <w:top w:val="single" w:sz="8" w:space="0" w:color="auto"/>
            </w:tcBorders>
            <w:shd w:val="clear" w:color="auto" w:fill="F2DBDB" w:themeFill="accent2" w:themeFillTint="33"/>
            <w:noWrap/>
            <w:vAlign w:val="center"/>
          </w:tcPr>
          <w:p w14:paraId="230EF85C"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Međugradski</w:t>
            </w:r>
          </w:p>
        </w:tc>
        <w:tc>
          <w:tcPr>
            <w:tcW w:w="1402" w:type="dxa"/>
            <w:tcBorders>
              <w:top w:val="single" w:sz="8" w:space="0" w:color="auto"/>
            </w:tcBorders>
            <w:noWrap/>
            <w:vAlign w:val="bottom"/>
          </w:tcPr>
          <w:p w14:paraId="105A9C05" w14:textId="77777777" w:rsidR="002907A0" w:rsidRPr="005808FC" w:rsidRDefault="002907A0" w:rsidP="005808FC">
            <w:pPr>
              <w:spacing w:after="0" w:line="240" w:lineRule="auto"/>
              <w:rPr>
                <w:sz w:val="20"/>
                <w:szCs w:val="20"/>
                <w:lang w:val="en-US"/>
              </w:rPr>
            </w:pPr>
            <w:r w:rsidRPr="003E50D1">
              <w:rPr>
                <w:sz w:val="20"/>
                <w:szCs w:val="20"/>
                <w:lang w:val="en-US"/>
              </w:rPr>
              <w:t>Conventional</w:t>
            </w:r>
          </w:p>
        </w:tc>
        <w:tc>
          <w:tcPr>
            <w:tcW w:w="825" w:type="dxa"/>
            <w:tcBorders>
              <w:top w:val="single" w:sz="8" w:space="0" w:color="auto"/>
            </w:tcBorders>
            <w:vAlign w:val="bottom"/>
          </w:tcPr>
          <w:p w14:paraId="7F2020F0" w14:textId="77777777" w:rsidR="002907A0" w:rsidRPr="005808FC" w:rsidRDefault="002907A0" w:rsidP="005808FC">
            <w:pPr>
              <w:spacing w:after="0" w:line="240" w:lineRule="auto"/>
              <w:jc w:val="right"/>
              <w:rPr>
                <w:sz w:val="20"/>
                <w:szCs w:val="20"/>
                <w:lang w:val="en-US"/>
              </w:rPr>
            </w:pPr>
            <w:r w:rsidRPr="003E50D1">
              <w:rPr>
                <w:sz w:val="20"/>
                <w:szCs w:val="20"/>
                <w:lang w:val="en-US"/>
              </w:rPr>
              <w:t>267</w:t>
            </w:r>
          </w:p>
        </w:tc>
        <w:tc>
          <w:tcPr>
            <w:tcW w:w="1147" w:type="dxa"/>
            <w:tcBorders>
              <w:top w:val="single" w:sz="8" w:space="0" w:color="auto"/>
            </w:tcBorders>
            <w:noWrap/>
            <w:vAlign w:val="bottom"/>
          </w:tcPr>
          <w:p w14:paraId="0E9C8F13" w14:textId="77777777" w:rsidR="002907A0" w:rsidRPr="005808FC" w:rsidRDefault="002907A0" w:rsidP="005808FC">
            <w:pPr>
              <w:spacing w:after="0" w:line="240" w:lineRule="auto"/>
              <w:jc w:val="right"/>
              <w:rPr>
                <w:sz w:val="20"/>
                <w:szCs w:val="20"/>
              </w:rPr>
            </w:pPr>
            <w:r w:rsidRPr="003E50D1">
              <w:rPr>
                <w:sz w:val="20"/>
                <w:szCs w:val="20"/>
              </w:rPr>
              <w:t>565,9</w:t>
            </w:r>
          </w:p>
        </w:tc>
        <w:tc>
          <w:tcPr>
            <w:tcW w:w="876" w:type="dxa"/>
            <w:tcBorders>
              <w:top w:val="single" w:sz="8" w:space="0" w:color="auto"/>
            </w:tcBorders>
            <w:noWrap/>
            <w:vAlign w:val="bottom"/>
          </w:tcPr>
          <w:p w14:paraId="2729975B" w14:textId="77777777" w:rsidR="002907A0" w:rsidRPr="005808FC" w:rsidRDefault="002907A0" w:rsidP="005808FC">
            <w:pPr>
              <w:spacing w:after="0" w:line="240" w:lineRule="auto"/>
              <w:jc w:val="right"/>
              <w:rPr>
                <w:sz w:val="20"/>
                <w:szCs w:val="20"/>
                <w:lang w:val="en-US"/>
              </w:rPr>
            </w:pPr>
            <w:r w:rsidRPr="003E50D1">
              <w:rPr>
                <w:sz w:val="20"/>
                <w:szCs w:val="20"/>
                <w:lang w:val="en-US"/>
              </w:rPr>
              <w:t>1775,9</w:t>
            </w:r>
          </w:p>
        </w:tc>
        <w:tc>
          <w:tcPr>
            <w:tcW w:w="702" w:type="dxa"/>
            <w:tcBorders>
              <w:top w:val="single" w:sz="8" w:space="0" w:color="auto"/>
            </w:tcBorders>
            <w:noWrap/>
            <w:vAlign w:val="bottom"/>
          </w:tcPr>
          <w:p w14:paraId="01A05488" w14:textId="77777777" w:rsidR="002907A0" w:rsidRPr="005808FC" w:rsidRDefault="002907A0" w:rsidP="005808FC">
            <w:pPr>
              <w:spacing w:after="0" w:line="240" w:lineRule="auto"/>
              <w:jc w:val="right"/>
              <w:rPr>
                <w:sz w:val="20"/>
                <w:szCs w:val="20"/>
                <w:lang w:val="en-US"/>
              </w:rPr>
            </w:pPr>
            <w:r w:rsidRPr="003E50D1">
              <w:rPr>
                <w:sz w:val="20"/>
                <w:szCs w:val="20"/>
                <w:lang w:val="en-US"/>
              </w:rPr>
              <w:t>0,14</w:t>
            </w:r>
          </w:p>
        </w:tc>
        <w:tc>
          <w:tcPr>
            <w:tcW w:w="842" w:type="dxa"/>
            <w:tcBorders>
              <w:top w:val="single" w:sz="8" w:space="0" w:color="auto"/>
            </w:tcBorders>
            <w:noWrap/>
            <w:vAlign w:val="bottom"/>
          </w:tcPr>
          <w:p w14:paraId="7ED78A0B" w14:textId="77777777" w:rsidR="002907A0" w:rsidRPr="005808FC" w:rsidRDefault="002907A0" w:rsidP="005808FC">
            <w:pPr>
              <w:spacing w:after="0" w:line="240" w:lineRule="auto"/>
              <w:jc w:val="right"/>
              <w:rPr>
                <w:sz w:val="20"/>
                <w:szCs w:val="20"/>
                <w:lang w:val="en-US"/>
              </w:rPr>
            </w:pPr>
            <w:r w:rsidRPr="003E50D1">
              <w:rPr>
                <w:sz w:val="20"/>
                <w:szCs w:val="20"/>
                <w:lang w:val="en-US"/>
              </w:rPr>
              <w:t>0,06</w:t>
            </w:r>
          </w:p>
        </w:tc>
        <w:tc>
          <w:tcPr>
            <w:tcW w:w="1014" w:type="dxa"/>
            <w:tcBorders>
              <w:top w:val="single" w:sz="8" w:space="0" w:color="auto"/>
            </w:tcBorders>
            <w:noWrap/>
            <w:vAlign w:val="bottom"/>
          </w:tcPr>
          <w:p w14:paraId="2DD7C162" w14:textId="77777777" w:rsidR="002907A0" w:rsidRPr="005808FC" w:rsidRDefault="002907A0" w:rsidP="005808FC">
            <w:pPr>
              <w:spacing w:after="0" w:line="240" w:lineRule="auto"/>
              <w:jc w:val="right"/>
              <w:rPr>
                <w:sz w:val="20"/>
                <w:szCs w:val="20"/>
                <w:lang w:val="en-US"/>
              </w:rPr>
            </w:pPr>
            <w:r w:rsidRPr="003E50D1">
              <w:rPr>
                <w:sz w:val="20"/>
                <w:szCs w:val="20"/>
                <w:lang w:val="en-US"/>
              </w:rPr>
              <w:t>1797,0</w:t>
            </w:r>
          </w:p>
        </w:tc>
      </w:tr>
      <w:tr w:rsidR="002907A0" w:rsidRPr="00922031" w14:paraId="41E68F00" w14:textId="77777777" w:rsidTr="005808FC">
        <w:trPr>
          <w:trHeight w:val="227"/>
        </w:trPr>
        <w:tc>
          <w:tcPr>
            <w:tcW w:w="965" w:type="dxa"/>
            <w:vMerge/>
            <w:shd w:val="clear" w:color="auto" w:fill="F2DBDB" w:themeFill="accent2" w:themeFillTint="33"/>
            <w:vAlign w:val="center"/>
          </w:tcPr>
          <w:p w14:paraId="4ECE6BF3" w14:textId="77777777" w:rsidR="002907A0" w:rsidRPr="00922031" w:rsidRDefault="002907A0" w:rsidP="002907A0">
            <w:pPr>
              <w:spacing w:after="0" w:line="240" w:lineRule="auto"/>
              <w:rPr>
                <w:rFonts w:cstheme="minorHAnsi"/>
                <w:b/>
                <w:sz w:val="20"/>
                <w:szCs w:val="20"/>
                <w:lang w:val="en-US"/>
              </w:rPr>
            </w:pPr>
          </w:p>
        </w:tc>
        <w:tc>
          <w:tcPr>
            <w:tcW w:w="1310" w:type="dxa"/>
            <w:vMerge/>
            <w:shd w:val="clear" w:color="auto" w:fill="F2DBDB" w:themeFill="accent2" w:themeFillTint="33"/>
            <w:vAlign w:val="center"/>
          </w:tcPr>
          <w:p w14:paraId="60102D4E" w14:textId="77777777" w:rsidR="002907A0" w:rsidRPr="00922031" w:rsidRDefault="002907A0" w:rsidP="002907A0">
            <w:pPr>
              <w:spacing w:after="0" w:line="240" w:lineRule="auto"/>
              <w:rPr>
                <w:rFonts w:cstheme="minorHAnsi"/>
                <w:b/>
                <w:sz w:val="20"/>
                <w:szCs w:val="20"/>
                <w:lang w:val="en-US"/>
              </w:rPr>
            </w:pPr>
          </w:p>
        </w:tc>
        <w:tc>
          <w:tcPr>
            <w:tcW w:w="1402" w:type="dxa"/>
            <w:noWrap/>
            <w:vAlign w:val="bottom"/>
          </w:tcPr>
          <w:p w14:paraId="67A6F5FB" w14:textId="431BD43A" w:rsidR="002907A0" w:rsidRPr="005808FC" w:rsidRDefault="002907A0" w:rsidP="005808FC">
            <w:pPr>
              <w:spacing w:after="0" w:line="240" w:lineRule="auto"/>
              <w:rPr>
                <w:sz w:val="20"/>
                <w:szCs w:val="20"/>
                <w:lang w:val="en-US"/>
              </w:rPr>
            </w:pPr>
            <w:r w:rsidRPr="003E50D1">
              <w:rPr>
                <w:sz w:val="20"/>
                <w:szCs w:val="20"/>
                <w:lang w:val="en-US"/>
              </w:rPr>
              <w:t>Euro</w:t>
            </w:r>
            <w:r w:rsidR="00120783">
              <w:rPr>
                <w:sz w:val="20"/>
                <w:szCs w:val="20"/>
                <w:lang w:val="en-US"/>
              </w:rPr>
              <w:t xml:space="preserve"> I</w:t>
            </w:r>
            <w:r w:rsidR="000509A0">
              <w:rPr>
                <w:sz w:val="20"/>
                <w:szCs w:val="20"/>
                <w:lang w:val="en-US"/>
              </w:rPr>
              <w:t xml:space="preserve"> </w:t>
            </w:r>
          </w:p>
        </w:tc>
        <w:tc>
          <w:tcPr>
            <w:tcW w:w="825" w:type="dxa"/>
            <w:vAlign w:val="bottom"/>
          </w:tcPr>
          <w:p w14:paraId="0B378690" w14:textId="77777777" w:rsidR="002907A0" w:rsidRPr="005808FC" w:rsidRDefault="002907A0" w:rsidP="005808FC">
            <w:pPr>
              <w:spacing w:after="0" w:line="240" w:lineRule="auto"/>
              <w:jc w:val="right"/>
              <w:rPr>
                <w:sz w:val="20"/>
                <w:szCs w:val="20"/>
                <w:lang w:val="en-US"/>
              </w:rPr>
            </w:pPr>
            <w:r w:rsidRPr="003E50D1">
              <w:rPr>
                <w:sz w:val="20"/>
                <w:szCs w:val="20"/>
                <w:lang w:val="en-US"/>
              </w:rPr>
              <w:t>89</w:t>
            </w:r>
          </w:p>
        </w:tc>
        <w:tc>
          <w:tcPr>
            <w:tcW w:w="1147" w:type="dxa"/>
            <w:noWrap/>
            <w:vAlign w:val="bottom"/>
          </w:tcPr>
          <w:p w14:paraId="6C31F6C3" w14:textId="77777777" w:rsidR="002907A0" w:rsidRPr="005808FC" w:rsidRDefault="002907A0" w:rsidP="005808FC">
            <w:pPr>
              <w:spacing w:after="0" w:line="240" w:lineRule="auto"/>
              <w:jc w:val="right"/>
              <w:rPr>
                <w:sz w:val="20"/>
                <w:szCs w:val="20"/>
              </w:rPr>
            </w:pPr>
            <w:r w:rsidRPr="003E50D1">
              <w:rPr>
                <w:sz w:val="20"/>
                <w:szCs w:val="20"/>
              </w:rPr>
              <w:t>188,6</w:t>
            </w:r>
          </w:p>
        </w:tc>
        <w:tc>
          <w:tcPr>
            <w:tcW w:w="876" w:type="dxa"/>
            <w:noWrap/>
            <w:vAlign w:val="bottom"/>
          </w:tcPr>
          <w:p w14:paraId="53D4765F" w14:textId="77777777" w:rsidR="002907A0" w:rsidRPr="005808FC" w:rsidRDefault="002907A0" w:rsidP="005808FC">
            <w:pPr>
              <w:spacing w:after="0" w:line="240" w:lineRule="auto"/>
              <w:jc w:val="right"/>
              <w:rPr>
                <w:sz w:val="20"/>
                <w:szCs w:val="20"/>
                <w:lang w:val="en-US"/>
              </w:rPr>
            </w:pPr>
            <w:r w:rsidRPr="003E50D1">
              <w:rPr>
                <w:sz w:val="20"/>
                <w:szCs w:val="20"/>
                <w:lang w:val="en-US"/>
              </w:rPr>
              <w:t>592,0</w:t>
            </w:r>
          </w:p>
        </w:tc>
        <w:tc>
          <w:tcPr>
            <w:tcW w:w="702" w:type="dxa"/>
            <w:noWrap/>
            <w:vAlign w:val="bottom"/>
          </w:tcPr>
          <w:p w14:paraId="18CE0B22" w14:textId="77777777" w:rsidR="002907A0" w:rsidRPr="005808FC" w:rsidRDefault="002907A0" w:rsidP="005808FC">
            <w:pPr>
              <w:spacing w:after="0" w:line="240" w:lineRule="auto"/>
              <w:jc w:val="right"/>
              <w:rPr>
                <w:sz w:val="20"/>
                <w:szCs w:val="20"/>
                <w:lang w:val="en-US"/>
              </w:rPr>
            </w:pPr>
            <w:r w:rsidRPr="003E50D1">
              <w:rPr>
                <w:sz w:val="20"/>
                <w:szCs w:val="20"/>
                <w:lang w:val="en-US"/>
              </w:rPr>
              <w:t>0,04</w:t>
            </w:r>
          </w:p>
        </w:tc>
        <w:tc>
          <w:tcPr>
            <w:tcW w:w="842" w:type="dxa"/>
            <w:noWrap/>
            <w:vAlign w:val="bottom"/>
          </w:tcPr>
          <w:p w14:paraId="338DCB0E"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1014" w:type="dxa"/>
            <w:noWrap/>
            <w:vAlign w:val="bottom"/>
          </w:tcPr>
          <w:p w14:paraId="61B3984C" w14:textId="77777777" w:rsidR="002907A0" w:rsidRPr="005808FC" w:rsidRDefault="002907A0" w:rsidP="005808FC">
            <w:pPr>
              <w:spacing w:after="0" w:line="240" w:lineRule="auto"/>
              <w:jc w:val="right"/>
              <w:rPr>
                <w:sz w:val="20"/>
                <w:szCs w:val="20"/>
                <w:lang w:val="en-US"/>
              </w:rPr>
            </w:pPr>
            <w:r w:rsidRPr="003E50D1">
              <w:rPr>
                <w:sz w:val="20"/>
                <w:szCs w:val="20"/>
                <w:lang w:val="en-US"/>
              </w:rPr>
              <w:t>598,9</w:t>
            </w:r>
          </w:p>
        </w:tc>
      </w:tr>
      <w:tr w:rsidR="002907A0" w:rsidRPr="00922031" w14:paraId="4967EF41" w14:textId="77777777" w:rsidTr="005808FC">
        <w:trPr>
          <w:trHeight w:val="227"/>
        </w:trPr>
        <w:tc>
          <w:tcPr>
            <w:tcW w:w="965" w:type="dxa"/>
            <w:vMerge/>
            <w:shd w:val="clear" w:color="auto" w:fill="F2DBDB" w:themeFill="accent2" w:themeFillTint="33"/>
            <w:vAlign w:val="center"/>
          </w:tcPr>
          <w:p w14:paraId="4508C259" w14:textId="77777777" w:rsidR="002907A0" w:rsidRPr="00922031" w:rsidRDefault="002907A0" w:rsidP="002907A0">
            <w:pPr>
              <w:spacing w:after="0" w:line="240" w:lineRule="auto"/>
              <w:rPr>
                <w:rFonts w:cstheme="minorHAnsi"/>
                <w:b/>
                <w:sz w:val="20"/>
                <w:szCs w:val="20"/>
                <w:lang w:val="en-US"/>
              </w:rPr>
            </w:pPr>
          </w:p>
        </w:tc>
        <w:tc>
          <w:tcPr>
            <w:tcW w:w="1310" w:type="dxa"/>
            <w:vMerge/>
            <w:shd w:val="clear" w:color="auto" w:fill="F2DBDB" w:themeFill="accent2" w:themeFillTint="33"/>
            <w:vAlign w:val="center"/>
          </w:tcPr>
          <w:p w14:paraId="7C14B7E1" w14:textId="77777777" w:rsidR="002907A0" w:rsidRPr="00922031" w:rsidRDefault="002907A0" w:rsidP="002907A0">
            <w:pPr>
              <w:spacing w:after="0" w:line="240" w:lineRule="auto"/>
              <w:rPr>
                <w:rFonts w:cstheme="minorHAnsi"/>
                <w:b/>
                <w:sz w:val="20"/>
                <w:szCs w:val="20"/>
                <w:lang w:val="en-US"/>
              </w:rPr>
            </w:pPr>
          </w:p>
        </w:tc>
        <w:tc>
          <w:tcPr>
            <w:tcW w:w="1402" w:type="dxa"/>
            <w:noWrap/>
            <w:vAlign w:val="bottom"/>
          </w:tcPr>
          <w:p w14:paraId="41DF33FD"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II </w:t>
            </w:r>
          </w:p>
        </w:tc>
        <w:tc>
          <w:tcPr>
            <w:tcW w:w="825" w:type="dxa"/>
            <w:vAlign w:val="bottom"/>
          </w:tcPr>
          <w:p w14:paraId="2ADA577D" w14:textId="77777777" w:rsidR="002907A0" w:rsidRPr="005808FC" w:rsidRDefault="002907A0" w:rsidP="005808FC">
            <w:pPr>
              <w:spacing w:after="0" w:line="240" w:lineRule="auto"/>
              <w:jc w:val="right"/>
              <w:rPr>
                <w:sz w:val="20"/>
                <w:szCs w:val="20"/>
                <w:lang w:val="en-US"/>
              </w:rPr>
            </w:pPr>
            <w:r w:rsidRPr="003E50D1">
              <w:rPr>
                <w:sz w:val="20"/>
                <w:szCs w:val="20"/>
                <w:lang w:val="en-US"/>
              </w:rPr>
              <w:t>101</w:t>
            </w:r>
          </w:p>
        </w:tc>
        <w:tc>
          <w:tcPr>
            <w:tcW w:w="1147" w:type="dxa"/>
            <w:noWrap/>
            <w:vAlign w:val="bottom"/>
          </w:tcPr>
          <w:p w14:paraId="155B2370" w14:textId="77777777" w:rsidR="002907A0" w:rsidRPr="005808FC" w:rsidRDefault="002907A0" w:rsidP="005808FC">
            <w:pPr>
              <w:spacing w:after="0" w:line="240" w:lineRule="auto"/>
              <w:jc w:val="right"/>
              <w:rPr>
                <w:sz w:val="20"/>
                <w:szCs w:val="20"/>
              </w:rPr>
            </w:pPr>
            <w:r w:rsidRPr="003E50D1">
              <w:rPr>
                <w:sz w:val="20"/>
                <w:szCs w:val="20"/>
              </w:rPr>
              <w:t>214,1</w:t>
            </w:r>
          </w:p>
        </w:tc>
        <w:tc>
          <w:tcPr>
            <w:tcW w:w="876" w:type="dxa"/>
            <w:noWrap/>
            <w:vAlign w:val="bottom"/>
          </w:tcPr>
          <w:p w14:paraId="646B4F09" w14:textId="77777777" w:rsidR="002907A0" w:rsidRPr="005808FC" w:rsidRDefault="002907A0" w:rsidP="005808FC">
            <w:pPr>
              <w:spacing w:after="0" w:line="240" w:lineRule="auto"/>
              <w:jc w:val="right"/>
              <w:rPr>
                <w:sz w:val="20"/>
                <w:szCs w:val="20"/>
                <w:lang w:val="en-US"/>
              </w:rPr>
            </w:pPr>
            <w:r w:rsidRPr="003E50D1">
              <w:rPr>
                <w:sz w:val="20"/>
                <w:szCs w:val="20"/>
                <w:lang w:val="en-US"/>
              </w:rPr>
              <w:t>671,8</w:t>
            </w:r>
          </w:p>
        </w:tc>
        <w:tc>
          <w:tcPr>
            <w:tcW w:w="702" w:type="dxa"/>
            <w:noWrap/>
            <w:vAlign w:val="bottom"/>
          </w:tcPr>
          <w:p w14:paraId="03C3F3D3" w14:textId="77777777" w:rsidR="002907A0" w:rsidRPr="005808FC" w:rsidRDefault="002907A0" w:rsidP="005808FC">
            <w:pPr>
              <w:spacing w:after="0" w:line="240" w:lineRule="auto"/>
              <w:jc w:val="right"/>
              <w:rPr>
                <w:sz w:val="20"/>
                <w:szCs w:val="20"/>
                <w:lang w:val="en-US"/>
              </w:rPr>
            </w:pPr>
            <w:r w:rsidRPr="003E50D1">
              <w:rPr>
                <w:sz w:val="20"/>
                <w:szCs w:val="20"/>
                <w:lang w:val="en-US"/>
              </w:rPr>
              <w:t>0,03</w:t>
            </w:r>
          </w:p>
        </w:tc>
        <w:tc>
          <w:tcPr>
            <w:tcW w:w="842" w:type="dxa"/>
            <w:noWrap/>
            <w:vAlign w:val="bottom"/>
          </w:tcPr>
          <w:p w14:paraId="0F6D9A2E"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1014" w:type="dxa"/>
            <w:noWrap/>
            <w:vAlign w:val="bottom"/>
          </w:tcPr>
          <w:p w14:paraId="7AC096D9" w14:textId="77777777" w:rsidR="002907A0" w:rsidRPr="005808FC" w:rsidRDefault="002907A0" w:rsidP="005808FC">
            <w:pPr>
              <w:spacing w:after="0" w:line="240" w:lineRule="auto"/>
              <w:jc w:val="right"/>
              <w:rPr>
                <w:sz w:val="20"/>
                <w:szCs w:val="20"/>
                <w:lang w:val="en-US"/>
              </w:rPr>
            </w:pPr>
            <w:r w:rsidRPr="003E50D1">
              <w:rPr>
                <w:sz w:val="20"/>
                <w:szCs w:val="20"/>
                <w:lang w:val="en-US"/>
              </w:rPr>
              <w:t>679,4</w:t>
            </w:r>
          </w:p>
        </w:tc>
      </w:tr>
      <w:tr w:rsidR="002907A0" w:rsidRPr="00922031" w14:paraId="69EEDA2F" w14:textId="77777777" w:rsidTr="005808FC">
        <w:trPr>
          <w:trHeight w:val="227"/>
        </w:trPr>
        <w:tc>
          <w:tcPr>
            <w:tcW w:w="965" w:type="dxa"/>
            <w:vMerge/>
            <w:shd w:val="clear" w:color="auto" w:fill="F2DBDB" w:themeFill="accent2" w:themeFillTint="33"/>
            <w:vAlign w:val="center"/>
          </w:tcPr>
          <w:p w14:paraId="33526429" w14:textId="77777777" w:rsidR="002907A0" w:rsidRPr="00922031" w:rsidRDefault="002907A0" w:rsidP="002907A0">
            <w:pPr>
              <w:spacing w:after="0" w:line="240" w:lineRule="auto"/>
              <w:rPr>
                <w:rFonts w:cstheme="minorHAnsi"/>
                <w:b/>
                <w:sz w:val="20"/>
                <w:szCs w:val="20"/>
                <w:lang w:val="en-US"/>
              </w:rPr>
            </w:pPr>
          </w:p>
        </w:tc>
        <w:tc>
          <w:tcPr>
            <w:tcW w:w="1310" w:type="dxa"/>
            <w:vMerge/>
            <w:shd w:val="clear" w:color="auto" w:fill="F2DBDB" w:themeFill="accent2" w:themeFillTint="33"/>
            <w:vAlign w:val="center"/>
          </w:tcPr>
          <w:p w14:paraId="7AD940AC" w14:textId="77777777" w:rsidR="002907A0" w:rsidRPr="00922031" w:rsidRDefault="002907A0" w:rsidP="002907A0">
            <w:pPr>
              <w:spacing w:after="0" w:line="240" w:lineRule="auto"/>
              <w:rPr>
                <w:rFonts w:cstheme="minorHAnsi"/>
                <w:b/>
                <w:sz w:val="20"/>
                <w:szCs w:val="20"/>
                <w:lang w:val="en-US"/>
              </w:rPr>
            </w:pPr>
          </w:p>
        </w:tc>
        <w:tc>
          <w:tcPr>
            <w:tcW w:w="1402" w:type="dxa"/>
            <w:noWrap/>
            <w:vAlign w:val="bottom"/>
          </w:tcPr>
          <w:p w14:paraId="7B930722"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III </w:t>
            </w:r>
          </w:p>
        </w:tc>
        <w:tc>
          <w:tcPr>
            <w:tcW w:w="825" w:type="dxa"/>
            <w:vAlign w:val="bottom"/>
          </w:tcPr>
          <w:p w14:paraId="52859EE8" w14:textId="77777777" w:rsidR="002907A0" w:rsidRPr="005808FC" w:rsidRDefault="002907A0" w:rsidP="005808FC">
            <w:pPr>
              <w:spacing w:after="0" w:line="240" w:lineRule="auto"/>
              <w:jc w:val="right"/>
              <w:rPr>
                <w:sz w:val="20"/>
                <w:szCs w:val="20"/>
                <w:lang w:val="en-US"/>
              </w:rPr>
            </w:pPr>
            <w:r w:rsidRPr="003E50D1">
              <w:rPr>
                <w:sz w:val="20"/>
                <w:szCs w:val="20"/>
                <w:lang w:val="en-US"/>
              </w:rPr>
              <w:t>95</w:t>
            </w:r>
          </w:p>
        </w:tc>
        <w:tc>
          <w:tcPr>
            <w:tcW w:w="1147" w:type="dxa"/>
            <w:noWrap/>
            <w:vAlign w:val="bottom"/>
          </w:tcPr>
          <w:p w14:paraId="6B2E1859" w14:textId="77777777" w:rsidR="002907A0" w:rsidRPr="005808FC" w:rsidRDefault="002907A0" w:rsidP="005808FC">
            <w:pPr>
              <w:spacing w:after="0" w:line="240" w:lineRule="auto"/>
              <w:jc w:val="right"/>
              <w:rPr>
                <w:sz w:val="20"/>
                <w:szCs w:val="20"/>
              </w:rPr>
            </w:pPr>
            <w:r w:rsidRPr="003E50D1">
              <w:rPr>
                <w:sz w:val="20"/>
                <w:szCs w:val="20"/>
              </w:rPr>
              <w:t>201,3</w:t>
            </w:r>
          </w:p>
        </w:tc>
        <w:tc>
          <w:tcPr>
            <w:tcW w:w="876" w:type="dxa"/>
            <w:noWrap/>
            <w:vAlign w:val="bottom"/>
          </w:tcPr>
          <w:p w14:paraId="62690804" w14:textId="77777777" w:rsidR="002907A0" w:rsidRPr="005808FC" w:rsidRDefault="002907A0" w:rsidP="005808FC">
            <w:pPr>
              <w:spacing w:after="0" w:line="240" w:lineRule="auto"/>
              <w:jc w:val="right"/>
              <w:rPr>
                <w:sz w:val="20"/>
                <w:szCs w:val="20"/>
                <w:lang w:val="en-US"/>
              </w:rPr>
            </w:pPr>
            <w:r w:rsidRPr="003E50D1">
              <w:rPr>
                <w:sz w:val="20"/>
                <w:szCs w:val="20"/>
                <w:lang w:val="en-US"/>
              </w:rPr>
              <w:t>631,9</w:t>
            </w:r>
          </w:p>
        </w:tc>
        <w:tc>
          <w:tcPr>
            <w:tcW w:w="702" w:type="dxa"/>
            <w:noWrap/>
            <w:vAlign w:val="bottom"/>
          </w:tcPr>
          <w:p w14:paraId="72655AB1"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842" w:type="dxa"/>
            <w:noWrap/>
            <w:vAlign w:val="bottom"/>
          </w:tcPr>
          <w:p w14:paraId="35551EF4"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1014" w:type="dxa"/>
            <w:noWrap/>
            <w:vAlign w:val="bottom"/>
          </w:tcPr>
          <w:p w14:paraId="1D914ACA" w14:textId="77777777" w:rsidR="002907A0" w:rsidRPr="005808FC" w:rsidRDefault="002907A0" w:rsidP="005808FC">
            <w:pPr>
              <w:spacing w:after="0" w:line="240" w:lineRule="auto"/>
              <w:jc w:val="right"/>
              <w:rPr>
                <w:sz w:val="20"/>
                <w:szCs w:val="20"/>
                <w:lang w:val="en-US"/>
              </w:rPr>
            </w:pPr>
            <w:r w:rsidRPr="003E50D1">
              <w:rPr>
                <w:sz w:val="20"/>
                <w:szCs w:val="20"/>
                <w:lang w:val="en-US"/>
              </w:rPr>
              <w:t>638,8</w:t>
            </w:r>
          </w:p>
        </w:tc>
      </w:tr>
      <w:tr w:rsidR="002907A0" w:rsidRPr="00922031" w14:paraId="5F2BC217" w14:textId="77777777" w:rsidTr="005808FC">
        <w:trPr>
          <w:trHeight w:val="227"/>
        </w:trPr>
        <w:tc>
          <w:tcPr>
            <w:tcW w:w="965" w:type="dxa"/>
            <w:vMerge/>
            <w:shd w:val="clear" w:color="auto" w:fill="F2DBDB" w:themeFill="accent2" w:themeFillTint="33"/>
            <w:vAlign w:val="center"/>
          </w:tcPr>
          <w:p w14:paraId="0B351CC3" w14:textId="77777777" w:rsidR="002907A0" w:rsidRPr="00922031" w:rsidRDefault="002907A0" w:rsidP="002907A0">
            <w:pPr>
              <w:spacing w:after="0" w:line="240" w:lineRule="auto"/>
              <w:rPr>
                <w:rFonts w:cstheme="minorHAnsi"/>
                <w:b/>
                <w:sz w:val="20"/>
                <w:szCs w:val="20"/>
                <w:lang w:val="en-US"/>
              </w:rPr>
            </w:pPr>
          </w:p>
        </w:tc>
        <w:tc>
          <w:tcPr>
            <w:tcW w:w="1310" w:type="dxa"/>
            <w:vMerge/>
            <w:shd w:val="clear" w:color="auto" w:fill="F2DBDB" w:themeFill="accent2" w:themeFillTint="33"/>
            <w:vAlign w:val="center"/>
          </w:tcPr>
          <w:p w14:paraId="0F9D1698" w14:textId="77777777" w:rsidR="002907A0" w:rsidRPr="00922031" w:rsidRDefault="002907A0" w:rsidP="002907A0">
            <w:pPr>
              <w:spacing w:after="0" w:line="240" w:lineRule="auto"/>
              <w:rPr>
                <w:rFonts w:cstheme="minorHAnsi"/>
                <w:b/>
                <w:sz w:val="20"/>
                <w:szCs w:val="20"/>
                <w:lang w:val="en-US"/>
              </w:rPr>
            </w:pPr>
          </w:p>
        </w:tc>
        <w:tc>
          <w:tcPr>
            <w:tcW w:w="1402" w:type="dxa"/>
            <w:noWrap/>
            <w:vAlign w:val="bottom"/>
          </w:tcPr>
          <w:p w14:paraId="18789013"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IV </w:t>
            </w:r>
          </w:p>
        </w:tc>
        <w:tc>
          <w:tcPr>
            <w:tcW w:w="825" w:type="dxa"/>
            <w:vAlign w:val="bottom"/>
          </w:tcPr>
          <w:p w14:paraId="643BEDFC" w14:textId="77777777" w:rsidR="002907A0" w:rsidRPr="005808FC" w:rsidRDefault="002907A0" w:rsidP="005808FC">
            <w:pPr>
              <w:spacing w:after="0" w:line="240" w:lineRule="auto"/>
              <w:jc w:val="right"/>
              <w:rPr>
                <w:sz w:val="20"/>
                <w:szCs w:val="20"/>
                <w:lang w:val="en-US"/>
              </w:rPr>
            </w:pPr>
            <w:r w:rsidRPr="003E50D1">
              <w:rPr>
                <w:sz w:val="20"/>
                <w:szCs w:val="20"/>
                <w:lang w:val="en-US"/>
              </w:rPr>
              <w:t>76</w:t>
            </w:r>
          </w:p>
        </w:tc>
        <w:tc>
          <w:tcPr>
            <w:tcW w:w="1147" w:type="dxa"/>
            <w:noWrap/>
            <w:vAlign w:val="bottom"/>
          </w:tcPr>
          <w:p w14:paraId="6A25C884" w14:textId="77777777" w:rsidR="002907A0" w:rsidRPr="005808FC" w:rsidRDefault="002907A0" w:rsidP="005808FC">
            <w:pPr>
              <w:spacing w:after="0" w:line="240" w:lineRule="auto"/>
              <w:jc w:val="right"/>
              <w:rPr>
                <w:sz w:val="20"/>
                <w:szCs w:val="20"/>
              </w:rPr>
            </w:pPr>
            <w:r w:rsidRPr="003E50D1">
              <w:rPr>
                <w:sz w:val="20"/>
                <w:szCs w:val="20"/>
              </w:rPr>
              <w:t>161,1</w:t>
            </w:r>
          </w:p>
        </w:tc>
        <w:tc>
          <w:tcPr>
            <w:tcW w:w="876" w:type="dxa"/>
            <w:noWrap/>
            <w:vAlign w:val="bottom"/>
          </w:tcPr>
          <w:p w14:paraId="468A6657" w14:textId="77777777" w:rsidR="002907A0" w:rsidRPr="005808FC" w:rsidRDefault="002907A0" w:rsidP="005808FC">
            <w:pPr>
              <w:spacing w:after="0" w:line="240" w:lineRule="auto"/>
              <w:jc w:val="right"/>
              <w:rPr>
                <w:sz w:val="20"/>
                <w:szCs w:val="20"/>
                <w:lang w:val="en-US"/>
              </w:rPr>
            </w:pPr>
            <w:r w:rsidRPr="003E50D1">
              <w:rPr>
                <w:sz w:val="20"/>
                <w:szCs w:val="20"/>
                <w:lang w:val="en-US"/>
              </w:rPr>
              <w:t>512,2</w:t>
            </w:r>
          </w:p>
        </w:tc>
        <w:tc>
          <w:tcPr>
            <w:tcW w:w="702" w:type="dxa"/>
            <w:noWrap/>
            <w:vAlign w:val="bottom"/>
          </w:tcPr>
          <w:p w14:paraId="4684F125"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842" w:type="dxa"/>
            <w:noWrap/>
            <w:vAlign w:val="bottom"/>
          </w:tcPr>
          <w:p w14:paraId="7523F49A" w14:textId="77777777" w:rsidR="002907A0" w:rsidRPr="005808FC" w:rsidRDefault="002907A0" w:rsidP="005808FC">
            <w:pPr>
              <w:spacing w:after="0" w:line="240" w:lineRule="auto"/>
              <w:jc w:val="right"/>
              <w:rPr>
                <w:sz w:val="20"/>
                <w:szCs w:val="20"/>
                <w:lang w:val="en-US"/>
              </w:rPr>
            </w:pPr>
            <w:r w:rsidRPr="003E50D1">
              <w:rPr>
                <w:sz w:val="20"/>
                <w:szCs w:val="20"/>
                <w:lang w:val="en-US"/>
              </w:rPr>
              <w:t>0,02</w:t>
            </w:r>
          </w:p>
        </w:tc>
        <w:tc>
          <w:tcPr>
            <w:tcW w:w="1014" w:type="dxa"/>
            <w:noWrap/>
            <w:vAlign w:val="bottom"/>
          </w:tcPr>
          <w:p w14:paraId="7F6BA1D1" w14:textId="77777777" w:rsidR="002907A0" w:rsidRPr="005808FC" w:rsidRDefault="002907A0" w:rsidP="005808FC">
            <w:pPr>
              <w:spacing w:after="0" w:line="240" w:lineRule="auto"/>
              <w:jc w:val="right"/>
              <w:rPr>
                <w:sz w:val="20"/>
                <w:szCs w:val="20"/>
                <w:lang w:val="en-US"/>
              </w:rPr>
            </w:pPr>
            <w:r w:rsidRPr="003E50D1">
              <w:rPr>
                <w:sz w:val="20"/>
                <w:szCs w:val="20"/>
                <w:lang w:val="en-US"/>
              </w:rPr>
              <w:t>517,8</w:t>
            </w:r>
          </w:p>
        </w:tc>
      </w:tr>
      <w:tr w:rsidR="002907A0" w:rsidRPr="00922031" w14:paraId="014BEDE7" w14:textId="77777777" w:rsidTr="005808FC">
        <w:trPr>
          <w:trHeight w:val="227"/>
        </w:trPr>
        <w:tc>
          <w:tcPr>
            <w:tcW w:w="965" w:type="dxa"/>
            <w:vMerge/>
            <w:shd w:val="clear" w:color="auto" w:fill="F2DBDB" w:themeFill="accent2" w:themeFillTint="33"/>
            <w:vAlign w:val="center"/>
          </w:tcPr>
          <w:p w14:paraId="2CC1CD3D" w14:textId="77777777" w:rsidR="002907A0" w:rsidRPr="00922031" w:rsidRDefault="002907A0" w:rsidP="002907A0">
            <w:pPr>
              <w:spacing w:after="0" w:line="240" w:lineRule="auto"/>
              <w:rPr>
                <w:rFonts w:cstheme="minorHAnsi"/>
                <w:b/>
                <w:sz w:val="20"/>
                <w:szCs w:val="20"/>
                <w:lang w:val="en-US"/>
              </w:rPr>
            </w:pPr>
          </w:p>
        </w:tc>
        <w:tc>
          <w:tcPr>
            <w:tcW w:w="1310" w:type="dxa"/>
            <w:vMerge/>
            <w:shd w:val="clear" w:color="auto" w:fill="F2DBDB" w:themeFill="accent2" w:themeFillTint="33"/>
            <w:noWrap/>
            <w:vAlign w:val="center"/>
          </w:tcPr>
          <w:p w14:paraId="21EB71AE" w14:textId="77777777" w:rsidR="002907A0" w:rsidRPr="00922031" w:rsidRDefault="002907A0" w:rsidP="002907A0">
            <w:pPr>
              <w:spacing w:after="0" w:line="240" w:lineRule="auto"/>
              <w:jc w:val="center"/>
              <w:rPr>
                <w:rFonts w:cstheme="minorHAnsi"/>
                <w:b/>
                <w:sz w:val="20"/>
                <w:szCs w:val="20"/>
                <w:lang w:val="en-US"/>
              </w:rPr>
            </w:pPr>
          </w:p>
        </w:tc>
        <w:tc>
          <w:tcPr>
            <w:tcW w:w="1402" w:type="dxa"/>
            <w:shd w:val="clear" w:color="auto" w:fill="auto"/>
            <w:noWrap/>
            <w:vAlign w:val="bottom"/>
          </w:tcPr>
          <w:p w14:paraId="6074F5DA" w14:textId="77777777" w:rsidR="002907A0" w:rsidRPr="005808FC" w:rsidRDefault="002907A0" w:rsidP="005808FC">
            <w:pPr>
              <w:spacing w:after="0" w:line="240" w:lineRule="auto"/>
              <w:rPr>
                <w:sz w:val="20"/>
                <w:szCs w:val="20"/>
                <w:lang w:val="en-US"/>
              </w:rPr>
            </w:pPr>
            <w:r w:rsidRPr="003E50D1">
              <w:rPr>
                <w:sz w:val="20"/>
                <w:szCs w:val="20"/>
                <w:lang w:val="en-US"/>
              </w:rPr>
              <w:t>UKUPNO</w:t>
            </w:r>
          </w:p>
        </w:tc>
        <w:tc>
          <w:tcPr>
            <w:tcW w:w="825" w:type="dxa"/>
            <w:shd w:val="clear" w:color="auto" w:fill="auto"/>
            <w:vAlign w:val="bottom"/>
          </w:tcPr>
          <w:p w14:paraId="02089DA4" w14:textId="77777777" w:rsidR="002907A0" w:rsidRPr="005808FC" w:rsidRDefault="002907A0" w:rsidP="005808FC">
            <w:pPr>
              <w:spacing w:after="0" w:line="240" w:lineRule="auto"/>
              <w:jc w:val="right"/>
              <w:rPr>
                <w:sz w:val="20"/>
                <w:szCs w:val="20"/>
              </w:rPr>
            </w:pPr>
            <w:r w:rsidRPr="003E50D1">
              <w:rPr>
                <w:sz w:val="20"/>
                <w:szCs w:val="20"/>
                <w:lang w:val="en-US"/>
              </w:rPr>
              <w:t>628</w:t>
            </w:r>
          </w:p>
        </w:tc>
        <w:tc>
          <w:tcPr>
            <w:tcW w:w="1147" w:type="dxa"/>
            <w:shd w:val="clear" w:color="auto" w:fill="auto"/>
            <w:noWrap/>
            <w:vAlign w:val="bottom"/>
          </w:tcPr>
          <w:p w14:paraId="1F945035" w14:textId="77777777" w:rsidR="002907A0" w:rsidRPr="005808FC" w:rsidRDefault="002907A0" w:rsidP="005808FC">
            <w:pPr>
              <w:spacing w:after="0" w:line="240" w:lineRule="auto"/>
              <w:jc w:val="right"/>
              <w:rPr>
                <w:sz w:val="20"/>
                <w:szCs w:val="20"/>
              </w:rPr>
            </w:pPr>
            <w:r w:rsidRPr="003E50D1">
              <w:rPr>
                <w:sz w:val="20"/>
                <w:szCs w:val="20"/>
              </w:rPr>
              <w:t>1331</w:t>
            </w:r>
          </w:p>
        </w:tc>
        <w:tc>
          <w:tcPr>
            <w:tcW w:w="876" w:type="dxa"/>
            <w:shd w:val="clear" w:color="auto" w:fill="auto"/>
            <w:noWrap/>
            <w:vAlign w:val="bottom"/>
          </w:tcPr>
          <w:p w14:paraId="17D5BA81" w14:textId="77777777" w:rsidR="002907A0" w:rsidRPr="005808FC" w:rsidRDefault="002907A0" w:rsidP="005808FC">
            <w:pPr>
              <w:spacing w:after="0" w:line="240" w:lineRule="auto"/>
              <w:jc w:val="right"/>
              <w:rPr>
                <w:sz w:val="20"/>
                <w:szCs w:val="20"/>
              </w:rPr>
            </w:pPr>
            <w:r w:rsidRPr="003E50D1">
              <w:rPr>
                <w:sz w:val="20"/>
                <w:szCs w:val="20"/>
                <w:lang w:val="en-US"/>
              </w:rPr>
              <w:t>4183,8</w:t>
            </w:r>
          </w:p>
        </w:tc>
        <w:tc>
          <w:tcPr>
            <w:tcW w:w="702" w:type="dxa"/>
            <w:shd w:val="clear" w:color="auto" w:fill="auto"/>
            <w:noWrap/>
            <w:vAlign w:val="bottom"/>
          </w:tcPr>
          <w:p w14:paraId="7D60A8A6" w14:textId="77777777" w:rsidR="002907A0" w:rsidRPr="005808FC" w:rsidRDefault="002907A0" w:rsidP="005808FC">
            <w:pPr>
              <w:spacing w:after="0" w:line="240" w:lineRule="auto"/>
              <w:jc w:val="right"/>
              <w:rPr>
                <w:sz w:val="20"/>
                <w:szCs w:val="20"/>
              </w:rPr>
            </w:pPr>
            <w:r w:rsidRPr="003E50D1">
              <w:rPr>
                <w:sz w:val="20"/>
                <w:szCs w:val="20"/>
                <w:lang w:val="en-US"/>
              </w:rPr>
              <w:t>0,25</w:t>
            </w:r>
          </w:p>
        </w:tc>
        <w:tc>
          <w:tcPr>
            <w:tcW w:w="842" w:type="dxa"/>
            <w:shd w:val="clear" w:color="auto" w:fill="auto"/>
            <w:noWrap/>
            <w:vAlign w:val="bottom"/>
          </w:tcPr>
          <w:p w14:paraId="0032D495" w14:textId="77777777" w:rsidR="002907A0" w:rsidRPr="005808FC" w:rsidRDefault="002907A0" w:rsidP="005808FC">
            <w:pPr>
              <w:spacing w:after="0" w:line="240" w:lineRule="auto"/>
              <w:jc w:val="right"/>
              <w:rPr>
                <w:sz w:val="20"/>
                <w:szCs w:val="20"/>
              </w:rPr>
            </w:pPr>
            <w:r w:rsidRPr="003E50D1">
              <w:rPr>
                <w:sz w:val="20"/>
                <w:szCs w:val="20"/>
                <w:lang w:val="en-US"/>
              </w:rPr>
              <w:t>0.14</w:t>
            </w:r>
          </w:p>
        </w:tc>
        <w:tc>
          <w:tcPr>
            <w:tcW w:w="1014" w:type="dxa"/>
            <w:shd w:val="clear" w:color="auto" w:fill="auto"/>
            <w:noWrap/>
            <w:vAlign w:val="bottom"/>
          </w:tcPr>
          <w:p w14:paraId="3911F760" w14:textId="77777777" w:rsidR="002907A0" w:rsidRPr="005808FC" w:rsidRDefault="002907A0" w:rsidP="005808FC">
            <w:pPr>
              <w:spacing w:after="0" w:line="240" w:lineRule="auto"/>
              <w:jc w:val="right"/>
              <w:rPr>
                <w:sz w:val="20"/>
                <w:szCs w:val="20"/>
              </w:rPr>
            </w:pPr>
            <w:r w:rsidRPr="003E50D1">
              <w:rPr>
                <w:sz w:val="20"/>
                <w:szCs w:val="20"/>
                <w:lang w:val="en-US"/>
              </w:rPr>
              <w:t>4231.9</w:t>
            </w:r>
          </w:p>
        </w:tc>
      </w:tr>
      <w:tr w:rsidR="002907A0" w:rsidRPr="00922031" w14:paraId="60EE0582" w14:textId="77777777" w:rsidTr="005808FC">
        <w:trPr>
          <w:trHeight w:val="227"/>
        </w:trPr>
        <w:tc>
          <w:tcPr>
            <w:tcW w:w="965" w:type="dxa"/>
            <w:vMerge/>
            <w:shd w:val="clear" w:color="auto" w:fill="F2DBDB" w:themeFill="accent2" w:themeFillTint="33"/>
            <w:vAlign w:val="center"/>
          </w:tcPr>
          <w:p w14:paraId="58F2787B" w14:textId="77777777" w:rsidR="002907A0" w:rsidRPr="00922031" w:rsidRDefault="002907A0" w:rsidP="002907A0">
            <w:pPr>
              <w:spacing w:after="0" w:line="240" w:lineRule="auto"/>
              <w:rPr>
                <w:rFonts w:cstheme="minorHAnsi"/>
                <w:b/>
                <w:sz w:val="20"/>
                <w:szCs w:val="20"/>
                <w:lang w:val="en-US"/>
              </w:rPr>
            </w:pPr>
          </w:p>
        </w:tc>
        <w:tc>
          <w:tcPr>
            <w:tcW w:w="1310" w:type="dxa"/>
            <w:vMerge w:val="restart"/>
            <w:shd w:val="clear" w:color="auto" w:fill="F2DBDB" w:themeFill="accent2" w:themeFillTint="33"/>
            <w:noWrap/>
            <w:vAlign w:val="center"/>
          </w:tcPr>
          <w:p w14:paraId="6904DE0D"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Gradski</w:t>
            </w:r>
          </w:p>
        </w:tc>
        <w:tc>
          <w:tcPr>
            <w:tcW w:w="1402" w:type="dxa"/>
            <w:noWrap/>
            <w:vAlign w:val="bottom"/>
          </w:tcPr>
          <w:p w14:paraId="7AC77614" w14:textId="77777777" w:rsidR="002907A0" w:rsidRPr="005808FC" w:rsidRDefault="002907A0" w:rsidP="005808FC">
            <w:pPr>
              <w:spacing w:after="0" w:line="240" w:lineRule="auto"/>
              <w:rPr>
                <w:sz w:val="20"/>
                <w:szCs w:val="20"/>
                <w:lang w:val="en-US"/>
              </w:rPr>
            </w:pPr>
            <w:r w:rsidRPr="003E50D1">
              <w:rPr>
                <w:sz w:val="20"/>
                <w:szCs w:val="20"/>
                <w:lang w:val="en-US"/>
              </w:rPr>
              <w:t>Conventional</w:t>
            </w:r>
          </w:p>
        </w:tc>
        <w:tc>
          <w:tcPr>
            <w:tcW w:w="825" w:type="dxa"/>
            <w:vAlign w:val="bottom"/>
          </w:tcPr>
          <w:p w14:paraId="5109E9E8" w14:textId="77777777" w:rsidR="002907A0" w:rsidRPr="005808FC" w:rsidRDefault="002907A0" w:rsidP="005808FC">
            <w:pPr>
              <w:spacing w:after="0" w:line="240" w:lineRule="auto"/>
              <w:jc w:val="right"/>
              <w:rPr>
                <w:sz w:val="20"/>
                <w:szCs w:val="20"/>
                <w:lang w:val="en-US"/>
              </w:rPr>
            </w:pPr>
            <w:r w:rsidRPr="003E50D1">
              <w:rPr>
                <w:sz w:val="20"/>
                <w:szCs w:val="20"/>
                <w:lang w:val="en-US"/>
              </w:rPr>
              <w:t>99</w:t>
            </w:r>
          </w:p>
        </w:tc>
        <w:tc>
          <w:tcPr>
            <w:tcW w:w="1147" w:type="dxa"/>
            <w:noWrap/>
            <w:vAlign w:val="bottom"/>
          </w:tcPr>
          <w:p w14:paraId="045F40E0" w14:textId="77777777" w:rsidR="002907A0" w:rsidRPr="005808FC" w:rsidRDefault="002907A0" w:rsidP="005808FC">
            <w:pPr>
              <w:spacing w:after="0" w:line="240" w:lineRule="auto"/>
              <w:jc w:val="right"/>
              <w:rPr>
                <w:sz w:val="20"/>
                <w:szCs w:val="20"/>
              </w:rPr>
            </w:pPr>
            <w:r w:rsidRPr="003E50D1">
              <w:rPr>
                <w:sz w:val="20"/>
                <w:szCs w:val="20"/>
              </w:rPr>
              <w:t>3156,4</w:t>
            </w:r>
          </w:p>
        </w:tc>
        <w:tc>
          <w:tcPr>
            <w:tcW w:w="876" w:type="dxa"/>
            <w:noWrap/>
            <w:vAlign w:val="bottom"/>
          </w:tcPr>
          <w:p w14:paraId="554891D0" w14:textId="77777777" w:rsidR="002907A0" w:rsidRPr="005808FC" w:rsidRDefault="002907A0" w:rsidP="005808FC">
            <w:pPr>
              <w:spacing w:after="0" w:line="240" w:lineRule="auto"/>
              <w:jc w:val="right"/>
              <w:rPr>
                <w:sz w:val="20"/>
                <w:szCs w:val="20"/>
                <w:lang w:val="en-US"/>
              </w:rPr>
            </w:pPr>
            <w:r w:rsidRPr="003E50D1">
              <w:rPr>
                <w:sz w:val="20"/>
                <w:szCs w:val="20"/>
                <w:lang w:val="en-US"/>
              </w:rPr>
              <w:t>9890,8</w:t>
            </w:r>
          </w:p>
        </w:tc>
        <w:tc>
          <w:tcPr>
            <w:tcW w:w="702" w:type="dxa"/>
            <w:noWrap/>
            <w:vAlign w:val="bottom"/>
          </w:tcPr>
          <w:p w14:paraId="5C0EBA7E" w14:textId="77777777" w:rsidR="002907A0" w:rsidRPr="005808FC" w:rsidRDefault="002907A0" w:rsidP="005808FC">
            <w:pPr>
              <w:spacing w:after="0" w:line="240" w:lineRule="auto"/>
              <w:jc w:val="right"/>
              <w:rPr>
                <w:sz w:val="20"/>
                <w:szCs w:val="20"/>
                <w:lang w:val="en-US"/>
              </w:rPr>
            </w:pPr>
            <w:r w:rsidRPr="003E50D1">
              <w:rPr>
                <w:sz w:val="20"/>
                <w:szCs w:val="20"/>
                <w:lang w:val="en-US"/>
              </w:rPr>
              <w:t>1,69</w:t>
            </w:r>
          </w:p>
        </w:tc>
        <w:tc>
          <w:tcPr>
            <w:tcW w:w="842" w:type="dxa"/>
            <w:noWrap/>
            <w:vAlign w:val="bottom"/>
          </w:tcPr>
          <w:p w14:paraId="3C155D20" w14:textId="77777777" w:rsidR="002907A0" w:rsidRPr="005808FC" w:rsidRDefault="002907A0" w:rsidP="005808FC">
            <w:pPr>
              <w:spacing w:after="0" w:line="240" w:lineRule="auto"/>
              <w:jc w:val="right"/>
              <w:rPr>
                <w:sz w:val="20"/>
                <w:szCs w:val="20"/>
                <w:lang w:val="en-US"/>
              </w:rPr>
            </w:pPr>
            <w:r w:rsidRPr="003E50D1">
              <w:rPr>
                <w:sz w:val="20"/>
                <w:szCs w:val="20"/>
                <w:lang w:val="en-US"/>
              </w:rPr>
              <w:t>0,31</w:t>
            </w:r>
          </w:p>
        </w:tc>
        <w:tc>
          <w:tcPr>
            <w:tcW w:w="1014" w:type="dxa"/>
            <w:noWrap/>
            <w:vAlign w:val="bottom"/>
          </w:tcPr>
          <w:p w14:paraId="1AA256F0" w14:textId="77777777" w:rsidR="002907A0" w:rsidRPr="005808FC" w:rsidRDefault="002907A0" w:rsidP="005808FC">
            <w:pPr>
              <w:spacing w:after="0" w:line="240" w:lineRule="auto"/>
              <w:jc w:val="right"/>
              <w:rPr>
                <w:sz w:val="20"/>
                <w:szCs w:val="20"/>
                <w:lang w:val="en-US"/>
              </w:rPr>
            </w:pPr>
            <w:r w:rsidRPr="003E50D1">
              <w:rPr>
                <w:sz w:val="20"/>
                <w:szCs w:val="20"/>
                <w:lang w:val="en-US"/>
              </w:rPr>
              <w:t>10021,1</w:t>
            </w:r>
          </w:p>
        </w:tc>
      </w:tr>
      <w:tr w:rsidR="002907A0" w:rsidRPr="00922031" w14:paraId="17D29256" w14:textId="77777777" w:rsidTr="005808FC">
        <w:trPr>
          <w:trHeight w:val="227"/>
        </w:trPr>
        <w:tc>
          <w:tcPr>
            <w:tcW w:w="965" w:type="dxa"/>
            <w:vMerge/>
            <w:shd w:val="clear" w:color="auto" w:fill="F2DBDB" w:themeFill="accent2" w:themeFillTint="33"/>
            <w:vAlign w:val="center"/>
          </w:tcPr>
          <w:p w14:paraId="265641A4" w14:textId="77777777" w:rsidR="002907A0" w:rsidRPr="00922031" w:rsidRDefault="002907A0" w:rsidP="002907A0">
            <w:pPr>
              <w:spacing w:after="0" w:line="240" w:lineRule="auto"/>
              <w:rPr>
                <w:rFonts w:cstheme="minorHAnsi"/>
                <w:sz w:val="20"/>
                <w:szCs w:val="20"/>
                <w:lang w:val="en-US"/>
              </w:rPr>
            </w:pPr>
          </w:p>
        </w:tc>
        <w:tc>
          <w:tcPr>
            <w:tcW w:w="1310" w:type="dxa"/>
            <w:vMerge/>
            <w:shd w:val="clear" w:color="auto" w:fill="F2DBDB" w:themeFill="accent2" w:themeFillTint="33"/>
            <w:vAlign w:val="center"/>
          </w:tcPr>
          <w:p w14:paraId="5620FC41" w14:textId="77777777" w:rsidR="002907A0" w:rsidRPr="00922031" w:rsidRDefault="002907A0" w:rsidP="002907A0">
            <w:pPr>
              <w:spacing w:after="0" w:line="240" w:lineRule="auto"/>
              <w:rPr>
                <w:rFonts w:cstheme="minorHAnsi"/>
                <w:sz w:val="20"/>
                <w:szCs w:val="20"/>
                <w:lang w:val="en-US"/>
              </w:rPr>
            </w:pPr>
          </w:p>
        </w:tc>
        <w:tc>
          <w:tcPr>
            <w:tcW w:w="1402" w:type="dxa"/>
            <w:noWrap/>
            <w:vAlign w:val="bottom"/>
          </w:tcPr>
          <w:p w14:paraId="4A7A34FC" w14:textId="4187C961" w:rsidR="002907A0" w:rsidRPr="005808FC" w:rsidRDefault="002907A0" w:rsidP="005808FC">
            <w:pPr>
              <w:spacing w:after="0" w:line="240" w:lineRule="auto"/>
              <w:rPr>
                <w:sz w:val="20"/>
                <w:szCs w:val="20"/>
                <w:lang w:val="en-US"/>
              </w:rPr>
            </w:pPr>
            <w:r w:rsidRPr="003E50D1">
              <w:rPr>
                <w:sz w:val="20"/>
                <w:szCs w:val="20"/>
                <w:lang w:val="en-US"/>
              </w:rPr>
              <w:t>Euro</w:t>
            </w:r>
            <w:r w:rsidR="000509A0">
              <w:rPr>
                <w:sz w:val="20"/>
                <w:szCs w:val="20"/>
                <w:lang w:val="en-US"/>
              </w:rPr>
              <w:t xml:space="preserve"> i </w:t>
            </w:r>
          </w:p>
        </w:tc>
        <w:tc>
          <w:tcPr>
            <w:tcW w:w="825" w:type="dxa"/>
            <w:vAlign w:val="bottom"/>
          </w:tcPr>
          <w:p w14:paraId="4D4F8C8D" w14:textId="77777777" w:rsidR="002907A0" w:rsidRPr="005808FC" w:rsidRDefault="002907A0" w:rsidP="005808FC">
            <w:pPr>
              <w:spacing w:after="0" w:line="240" w:lineRule="auto"/>
              <w:jc w:val="right"/>
              <w:rPr>
                <w:sz w:val="20"/>
                <w:szCs w:val="20"/>
                <w:lang w:val="en-US"/>
              </w:rPr>
            </w:pPr>
            <w:r w:rsidRPr="003E50D1">
              <w:rPr>
                <w:sz w:val="20"/>
                <w:szCs w:val="20"/>
                <w:lang w:val="en-US"/>
              </w:rPr>
              <w:t>19</w:t>
            </w:r>
          </w:p>
        </w:tc>
        <w:tc>
          <w:tcPr>
            <w:tcW w:w="1147" w:type="dxa"/>
            <w:noWrap/>
            <w:vAlign w:val="bottom"/>
          </w:tcPr>
          <w:p w14:paraId="7FCFD15D" w14:textId="77777777" w:rsidR="002907A0" w:rsidRPr="005808FC" w:rsidRDefault="002907A0" w:rsidP="005808FC">
            <w:pPr>
              <w:spacing w:after="0" w:line="240" w:lineRule="auto"/>
              <w:jc w:val="right"/>
              <w:rPr>
                <w:sz w:val="20"/>
                <w:szCs w:val="20"/>
              </w:rPr>
            </w:pPr>
            <w:r w:rsidRPr="003E50D1">
              <w:rPr>
                <w:sz w:val="20"/>
                <w:szCs w:val="20"/>
              </w:rPr>
              <w:t>605,8</w:t>
            </w:r>
          </w:p>
        </w:tc>
        <w:tc>
          <w:tcPr>
            <w:tcW w:w="876" w:type="dxa"/>
            <w:noWrap/>
            <w:vAlign w:val="bottom"/>
          </w:tcPr>
          <w:p w14:paraId="629FDC50" w14:textId="77777777" w:rsidR="002907A0" w:rsidRPr="005808FC" w:rsidRDefault="002907A0" w:rsidP="005808FC">
            <w:pPr>
              <w:spacing w:after="0" w:line="240" w:lineRule="auto"/>
              <w:jc w:val="right"/>
              <w:rPr>
                <w:sz w:val="20"/>
                <w:szCs w:val="20"/>
                <w:lang w:val="en-US"/>
              </w:rPr>
            </w:pPr>
            <w:r w:rsidRPr="003E50D1">
              <w:rPr>
                <w:sz w:val="20"/>
                <w:szCs w:val="20"/>
                <w:lang w:val="en-US"/>
              </w:rPr>
              <w:t>1898,2</w:t>
            </w:r>
          </w:p>
        </w:tc>
        <w:tc>
          <w:tcPr>
            <w:tcW w:w="702" w:type="dxa"/>
            <w:noWrap/>
            <w:vAlign w:val="bottom"/>
          </w:tcPr>
          <w:p w14:paraId="29D3C8E6" w14:textId="77777777" w:rsidR="002907A0" w:rsidRPr="005808FC" w:rsidRDefault="002907A0" w:rsidP="005808FC">
            <w:pPr>
              <w:spacing w:after="0" w:line="240" w:lineRule="auto"/>
              <w:jc w:val="right"/>
              <w:rPr>
                <w:sz w:val="20"/>
                <w:szCs w:val="20"/>
                <w:lang w:val="en-US"/>
              </w:rPr>
            </w:pPr>
            <w:r w:rsidRPr="003E50D1">
              <w:rPr>
                <w:sz w:val="20"/>
                <w:szCs w:val="20"/>
                <w:lang w:val="en-US"/>
              </w:rPr>
              <w:t>0,23</w:t>
            </w:r>
          </w:p>
        </w:tc>
        <w:tc>
          <w:tcPr>
            <w:tcW w:w="842" w:type="dxa"/>
            <w:noWrap/>
            <w:vAlign w:val="bottom"/>
          </w:tcPr>
          <w:p w14:paraId="3CCEDF3F" w14:textId="77777777" w:rsidR="002907A0" w:rsidRPr="005808FC" w:rsidRDefault="002907A0" w:rsidP="005808FC">
            <w:pPr>
              <w:spacing w:after="0" w:line="240" w:lineRule="auto"/>
              <w:jc w:val="right"/>
              <w:rPr>
                <w:sz w:val="20"/>
                <w:szCs w:val="20"/>
                <w:lang w:val="en-US"/>
              </w:rPr>
            </w:pPr>
            <w:r w:rsidRPr="003E50D1">
              <w:rPr>
                <w:sz w:val="20"/>
                <w:szCs w:val="20"/>
                <w:lang w:val="en-US"/>
              </w:rPr>
              <w:t>0,06</w:t>
            </w:r>
          </w:p>
        </w:tc>
        <w:tc>
          <w:tcPr>
            <w:tcW w:w="1014" w:type="dxa"/>
            <w:noWrap/>
            <w:vAlign w:val="bottom"/>
          </w:tcPr>
          <w:p w14:paraId="6757367F" w14:textId="77777777" w:rsidR="002907A0" w:rsidRPr="005808FC" w:rsidRDefault="002907A0" w:rsidP="005808FC">
            <w:pPr>
              <w:spacing w:after="0" w:line="240" w:lineRule="auto"/>
              <w:jc w:val="right"/>
              <w:rPr>
                <w:sz w:val="20"/>
                <w:szCs w:val="20"/>
                <w:lang w:val="en-US"/>
              </w:rPr>
            </w:pPr>
            <w:r w:rsidRPr="003E50D1">
              <w:rPr>
                <w:sz w:val="20"/>
                <w:szCs w:val="20"/>
                <w:lang w:val="en-US"/>
              </w:rPr>
              <w:t>1921,3</w:t>
            </w:r>
          </w:p>
        </w:tc>
      </w:tr>
      <w:tr w:rsidR="002907A0" w:rsidRPr="00922031" w14:paraId="280844E2" w14:textId="77777777" w:rsidTr="005808FC">
        <w:trPr>
          <w:trHeight w:val="227"/>
        </w:trPr>
        <w:tc>
          <w:tcPr>
            <w:tcW w:w="965" w:type="dxa"/>
            <w:vMerge/>
            <w:shd w:val="clear" w:color="auto" w:fill="F2DBDB" w:themeFill="accent2" w:themeFillTint="33"/>
            <w:vAlign w:val="center"/>
          </w:tcPr>
          <w:p w14:paraId="0444ABD0" w14:textId="77777777" w:rsidR="002907A0" w:rsidRPr="00922031" w:rsidRDefault="002907A0" w:rsidP="002907A0">
            <w:pPr>
              <w:spacing w:after="0" w:line="240" w:lineRule="auto"/>
              <w:rPr>
                <w:rFonts w:cstheme="minorHAnsi"/>
                <w:sz w:val="20"/>
                <w:szCs w:val="20"/>
                <w:lang w:val="en-US"/>
              </w:rPr>
            </w:pPr>
          </w:p>
        </w:tc>
        <w:tc>
          <w:tcPr>
            <w:tcW w:w="1310" w:type="dxa"/>
            <w:vMerge/>
            <w:shd w:val="clear" w:color="auto" w:fill="F2DBDB" w:themeFill="accent2" w:themeFillTint="33"/>
            <w:vAlign w:val="center"/>
          </w:tcPr>
          <w:p w14:paraId="597FF160" w14:textId="77777777" w:rsidR="002907A0" w:rsidRPr="00922031" w:rsidRDefault="002907A0" w:rsidP="002907A0">
            <w:pPr>
              <w:spacing w:after="0" w:line="240" w:lineRule="auto"/>
              <w:rPr>
                <w:rFonts w:cstheme="minorHAnsi"/>
                <w:sz w:val="20"/>
                <w:szCs w:val="20"/>
                <w:lang w:val="en-US"/>
              </w:rPr>
            </w:pPr>
          </w:p>
        </w:tc>
        <w:tc>
          <w:tcPr>
            <w:tcW w:w="1402" w:type="dxa"/>
            <w:noWrap/>
            <w:vAlign w:val="bottom"/>
          </w:tcPr>
          <w:p w14:paraId="1C5BCD2A"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II </w:t>
            </w:r>
          </w:p>
        </w:tc>
        <w:tc>
          <w:tcPr>
            <w:tcW w:w="825" w:type="dxa"/>
            <w:vAlign w:val="bottom"/>
          </w:tcPr>
          <w:p w14:paraId="08DA7D35" w14:textId="77777777" w:rsidR="002907A0" w:rsidRPr="005808FC" w:rsidRDefault="002907A0" w:rsidP="005808FC">
            <w:pPr>
              <w:spacing w:after="0" w:line="240" w:lineRule="auto"/>
              <w:jc w:val="right"/>
              <w:rPr>
                <w:sz w:val="20"/>
                <w:szCs w:val="20"/>
                <w:lang w:val="en-US"/>
              </w:rPr>
            </w:pPr>
            <w:r w:rsidRPr="003E50D1">
              <w:rPr>
                <w:sz w:val="20"/>
                <w:szCs w:val="20"/>
                <w:lang w:val="en-US"/>
              </w:rPr>
              <w:t>82</w:t>
            </w:r>
          </w:p>
        </w:tc>
        <w:tc>
          <w:tcPr>
            <w:tcW w:w="1147" w:type="dxa"/>
            <w:noWrap/>
            <w:vAlign w:val="bottom"/>
          </w:tcPr>
          <w:p w14:paraId="41020F87" w14:textId="77777777" w:rsidR="002907A0" w:rsidRPr="005808FC" w:rsidRDefault="002907A0" w:rsidP="005808FC">
            <w:pPr>
              <w:spacing w:after="0" w:line="240" w:lineRule="auto"/>
              <w:jc w:val="right"/>
              <w:rPr>
                <w:sz w:val="20"/>
                <w:szCs w:val="20"/>
              </w:rPr>
            </w:pPr>
            <w:r w:rsidRPr="003E50D1">
              <w:rPr>
                <w:sz w:val="20"/>
                <w:szCs w:val="20"/>
              </w:rPr>
              <w:t>2614,4</w:t>
            </w:r>
          </w:p>
        </w:tc>
        <w:tc>
          <w:tcPr>
            <w:tcW w:w="876" w:type="dxa"/>
            <w:noWrap/>
            <w:vAlign w:val="bottom"/>
          </w:tcPr>
          <w:p w14:paraId="071A8D81" w14:textId="77777777" w:rsidR="002907A0" w:rsidRPr="005808FC" w:rsidRDefault="002907A0" w:rsidP="005808FC">
            <w:pPr>
              <w:spacing w:after="0" w:line="240" w:lineRule="auto"/>
              <w:jc w:val="right"/>
              <w:rPr>
                <w:sz w:val="20"/>
                <w:szCs w:val="20"/>
                <w:lang w:val="en-US"/>
              </w:rPr>
            </w:pPr>
            <w:r w:rsidRPr="003E50D1">
              <w:rPr>
                <w:sz w:val="20"/>
                <w:szCs w:val="20"/>
                <w:lang w:val="en-US"/>
              </w:rPr>
              <w:t>8192,4</w:t>
            </w:r>
          </w:p>
        </w:tc>
        <w:tc>
          <w:tcPr>
            <w:tcW w:w="702" w:type="dxa"/>
            <w:noWrap/>
            <w:vAlign w:val="bottom"/>
          </w:tcPr>
          <w:p w14:paraId="20B35114" w14:textId="77777777" w:rsidR="002907A0" w:rsidRPr="005808FC" w:rsidRDefault="002907A0" w:rsidP="005808FC">
            <w:pPr>
              <w:spacing w:after="0" w:line="240" w:lineRule="auto"/>
              <w:jc w:val="right"/>
              <w:rPr>
                <w:sz w:val="20"/>
                <w:szCs w:val="20"/>
                <w:lang w:val="en-US"/>
              </w:rPr>
            </w:pPr>
            <w:r w:rsidRPr="003E50D1">
              <w:rPr>
                <w:sz w:val="20"/>
                <w:szCs w:val="20"/>
                <w:lang w:val="en-US"/>
              </w:rPr>
              <w:t>0,93</w:t>
            </w:r>
          </w:p>
        </w:tc>
        <w:tc>
          <w:tcPr>
            <w:tcW w:w="842" w:type="dxa"/>
            <w:noWrap/>
            <w:vAlign w:val="bottom"/>
          </w:tcPr>
          <w:p w14:paraId="1A3A1D1F" w14:textId="77777777" w:rsidR="002907A0" w:rsidRPr="005808FC" w:rsidRDefault="002907A0" w:rsidP="005808FC">
            <w:pPr>
              <w:spacing w:after="0" w:line="240" w:lineRule="auto"/>
              <w:jc w:val="right"/>
              <w:rPr>
                <w:sz w:val="20"/>
                <w:szCs w:val="20"/>
                <w:lang w:val="en-US"/>
              </w:rPr>
            </w:pPr>
            <w:r w:rsidRPr="003E50D1">
              <w:rPr>
                <w:sz w:val="20"/>
                <w:szCs w:val="20"/>
                <w:lang w:val="en-US"/>
              </w:rPr>
              <w:t>0,25</w:t>
            </w:r>
          </w:p>
        </w:tc>
        <w:tc>
          <w:tcPr>
            <w:tcW w:w="1014" w:type="dxa"/>
            <w:noWrap/>
            <w:vAlign w:val="bottom"/>
          </w:tcPr>
          <w:p w14:paraId="427BF239" w14:textId="77777777" w:rsidR="002907A0" w:rsidRPr="005808FC" w:rsidRDefault="002907A0" w:rsidP="005808FC">
            <w:pPr>
              <w:spacing w:after="0" w:line="240" w:lineRule="auto"/>
              <w:jc w:val="right"/>
              <w:rPr>
                <w:sz w:val="20"/>
                <w:szCs w:val="20"/>
                <w:lang w:val="en-US"/>
              </w:rPr>
            </w:pPr>
            <w:r w:rsidRPr="003E50D1">
              <w:rPr>
                <w:sz w:val="20"/>
                <w:szCs w:val="20"/>
                <w:lang w:val="en-US"/>
              </w:rPr>
              <w:t>8290,5</w:t>
            </w:r>
          </w:p>
        </w:tc>
      </w:tr>
      <w:tr w:rsidR="002907A0" w:rsidRPr="00922031" w14:paraId="20DA8C78" w14:textId="77777777" w:rsidTr="005808FC">
        <w:trPr>
          <w:trHeight w:val="227"/>
        </w:trPr>
        <w:tc>
          <w:tcPr>
            <w:tcW w:w="965" w:type="dxa"/>
            <w:vMerge/>
            <w:shd w:val="clear" w:color="auto" w:fill="F2DBDB" w:themeFill="accent2" w:themeFillTint="33"/>
            <w:vAlign w:val="center"/>
          </w:tcPr>
          <w:p w14:paraId="60475336" w14:textId="77777777" w:rsidR="002907A0" w:rsidRPr="00922031" w:rsidRDefault="002907A0" w:rsidP="002907A0">
            <w:pPr>
              <w:spacing w:after="0" w:line="240" w:lineRule="auto"/>
              <w:rPr>
                <w:rFonts w:cstheme="minorHAnsi"/>
                <w:sz w:val="20"/>
                <w:szCs w:val="20"/>
                <w:lang w:val="en-US"/>
              </w:rPr>
            </w:pPr>
          </w:p>
        </w:tc>
        <w:tc>
          <w:tcPr>
            <w:tcW w:w="1310" w:type="dxa"/>
            <w:vMerge/>
            <w:shd w:val="clear" w:color="auto" w:fill="F2DBDB" w:themeFill="accent2" w:themeFillTint="33"/>
            <w:vAlign w:val="center"/>
          </w:tcPr>
          <w:p w14:paraId="2B5038E7" w14:textId="77777777" w:rsidR="002907A0" w:rsidRPr="00922031" w:rsidRDefault="002907A0" w:rsidP="002907A0">
            <w:pPr>
              <w:spacing w:after="0" w:line="240" w:lineRule="auto"/>
              <w:rPr>
                <w:rFonts w:cstheme="minorHAnsi"/>
                <w:sz w:val="20"/>
                <w:szCs w:val="20"/>
                <w:lang w:val="en-US"/>
              </w:rPr>
            </w:pPr>
          </w:p>
        </w:tc>
        <w:tc>
          <w:tcPr>
            <w:tcW w:w="1402" w:type="dxa"/>
            <w:noWrap/>
            <w:vAlign w:val="bottom"/>
          </w:tcPr>
          <w:p w14:paraId="3FA3BA2E"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III </w:t>
            </w:r>
          </w:p>
        </w:tc>
        <w:tc>
          <w:tcPr>
            <w:tcW w:w="825" w:type="dxa"/>
            <w:vAlign w:val="bottom"/>
          </w:tcPr>
          <w:p w14:paraId="072A3C66" w14:textId="77777777" w:rsidR="002907A0" w:rsidRPr="005808FC" w:rsidRDefault="002907A0" w:rsidP="005808FC">
            <w:pPr>
              <w:spacing w:after="0" w:line="240" w:lineRule="auto"/>
              <w:jc w:val="right"/>
              <w:rPr>
                <w:sz w:val="20"/>
                <w:szCs w:val="20"/>
                <w:lang w:val="en-US"/>
              </w:rPr>
            </w:pPr>
            <w:r w:rsidRPr="003E50D1">
              <w:rPr>
                <w:sz w:val="20"/>
                <w:szCs w:val="20"/>
                <w:lang w:val="en-US"/>
              </w:rPr>
              <w:t>95</w:t>
            </w:r>
          </w:p>
        </w:tc>
        <w:tc>
          <w:tcPr>
            <w:tcW w:w="1147" w:type="dxa"/>
            <w:noWrap/>
            <w:vAlign w:val="bottom"/>
          </w:tcPr>
          <w:p w14:paraId="7A5BC5AE" w14:textId="77777777" w:rsidR="002907A0" w:rsidRPr="005808FC" w:rsidRDefault="002907A0" w:rsidP="005808FC">
            <w:pPr>
              <w:spacing w:after="0" w:line="240" w:lineRule="auto"/>
              <w:jc w:val="right"/>
              <w:rPr>
                <w:sz w:val="20"/>
                <w:szCs w:val="20"/>
              </w:rPr>
            </w:pPr>
            <w:r w:rsidRPr="003E50D1">
              <w:rPr>
                <w:sz w:val="20"/>
                <w:szCs w:val="20"/>
              </w:rPr>
              <w:t>3028,9</w:t>
            </w:r>
          </w:p>
        </w:tc>
        <w:tc>
          <w:tcPr>
            <w:tcW w:w="876" w:type="dxa"/>
            <w:noWrap/>
            <w:vAlign w:val="bottom"/>
          </w:tcPr>
          <w:p w14:paraId="2DBB9FFE" w14:textId="77777777" w:rsidR="002907A0" w:rsidRPr="005808FC" w:rsidRDefault="002907A0" w:rsidP="005808FC">
            <w:pPr>
              <w:spacing w:after="0" w:line="240" w:lineRule="auto"/>
              <w:jc w:val="right"/>
              <w:rPr>
                <w:sz w:val="20"/>
                <w:szCs w:val="20"/>
                <w:lang w:val="en-US"/>
              </w:rPr>
            </w:pPr>
            <w:r w:rsidRPr="003E50D1">
              <w:rPr>
                <w:sz w:val="20"/>
                <w:szCs w:val="20"/>
                <w:lang w:val="en-US"/>
              </w:rPr>
              <w:t>9491,2</w:t>
            </w:r>
          </w:p>
        </w:tc>
        <w:tc>
          <w:tcPr>
            <w:tcW w:w="702" w:type="dxa"/>
            <w:noWrap/>
            <w:vAlign w:val="bottom"/>
          </w:tcPr>
          <w:p w14:paraId="11F5AFD0" w14:textId="77777777" w:rsidR="002907A0" w:rsidRPr="005808FC" w:rsidRDefault="002907A0" w:rsidP="005808FC">
            <w:pPr>
              <w:spacing w:after="0" w:line="240" w:lineRule="auto"/>
              <w:jc w:val="right"/>
              <w:rPr>
                <w:sz w:val="20"/>
                <w:szCs w:val="20"/>
                <w:lang w:val="en-US"/>
              </w:rPr>
            </w:pPr>
            <w:r w:rsidRPr="003E50D1">
              <w:rPr>
                <w:sz w:val="20"/>
                <w:szCs w:val="20"/>
                <w:lang w:val="en-US"/>
              </w:rPr>
              <w:t>0,76</w:t>
            </w:r>
          </w:p>
        </w:tc>
        <w:tc>
          <w:tcPr>
            <w:tcW w:w="842" w:type="dxa"/>
            <w:noWrap/>
            <w:vAlign w:val="bottom"/>
          </w:tcPr>
          <w:p w14:paraId="19667E8E" w14:textId="77777777" w:rsidR="002907A0" w:rsidRPr="005808FC" w:rsidRDefault="002907A0" w:rsidP="005808FC">
            <w:pPr>
              <w:spacing w:after="0" w:line="240" w:lineRule="auto"/>
              <w:jc w:val="right"/>
              <w:rPr>
                <w:sz w:val="20"/>
                <w:szCs w:val="20"/>
                <w:lang w:val="en-US"/>
              </w:rPr>
            </w:pPr>
            <w:r w:rsidRPr="003E50D1">
              <w:rPr>
                <w:sz w:val="20"/>
                <w:szCs w:val="20"/>
                <w:lang w:val="en-US"/>
              </w:rPr>
              <w:t>0,29</w:t>
            </w:r>
          </w:p>
        </w:tc>
        <w:tc>
          <w:tcPr>
            <w:tcW w:w="1014" w:type="dxa"/>
            <w:noWrap/>
            <w:vAlign w:val="bottom"/>
          </w:tcPr>
          <w:p w14:paraId="0C11C5B6" w14:textId="77777777" w:rsidR="002907A0" w:rsidRPr="005808FC" w:rsidRDefault="002907A0" w:rsidP="005808FC">
            <w:pPr>
              <w:spacing w:after="0" w:line="240" w:lineRule="auto"/>
              <w:jc w:val="right"/>
              <w:rPr>
                <w:sz w:val="20"/>
                <w:szCs w:val="20"/>
                <w:lang w:val="en-US"/>
              </w:rPr>
            </w:pPr>
            <w:r w:rsidRPr="003E50D1">
              <w:rPr>
                <w:sz w:val="20"/>
                <w:szCs w:val="20"/>
                <w:lang w:val="en-US"/>
              </w:rPr>
              <w:t>9598,1</w:t>
            </w:r>
          </w:p>
        </w:tc>
      </w:tr>
      <w:tr w:rsidR="002907A0" w:rsidRPr="00922031" w14:paraId="24378D2D" w14:textId="77777777" w:rsidTr="005808FC">
        <w:trPr>
          <w:trHeight w:val="227"/>
        </w:trPr>
        <w:tc>
          <w:tcPr>
            <w:tcW w:w="965" w:type="dxa"/>
            <w:vMerge/>
            <w:shd w:val="clear" w:color="auto" w:fill="F2DBDB" w:themeFill="accent2" w:themeFillTint="33"/>
            <w:vAlign w:val="center"/>
          </w:tcPr>
          <w:p w14:paraId="7B4B97A7" w14:textId="77777777" w:rsidR="002907A0" w:rsidRPr="00922031" w:rsidRDefault="002907A0" w:rsidP="002907A0">
            <w:pPr>
              <w:spacing w:after="0" w:line="240" w:lineRule="auto"/>
              <w:rPr>
                <w:rFonts w:cstheme="minorHAnsi"/>
                <w:sz w:val="20"/>
                <w:szCs w:val="20"/>
                <w:lang w:val="en-US"/>
              </w:rPr>
            </w:pPr>
          </w:p>
        </w:tc>
        <w:tc>
          <w:tcPr>
            <w:tcW w:w="1310" w:type="dxa"/>
            <w:vMerge/>
            <w:shd w:val="clear" w:color="auto" w:fill="F2DBDB" w:themeFill="accent2" w:themeFillTint="33"/>
            <w:vAlign w:val="center"/>
          </w:tcPr>
          <w:p w14:paraId="1E05ED7D" w14:textId="77777777" w:rsidR="002907A0" w:rsidRPr="00922031" w:rsidRDefault="002907A0" w:rsidP="002907A0">
            <w:pPr>
              <w:spacing w:after="0" w:line="240" w:lineRule="auto"/>
              <w:rPr>
                <w:rFonts w:cstheme="minorHAnsi"/>
                <w:sz w:val="20"/>
                <w:szCs w:val="20"/>
                <w:lang w:val="en-US"/>
              </w:rPr>
            </w:pPr>
          </w:p>
        </w:tc>
        <w:tc>
          <w:tcPr>
            <w:tcW w:w="1402" w:type="dxa"/>
            <w:noWrap/>
            <w:vAlign w:val="bottom"/>
          </w:tcPr>
          <w:p w14:paraId="647485C9" w14:textId="77777777" w:rsidR="002907A0" w:rsidRPr="005808FC" w:rsidRDefault="002907A0" w:rsidP="005808FC">
            <w:pPr>
              <w:spacing w:after="0" w:line="240" w:lineRule="auto"/>
              <w:rPr>
                <w:sz w:val="20"/>
                <w:szCs w:val="20"/>
                <w:lang w:val="en-US"/>
              </w:rPr>
            </w:pPr>
            <w:r w:rsidRPr="003E50D1">
              <w:rPr>
                <w:sz w:val="20"/>
                <w:szCs w:val="20"/>
                <w:lang w:val="en-US"/>
              </w:rPr>
              <w:t xml:space="preserve">Euro IV </w:t>
            </w:r>
          </w:p>
        </w:tc>
        <w:tc>
          <w:tcPr>
            <w:tcW w:w="825" w:type="dxa"/>
            <w:vAlign w:val="bottom"/>
          </w:tcPr>
          <w:p w14:paraId="653D64C2" w14:textId="77777777" w:rsidR="002907A0" w:rsidRPr="005808FC" w:rsidRDefault="002907A0" w:rsidP="005808FC">
            <w:pPr>
              <w:spacing w:after="0" w:line="240" w:lineRule="auto"/>
              <w:jc w:val="right"/>
              <w:rPr>
                <w:sz w:val="20"/>
                <w:szCs w:val="20"/>
                <w:lang w:val="en-US"/>
              </w:rPr>
            </w:pPr>
            <w:r w:rsidRPr="003E50D1">
              <w:rPr>
                <w:sz w:val="20"/>
                <w:szCs w:val="20"/>
                <w:lang w:val="en-US"/>
              </w:rPr>
              <w:t>28</w:t>
            </w:r>
          </w:p>
        </w:tc>
        <w:tc>
          <w:tcPr>
            <w:tcW w:w="1147" w:type="dxa"/>
            <w:noWrap/>
            <w:vAlign w:val="bottom"/>
          </w:tcPr>
          <w:p w14:paraId="7F4F402A" w14:textId="77777777" w:rsidR="002907A0" w:rsidRPr="005808FC" w:rsidRDefault="002907A0" w:rsidP="005808FC">
            <w:pPr>
              <w:spacing w:after="0" w:line="240" w:lineRule="auto"/>
              <w:jc w:val="right"/>
              <w:rPr>
                <w:sz w:val="20"/>
                <w:szCs w:val="20"/>
              </w:rPr>
            </w:pPr>
            <w:r w:rsidRPr="003E50D1">
              <w:rPr>
                <w:sz w:val="20"/>
                <w:szCs w:val="20"/>
              </w:rPr>
              <w:t>892,7</w:t>
            </w:r>
          </w:p>
        </w:tc>
        <w:tc>
          <w:tcPr>
            <w:tcW w:w="876" w:type="dxa"/>
            <w:noWrap/>
            <w:vAlign w:val="bottom"/>
          </w:tcPr>
          <w:p w14:paraId="1E5D755C" w14:textId="77777777" w:rsidR="002907A0" w:rsidRPr="005808FC" w:rsidRDefault="002907A0" w:rsidP="005808FC">
            <w:pPr>
              <w:spacing w:after="0" w:line="240" w:lineRule="auto"/>
              <w:jc w:val="right"/>
              <w:rPr>
                <w:sz w:val="20"/>
                <w:szCs w:val="20"/>
                <w:lang w:val="en-US"/>
              </w:rPr>
            </w:pPr>
            <w:r w:rsidRPr="003E50D1">
              <w:rPr>
                <w:sz w:val="20"/>
                <w:szCs w:val="20"/>
                <w:lang w:val="en-US"/>
              </w:rPr>
              <w:t>2797,4</w:t>
            </w:r>
          </w:p>
        </w:tc>
        <w:tc>
          <w:tcPr>
            <w:tcW w:w="702" w:type="dxa"/>
            <w:noWrap/>
            <w:vAlign w:val="bottom"/>
          </w:tcPr>
          <w:p w14:paraId="026C05B2" w14:textId="77777777" w:rsidR="002907A0" w:rsidRPr="005808FC" w:rsidRDefault="002907A0" w:rsidP="005808FC">
            <w:pPr>
              <w:spacing w:after="0" w:line="240" w:lineRule="auto"/>
              <w:jc w:val="right"/>
              <w:rPr>
                <w:sz w:val="20"/>
                <w:szCs w:val="20"/>
                <w:lang w:val="en-US"/>
              </w:rPr>
            </w:pPr>
            <w:r w:rsidRPr="003E50D1">
              <w:rPr>
                <w:sz w:val="20"/>
                <w:szCs w:val="20"/>
                <w:lang w:val="en-US"/>
              </w:rPr>
              <w:t>0,16</w:t>
            </w:r>
          </w:p>
        </w:tc>
        <w:tc>
          <w:tcPr>
            <w:tcW w:w="842" w:type="dxa"/>
            <w:noWrap/>
            <w:vAlign w:val="bottom"/>
          </w:tcPr>
          <w:p w14:paraId="052324C8" w14:textId="77777777" w:rsidR="002907A0" w:rsidRPr="005808FC" w:rsidRDefault="002907A0" w:rsidP="005808FC">
            <w:pPr>
              <w:spacing w:after="0" w:line="240" w:lineRule="auto"/>
              <w:jc w:val="right"/>
              <w:rPr>
                <w:sz w:val="20"/>
                <w:szCs w:val="20"/>
                <w:lang w:val="en-US"/>
              </w:rPr>
            </w:pPr>
            <w:r w:rsidRPr="003E50D1">
              <w:rPr>
                <w:sz w:val="20"/>
                <w:szCs w:val="20"/>
                <w:lang w:val="en-US"/>
              </w:rPr>
              <w:t>0,09</w:t>
            </w:r>
          </w:p>
        </w:tc>
        <w:tc>
          <w:tcPr>
            <w:tcW w:w="1014" w:type="dxa"/>
            <w:noWrap/>
            <w:vAlign w:val="bottom"/>
          </w:tcPr>
          <w:p w14:paraId="3046B918" w14:textId="77777777" w:rsidR="002907A0" w:rsidRPr="005808FC" w:rsidRDefault="002907A0" w:rsidP="005808FC">
            <w:pPr>
              <w:spacing w:after="0" w:line="240" w:lineRule="auto"/>
              <w:jc w:val="right"/>
              <w:rPr>
                <w:sz w:val="20"/>
                <w:szCs w:val="20"/>
                <w:lang w:val="en-US"/>
              </w:rPr>
            </w:pPr>
            <w:r w:rsidRPr="003E50D1">
              <w:rPr>
                <w:sz w:val="20"/>
                <w:szCs w:val="20"/>
                <w:lang w:val="en-US"/>
              </w:rPr>
              <w:t>2827,5</w:t>
            </w:r>
          </w:p>
        </w:tc>
      </w:tr>
      <w:tr w:rsidR="002907A0" w:rsidRPr="00922031" w14:paraId="038C4B6C" w14:textId="77777777" w:rsidTr="005808FC">
        <w:trPr>
          <w:trHeight w:val="227"/>
        </w:trPr>
        <w:tc>
          <w:tcPr>
            <w:tcW w:w="965" w:type="dxa"/>
            <w:vMerge/>
            <w:tcBorders>
              <w:bottom w:val="single" w:sz="8" w:space="0" w:color="auto"/>
            </w:tcBorders>
            <w:shd w:val="clear" w:color="auto" w:fill="F2DBDB" w:themeFill="accent2" w:themeFillTint="33"/>
            <w:noWrap/>
            <w:vAlign w:val="center"/>
          </w:tcPr>
          <w:p w14:paraId="022FBC2C" w14:textId="77777777" w:rsidR="002907A0" w:rsidRPr="00922031" w:rsidRDefault="002907A0" w:rsidP="002907A0">
            <w:pPr>
              <w:spacing w:after="0" w:line="240" w:lineRule="auto"/>
              <w:rPr>
                <w:rFonts w:cstheme="minorHAnsi"/>
                <w:b/>
                <w:sz w:val="20"/>
                <w:szCs w:val="20"/>
                <w:lang w:val="en-US"/>
              </w:rPr>
            </w:pPr>
          </w:p>
        </w:tc>
        <w:tc>
          <w:tcPr>
            <w:tcW w:w="1310" w:type="dxa"/>
            <w:vMerge/>
            <w:tcBorders>
              <w:bottom w:val="single" w:sz="8" w:space="0" w:color="auto"/>
            </w:tcBorders>
            <w:shd w:val="clear" w:color="auto" w:fill="F2DBDB" w:themeFill="accent2" w:themeFillTint="33"/>
            <w:vAlign w:val="center"/>
          </w:tcPr>
          <w:p w14:paraId="7C52A462" w14:textId="77777777" w:rsidR="002907A0" w:rsidRPr="00922031" w:rsidRDefault="002907A0" w:rsidP="002907A0">
            <w:pPr>
              <w:spacing w:after="0" w:line="240" w:lineRule="auto"/>
              <w:rPr>
                <w:rFonts w:cstheme="minorHAnsi"/>
                <w:b/>
                <w:sz w:val="20"/>
                <w:szCs w:val="20"/>
                <w:lang w:val="en-US"/>
              </w:rPr>
            </w:pPr>
          </w:p>
        </w:tc>
        <w:tc>
          <w:tcPr>
            <w:tcW w:w="1402" w:type="dxa"/>
            <w:tcBorders>
              <w:bottom w:val="single" w:sz="8" w:space="0" w:color="auto"/>
            </w:tcBorders>
            <w:shd w:val="clear" w:color="auto" w:fill="auto"/>
            <w:vAlign w:val="center"/>
          </w:tcPr>
          <w:p w14:paraId="0979353C" w14:textId="77777777" w:rsidR="002907A0" w:rsidRPr="005808FC" w:rsidRDefault="002907A0" w:rsidP="005808FC">
            <w:pPr>
              <w:spacing w:after="0" w:line="240" w:lineRule="auto"/>
              <w:rPr>
                <w:sz w:val="20"/>
                <w:szCs w:val="20"/>
                <w:lang w:val="en-US"/>
              </w:rPr>
            </w:pPr>
            <w:r w:rsidRPr="003E50D1">
              <w:rPr>
                <w:sz w:val="20"/>
                <w:szCs w:val="20"/>
                <w:lang w:val="en-US"/>
              </w:rPr>
              <w:t>UKUPNO</w:t>
            </w:r>
          </w:p>
        </w:tc>
        <w:tc>
          <w:tcPr>
            <w:tcW w:w="825" w:type="dxa"/>
            <w:tcBorders>
              <w:bottom w:val="single" w:sz="8" w:space="0" w:color="auto"/>
            </w:tcBorders>
            <w:shd w:val="clear" w:color="auto" w:fill="auto"/>
            <w:vAlign w:val="bottom"/>
          </w:tcPr>
          <w:p w14:paraId="09FC07B5" w14:textId="77777777" w:rsidR="002907A0" w:rsidRPr="005808FC" w:rsidRDefault="002907A0" w:rsidP="005808FC">
            <w:pPr>
              <w:spacing w:after="0" w:line="240" w:lineRule="auto"/>
              <w:jc w:val="right"/>
              <w:rPr>
                <w:sz w:val="20"/>
                <w:szCs w:val="20"/>
              </w:rPr>
            </w:pPr>
            <w:r w:rsidRPr="003E50D1">
              <w:rPr>
                <w:sz w:val="20"/>
                <w:szCs w:val="20"/>
                <w:lang w:val="en-US"/>
              </w:rPr>
              <w:t>323</w:t>
            </w:r>
          </w:p>
        </w:tc>
        <w:tc>
          <w:tcPr>
            <w:tcW w:w="1147" w:type="dxa"/>
            <w:tcBorders>
              <w:bottom w:val="single" w:sz="8" w:space="0" w:color="auto"/>
            </w:tcBorders>
            <w:shd w:val="clear" w:color="auto" w:fill="auto"/>
            <w:noWrap/>
            <w:vAlign w:val="bottom"/>
          </w:tcPr>
          <w:p w14:paraId="24C0541E" w14:textId="77777777" w:rsidR="002907A0" w:rsidRPr="005808FC" w:rsidRDefault="002907A0" w:rsidP="005808FC">
            <w:pPr>
              <w:spacing w:after="0" w:line="240" w:lineRule="auto"/>
              <w:jc w:val="right"/>
              <w:rPr>
                <w:sz w:val="20"/>
                <w:szCs w:val="20"/>
              </w:rPr>
            </w:pPr>
            <w:r w:rsidRPr="003E50D1">
              <w:rPr>
                <w:sz w:val="20"/>
                <w:szCs w:val="20"/>
                <w:lang w:val="en-US"/>
              </w:rPr>
              <w:t>10298,2</w:t>
            </w:r>
          </w:p>
        </w:tc>
        <w:tc>
          <w:tcPr>
            <w:tcW w:w="876" w:type="dxa"/>
            <w:tcBorders>
              <w:bottom w:val="single" w:sz="8" w:space="0" w:color="auto"/>
            </w:tcBorders>
            <w:shd w:val="clear" w:color="auto" w:fill="auto"/>
            <w:noWrap/>
            <w:vAlign w:val="bottom"/>
          </w:tcPr>
          <w:p w14:paraId="0167C092" w14:textId="77777777" w:rsidR="002907A0" w:rsidRPr="005808FC" w:rsidRDefault="002907A0" w:rsidP="005808FC">
            <w:pPr>
              <w:spacing w:after="0" w:line="240" w:lineRule="auto"/>
              <w:jc w:val="right"/>
              <w:rPr>
                <w:sz w:val="20"/>
                <w:szCs w:val="20"/>
              </w:rPr>
            </w:pPr>
            <w:r w:rsidRPr="003E50D1">
              <w:rPr>
                <w:sz w:val="20"/>
                <w:szCs w:val="20"/>
                <w:lang w:val="en-US"/>
              </w:rPr>
              <w:t>32270</w:t>
            </w:r>
          </w:p>
        </w:tc>
        <w:tc>
          <w:tcPr>
            <w:tcW w:w="702" w:type="dxa"/>
            <w:tcBorders>
              <w:bottom w:val="single" w:sz="8" w:space="0" w:color="auto"/>
            </w:tcBorders>
            <w:shd w:val="clear" w:color="auto" w:fill="auto"/>
            <w:noWrap/>
            <w:vAlign w:val="bottom"/>
          </w:tcPr>
          <w:p w14:paraId="045340F6" w14:textId="77777777" w:rsidR="002907A0" w:rsidRPr="005808FC" w:rsidRDefault="002907A0" w:rsidP="005808FC">
            <w:pPr>
              <w:spacing w:after="0" w:line="240" w:lineRule="auto"/>
              <w:jc w:val="right"/>
              <w:rPr>
                <w:sz w:val="20"/>
                <w:szCs w:val="20"/>
              </w:rPr>
            </w:pPr>
            <w:r w:rsidRPr="003E50D1">
              <w:rPr>
                <w:sz w:val="20"/>
                <w:szCs w:val="20"/>
                <w:lang w:val="en-US"/>
              </w:rPr>
              <w:t>3,77</w:t>
            </w:r>
          </w:p>
        </w:tc>
        <w:tc>
          <w:tcPr>
            <w:tcW w:w="842" w:type="dxa"/>
            <w:tcBorders>
              <w:bottom w:val="single" w:sz="8" w:space="0" w:color="auto"/>
            </w:tcBorders>
            <w:shd w:val="clear" w:color="auto" w:fill="auto"/>
            <w:noWrap/>
            <w:vAlign w:val="bottom"/>
          </w:tcPr>
          <w:p w14:paraId="08EFDF62" w14:textId="77777777" w:rsidR="002907A0" w:rsidRPr="005808FC" w:rsidRDefault="002907A0" w:rsidP="005808FC">
            <w:pPr>
              <w:spacing w:after="0" w:line="240" w:lineRule="auto"/>
              <w:jc w:val="right"/>
              <w:rPr>
                <w:sz w:val="20"/>
                <w:szCs w:val="20"/>
              </w:rPr>
            </w:pPr>
            <w:r w:rsidRPr="003E50D1">
              <w:rPr>
                <w:sz w:val="20"/>
                <w:szCs w:val="20"/>
                <w:lang w:val="en-US"/>
              </w:rPr>
              <w:t>1.00</w:t>
            </w:r>
          </w:p>
        </w:tc>
        <w:tc>
          <w:tcPr>
            <w:tcW w:w="1014" w:type="dxa"/>
            <w:tcBorders>
              <w:bottom w:val="single" w:sz="8" w:space="0" w:color="auto"/>
            </w:tcBorders>
            <w:shd w:val="clear" w:color="auto" w:fill="auto"/>
            <w:noWrap/>
            <w:vAlign w:val="bottom"/>
          </w:tcPr>
          <w:p w14:paraId="7559728C" w14:textId="77777777" w:rsidR="002907A0" w:rsidRPr="005808FC" w:rsidRDefault="002907A0" w:rsidP="005808FC">
            <w:pPr>
              <w:spacing w:after="0" w:line="240" w:lineRule="auto"/>
              <w:jc w:val="right"/>
              <w:rPr>
                <w:sz w:val="20"/>
                <w:szCs w:val="20"/>
              </w:rPr>
            </w:pPr>
            <w:r w:rsidRPr="003E50D1">
              <w:rPr>
                <w:sz w:val="20"/>
                <w:szCs w:val="20"/>
                <w:lang w:val="en-US"/>
              </w:rPr>
              <w:t>32658.5</w:t>
            </w:r>
          </w:p>
        </w:tc>
      </w:tr>
      <w:tr w:rsidR="002907A0" w:rsidRPr="00922031" w14:paraId="6EDA4960" w14:textId="77777777" w:rsidTr="005808FC">
        <w:trPr>
          <w:trHeight w:val="227"/>
        </w:trPr>
        <w:tc>
          <w:tcPr>
            <w:tcW w:w="2275" w:type="dxa"/>
            <w:gridSpan w:val="2"/>
            <w:tcBorders>
              <w:top w:val="single" w:sz="8" w:space="0" w:color="auto"/>
              <w:bottom w:val="single" w:sz="8" w:space="0" w:color="auto"/>
            </w:tcBorders>
            <w:shd w:val="clear" w:color="auto" w:fill="F2DBDB" w:themeFill="accent2" w:themeFillTint="33"/>
            <w:noWrap/>
            <w:vAlign w:val="center"/>
          </w:tcPr>
          <w:p w14:paraId="38361CC4" w14:textId="77777777" w:rsidR="002907A0" w:rsidRPr="005808FC" w:rsidRDefault="002907A0" w:rsidP="005808FC">
            <w:pPr>
              <w:spacing w:after="0" w:line="240" w:lineRule="auto"/>
              <w:jc w:val="left"/>
              <w:rPr>
                <w:b/>
                <w:bCs/>
                <w:sz w:val="20"/>
                <w:szCs w:val="20"/>
                <w:lang w:val="en-US"/>
              </w:rPr>
            </w:pPr>
            <w:r w:rsidRPr="003E50D1">
              <w:rPr>
                <w:b/>
                <w:bCs/>
                <w:sz w:val="20"/>
                <w:szCs w:val="20"/>
                <w:lang w:val="en-US"/>
              </w:rPr>
              <w:t>UKUPNO</w:t>
            </w:r>
          </w:p>
        </w:tc>
        <w:tc>
          <w:tcPr>
            <w:tcW w:w="1402" w:type="dxa"/>
            <w:tcBorders>
              <w:top w:val="single" w:sz="8" w:space="0" w:color="auto"/>
              <w:bottom w:val="single" w:sz="8" w:space="0" w:color="auto"/>
            </w:tcBorders>
            <w:shd w:val="clear" w:color="auto" w:fill="auto"/>
            <w:vAlign w:val="center"/>
          </w:tcPr>
          <w:p w14:paraId="0EFA5D54" w14:textId="77777777" w:rsidR="002907A0" w:rsidRPr="00922031" w:rsidRDefault="002907A0" w:rsidP="002907A0">
            <w:pPr>
              <w:spacing w:after="0" w:line="240" w:lineRule="auto"/>
              <w:jc w:val="right"/>
              <w:rPr>
                <w:rFonts w:cstheme="minorHAnsi"/>
                <w:b/>
                <w:sz w:val="20"/>
                <w:szCs w:val="20"/>
                <w:lang w:val="en-US"/>
              </w:rPr>
            </w:pPr>
          </w:p>
        </w:tc>
        <w:tc>
          <w:tcPr>
            <w:tcW w:w="825" w:type="dxa"/>
            <w:tcBorders>
              <w:top w:val="single" w:sz="8" w:space="0" w:color="auto"/>
              <w:bottom w:val="single" w:sz="8" w:space="0" w:color="auto"/>
            </w:tcBorders>
            <w:shd w:val="clear" w:color="auto" w:fill="auto"/>
            <w:vAlign w:val="bottom"/>
          </w:tcPr>
          <w:p w14:paraId="35DB15FD" w14:textId="77777777" w:rsidR="002907A0" w:rsidRPr="005808FC" w:rsidRDefault="002907A0" w:rsidP="005808FC">
            <w:pPr>
              <w:spacing w:after="0" w:line="240" w:lineRule="auto"/>
              <w:jc w:val="right"/>
              <w:rPr>
                <w:b/>
                <w:bCs/>
                <w:sz w:val="20"/>
                <w:szCs w:val="20"/>
              </w:rPr>
            </w:pPr>
            <w:r w:rsidRPr="003E50D1">
              <w:rPr>
                <w:b/>
                <w:bCs/>
                <w:sz w:val="20"/>
                <w:szCs w:val="20"/>
                <w:lang w:val="en-US"/>
              </w:rPr>
              <w:t>951</w:t>
            </w:r>
          </w:p>
        </w:tc>
        <w:tc>
          <w:tcPr>
            <w:tcW w:w="1147" w:type="dxa"/>
            <w:tcBorders>
              <w:top w:val="single" w:sz="8" w:space="0" w:color="auto"/>
              <w:bottom w:val="single" w:sz="8" w:space="0" w:color="auto"/>
            </w:tcBorders>
            <w:shd w:val="clear" w:color="auto" w:fill="auto"/>
            <w:noWrap/>
            <w:vAlign w:val="bottom"/>
          </w:tcPr>
          <w:p w14:paraId="30E766C6" w14:textId="77777777" w:rsidR="002907A0" w:rsidRPr="005808FC" w:rsidRDefault="002907A0" w:rsidP="005808FC">
            <w:pPr>
              <w:spacing w:after="0" w:line="240" w:lineRule="auto"/>
              <w:jc w:val="right"/>
              <w:rPr>
                <w:b/>
                <w:bCs/>
                <w:sz w:val="20"/>
                <w:szCs w:val="20"/>
              </w:rPr>
            </w:pPr>
            <w:r w:rsidRPr="003E50D1">
              <w:rPr>
                <w:b/>
                <w:bCs/>
                <w:sz w:val="20"/>
                <w:szCs w:val="20"/>
                <w:lang w:val="en-US"/>
              </w:rPr>
              <w:t>11629,2</w:t>
            </w:r>
          </w:p>
        </w:tc>
        <w:tc>
          <w:tcPr>
            <w:tcW w:w="876" w:type="dxa"/>
            <w:tcBorders>
              <w:top w:val="single" w:sz="8" w:space="0" w:color="auto"/>
              <w:bottom w:val="single" w:sz="8" w:space="0" w:color="auto"/>
            </w:tcBorders>
            <w:shd w:val="clear" w:color="auto" w:fill="auto"/>
            <w:noWrap/>
            <w:vAlign w:val="bottom"/>
          </w:tcPr>
          <w:p w14:paraId="385E87EE" w14:textId="77777777" w:rsidR="002907A0" w:rsidRPr="005808FC" w:rsidRDefault="002907A0" w:rsidP="005808FC">
            <w:pPr>
              <w:spacing w:after="0" w:line="240" w:lineRule="auto"/>
              <w:jc w:val="right"/>
              <w:rPr>
                <w:b/>
                <w:bCs/>
                <w:sz w:val="20"/>
                <w:szCs w:val="20"/>
              </w:rPr>
            </w:pPr>
            <w:r w:rsidRPr="003E50D1">
              <w:rPr>
                <w:b/>
                <w:bCs/>
                <w:sz w:val="20"/>
                <w:szCs w:val="20"/>
                <w:lang w:val="en-US"/>
              </w:rPr>
              <w:t>36453,8</w:t>
            </w:r>
          </w:p>
        </w:tc>
        <w:tc>
          <w:tcPr>
            <w:tcW w:w="702" w:type="dxa"/>
            <w:tcBorders>
              <w:top w:val="single" w:sz="8" w:space="0" w:color="auto"/>
              <w:bottom w:val="single" w:sz="8" w:space="0" w:color="auto"/>
            </w:tcBorders>
            <w:shd w:val="clear" w:color="auto" w:fill="auto"/>
            <w:noWrap/>
            <w:vAlign w:val="bottom"/>
          </w:tcPr>
          <w:p w14:paraId="1D9192AD" w14:textId="77777777" w:rsidR="002907A0" w:rsidRPr="005808FC" w:rsidRDefault="002907A0" w:rsidP="005808FC">
            <w:pPr>
              <w:spacing w:after="0" w:line="240" w:lineRule="auto"/>
              <w:jc w:val="right"/>
              <w:rPr>
                <w:b/>
                <w:bCs/>
                <w:sz w:val="20"/>
                <w:szCs w:val="20"/>
              </w:rPr>
            </w:pPr>
            <w:r w:rsidRPr="003E50D1">
              <w:rPr>
                <w:b/>
                <w:bCs/>
                <w:sz w:val="20"/>
                <w:szCs w:val="20"/>
                <w:lang w:val="en-US"/>
              </w:rPr>
              <w:t>4,02</w:t>
            </w:r>
          </w:p>
        </w:tc>
        <w:tc>
          <w:tcPr>
            <w:tcW w:w="842" w:type="dxa"/>
            <w:tcBorders>
              <w:top w:val="single" w:sz="8" w:space="0" w:color="auto"/>
              <w:bottom w:val="single" w:sz="8" w:space="0" w:color="auto"/>
            </w:tcBorders>
            <w:shd w:val="clear" w:color="auto" w:fill="auto"/>
            <w:noWrap/>
            <w:vAlign w:val="bottom"/>
          </w:tcPr>
          <w:p w14:paraId="74B4A8D2" w14:textId="77777777" w:rsidR="002907A0" w:rsidRPr="005808FC" w:rsidRDefault="002907A0" w:rsidP="005808FC">
            <w:pPr>
              <w:spacing w:after="0" w:line="240" w:lineRule="auto"/>
              <w:jc w:val="right"/>
              <w:rPr>
                <w:b/>
                <w:bCs/>
                <w:sz w:val="20"/>
                <w:szCs w:val="20"/>
              </w:rPr>
            </w:pPr>
            <w:r w:rsidRPr="003E50D1">
              <w:rPr>
                <w:b/>
                <w:bCs/>
                <w:sz w:val="20"/>
                <w:szCs w:val="20"/>
                <w:lang w:val="en-US"/>
              </w:rPr>
              <w:t>1,14</w:t>
            </w:r>
          </w:p>
        </w:tc>
        <w:tc>
          <w:tcPr>
            <w:tcW w:w="1014" w:type="dxa"/>
            <w:tcBorders>
              <w:top w:val="single" w:sz="8" w:space="0" w:color="auto"/>
              <w:bottom w:val="single" w:sz="8" w:space="0" w:color="auto"/>
            </w:tcBorders>
            <w:shd w:val="clear" w:color="auto" w:fill="auto"/>
            <w:noWrap/>
            <w:vAlign w:val="bottom"/>
          </w:tcPr>
          <w:p w14:paraId="51BD8669" w14:textId="77777777" w:rsidR="002907A0" w:rsidRPr="005808FC" w:rsidRDefault="002907A0" w:rsidP="005808FC">
            <w:pPr>
              <w:spacing w:after="0" w:line="240" w:lineRule="auto"/>
              <w:jc w:val="right"/>
              <w:rPr>
                <w:b/>
                <w:bCs/>
                <w:sz w:val="20"/>
                <w:szCs w:val="20"/>
              </w:rPr>
            </w:pPr>
            <w:r w:rsidRPr="003E50D1">
              <w:rPr>
                <w:b/>
                <w:bCs/>
                <w:sz w:val="20"/>
                <w:szCs w:val="20"/>
                <w:lang w:val="en-US"/>
              </w:rPr>
              <w:t>36890,4</w:t>
            </w:r>
          </w:p>
        </w:tc>
      </w:tr>
    </w:tbl>
    <w:p w14:paraId="473DE2E8" w14:textId="77777777" w:rsidR="002907A0" w:rsidRPr="00922031" w:rsidRDefault="002907A0" w:rsidP="002907A0">
      <w:pPr>
        <w:spacing w:after="0" w:line="240" w:lineRule="auto"/>
        <w:rPr>
          <w:rFonts w:cstheme="minorHAnsi"/>
          <w:i/>
          <w:color w:val="0000FF"/>
        </w:rPr>
      </w:pPr>
    </w:p>
    <w:p w14:paraId="2C36C203" w14:textId="11455640" w:rsidR="002907A0" w:rsidRPr="00922031" w:rsidRDefault="002907A0" w:rsidP="005808FC">
      <w:pPr>
        <w:spacing w:after="0"/>
      </w:pPr>
      <w:r w:rsidRPr="003E50D1">
        <w:t>Ovdje je važno napomenuti da se emisija CO</w:t>
      </w:r>
      <w:r w:rsidRPr="00291DF5">
        <w:rPr>
          <w:vertAlign w:val="subscript"/>
        </w:rPr>
        <w:t>2</w:t>
      </w:r>
      <w:r w:rsidRPr="005808FC">
        <w:t xml:space="preserve"> iz potrošnje biodizela ne bilancira jer je to gorivo CO</w:t>
      </w:r>
      <w:r w:rsidRPr="005808FC">
        <w:rPr>
          <w:vertAlign w:val="subscript"/>
        </w:rPr>
        <w:t>2</w:t>
      </w:r>
      <w:r w:rsidRPr="005808FC">
        <w:t xml:space="preserve"> neutralno. Emisijski faktori, kao</w:t>
      </w:r>
      <w:r w:rsidR="000509A0">
        <w:t xml:space="preserve"> i </w:t>
      </w:r>
      <w:r w:rsidRPr="00291DF5">
        <w:t>emisije</w:t>
      </w:r>
      <w:r w:rsidR="00B25B9E" w:rsidRPr="005808FC">
        <w:t xml:space="preserve"> </w:t>
      </w:r>
      <w:r w:rsidRPr="005808FC">
        <w:t>proračunati su</w:t>
      </w:r>
      <w:r w:rsidR="00B25B9E" w:rsidRPr="005808FC">
        <w:t xml:space="preserve"> </w:t>
      </w:r>
      <w:r w:rsidRPr="005808FC">
        <w:t>COPERT III modelom.</w:t>
      </w:r>
    </w:p>
    <w:p w14:paraId="4BBDBDDD" w14:textId="77777777" w:rsidR="002907A0" w:rsidRPr="00922031" w:rsidRDefault="002907A0" w:rsidP="001D779A">
      <w:pPr>
        <w:spacing w:after="0"/>
        <w:rPr>
          <w:rFonts w:cstheme="minorHAnsi"/>
        </w:rPr>
      </w:pPr>
    </w:p>
    <w:p w14:paraId="492999C8" w14:textId="4BD2502A" w:rsidR="002907A0" w:rsidRPr="00922031" w:rsidRDefault="002907A0" w:rsidP="005808FC">
      <w:pPr>
        <w:spacing w:after="0"/>
      </w:pPr>
      <w:r w:rsidRPr="003E50D1">
        <w:t>Vozila na električni pogon (tramvaji, žičara</w:t>
      </w:r>
      <w:r w:rsidR="000509A0">
        <w:t xml:space="preserve"> i </w:t>
      </w:r>
      <w:r w:rsidRPr="003E50D1">
        <w:t>uspinjača) neizravno doprinose emisiji stakleničkih plinova. Emisijski faktor od 323 g/kWh izračunat je kao prosjek emisijskih f</w:t>
      </w:r>
      <w:r w:rsidRPr="00291DF5">
        <w:t>aktora niza od 2004. do 2007. godine dobivenih dijeljenjem emisije CO</w:t>
      </w:r>
      <w:r w:rsidRPr="005808FC">
        <w:rPr>
          <w:vertAlign w:val="subscript"/>
        </w:rPr>
        <w:t>2</w:t>
      </w:r>
      <w:r w:rsidRPr="005808FC">
        <w:t xml:space="preserve"> iz termoelektrana HEP-a</w:t>
      </w:r>
      <w:r w:rsidR="000509A0">
        <w:t xml:space="preserve"> i </w:t>
      </w:r>
      <w:r w:rsidRPr="00291DF5">
        <w:t xml:space="preserve">proizvedene električne energije za svaku spomenutu godinu. U </w:t>
      </w:r>
      <w:r w:rsidR="00FC154F" w:rsidRPr="005808FC">
        <w:t>T</w:t>
      </w:r>
      <w:r w:rsidRPr="005808FC">
        <w:t xml:space="preserve">ablici </w:t>
      </w:r>
      <w:r w:rsidR="00FC154F" w:rsidRPr="005808FC">
        <w:t>4</w:t>
      </w:r>
      <w:r w:rsidRPr="005808FC">
        <w:t>.6 prikazane su potrošnje električne energije</w:t>
      </w:r>
      <w:r w:rsidR="000509A0">
        <w:t xml:space="preserve"> i </w:t>
      </w:r>
      <w:r w:rsidRPr="00291DF5">
        <w:t>emisije CO</w:t>
      </w:r>
      <w:r w:rsidRPr="005808FC">
        <w:rPr>
          <w:vertAlign w:val="subscript"/>
        </w:rPr>
        <w:t>2</w:t>
      </w:r>
      <w:r w:rsidRPr="005808FC">
        <w:t xml:space="preserve"> vozila na električni pogon za 2008. godinu.</w:t>
      </w:r>
    </w:p>
    <w:p w14:paraId="5BFD66F8" w14:textId="77777777" w:rsidR="002907A0" w:rsidRPr="00922031" w:rsidRDefault="002907A0" w:rsidP="002907A0">
      <w:pPr>
        <w:spacing w:after="0" w:line="240" w:lineRule="auto"/>
        <w:rPr>
          <w:rFonts w:cstheme="minorHAnsi"/>
        </w:rPr>
      </w:pPr>
    </w:p>
    <w:p w14:paraId="236425B7" w14:textId="5E5A4774" w:rsidR="002907A0" w:rsidRPr="00F158D4" w:rsidRDefault="0082211F" w:rsidP="0082211F">
      <w:pPr>
        <w:pStyle w:val="Caption"/>
        <w:keepNext/>
        <w:rPr>
          <w:lang w:val="it-IT"/>
        </w:rPr>
      </w:pPr>
      <w:bookmarkStart w:id="63" w:name="_Toc251924021"/>
      <w:bookmarkStart w:id="64" w:name="_Toc4155996"/>
      <w:r w:rsidRPr="00F158D4">
        <w:rPr>
          <w:lang w:val="it-IT"/>
        </w:rPr>
        <w:t xml:space="preserve">Tablica </w:t>
      </w:r>
      <w:r w:rsidR="0019556A">
        <w:fldChar w:fldCharType="begin"/>
      </w:r>
      <w:r w:rsidR="0019556A" w:rsidRPr="00F158D4">
        <w:rPr>
          <w:lang w:val="it-IT"/>
        </w:rPr>
        <w:instrText xml:space="preserve"> STYLEREF 1 \s </w:instrText>
      </w:r>
      <w:r w:rsidR="0019556A">
        <w:fldChar w:fldCharType="separate"/>
      </w:r>
      <w:r w:rsidR="0019556A" w:rsidRPr="00F158D4">
        <w:rPr>
          <w:noProof/>
          <w:lang w:val="it-IT"/>
        </w:rPr>
        <w:t>4</w:t>
      </w:r>
      <w:r w:rsidR="0019556A">
        <w:fldChar w:fldCharType="end"/>
      </w:r>
      <w:r w:rsidR="0019556A" w:rsidRPr="00F158D4">
        <w:rPr>
          <w:lang w:val="it-IT"/>
        </w:rPr>
        <w:t>.</w:t>
      </w:r>
      <w:r w:rsidR="0019556A">
        <w:fldChar w:fldCharType="begin"/>
      </w:r>
      <w:r w:rsidR="0019556A" w:rsidRPr="00F158D4">
        <w:rPr>
          <w:lang w:val="it-IT"/>
        </w:rPr>
        <w:instrText xml:space="preserve"> SEQ Tablica \* ARABIC \s 1 </w:instrText>
      </w:r>
      <w:r w:rsidR="0019556A">
        <w:fldChar w:fldCharType="separate"/>
      </w:r>
      <w:r w:rsidR="0019556A" w:rsidRPr="00F158D4">
        <w:rPr>
          <w:noProof/>
          <w:lang w:val="it-IT"/>
        </w:rPr>
        <w:t>6</w:t>
      </w:r>
      <w:r w:rsidR="0019556A">
        <w:fldChar w:fldCharType="end"/>
      </w:r>
      <w:r w:rsidRPr="00F158D4">
        <w:rPr>
          <w:lang w:val="it-IT"/>
        </w:rPr>
        <w:t xml:space="preserve"> - </w:t>
      </w:r>
      <w:r w:rsidR="002907A0" w:rsidRPr="003E50D1">
        <w:rPr>
          <w:rFonts w:asciiTheme="minorHAnsi" w:hAnsiTheme="minorHAnsi" w:cstheme="minorBidi"/>
          <w:lang w:val="it-IT"/>
        </w:rPr>
        <w:t>Potrošnje električne energije</w:t>
      </w:r>
      <w:r w:rsidR="000509A0">
        <w:rPr>
          <w:rFonts w:asciiTheme="minorHAnsi" w:hAnsiTheme="minorHAnsi" w:cstheme="minorBidi"/>
          <w:lang w:val="it-IT"/>
        </w:rPr>
        <w:t xml:space="preserve"> i </w:t>
      </w:r>
      <w:r w:rsidR="002907A0" w:rsidRPr="003E50D1">
        <w:rPr>
          <w:rFonts w:asciiTheme="minorHAnsi" w:hAnsiTheme="minorHAnsi" w:cstheme="minorBidi"/>
          <w:lang w:val="it-IT"/>
        </w:rPr>
        <w:t>emisije CO</w:t>
      </w:r>
      <w:r w:rsidR="002907A0" w:rsidRPr="00291DF5">
        <w:rPr>
          <w:rFonts w:asciiTheme="minorHAnsi" w:hAnsiTheme="minorHAnsi" w:cstheme="minorBidi"/>
          <w:vertAlign w:val="subscript"/>
          <w:lang w:val="it-IT"/>
        </w:rPr>
        <w:t>2</w:t>
      </w:r>
      <w:r w:rsidR="002907A0" w:rsidRPr="005808FC">
        <w:rPr>
          <w:rFonts w:asciiTheme="minorHAnsi" w:hAnsiTheme="minorHAnsi" w:cstheme="minorBidi"/>
          <w:lang w:val="it-IT"/>
        </w:rPr>
        <w:t xml:space="preserve"> vozila na električni pogon za 2008. godinu.</w:t>
      </w:r>
      <w:bookmarkEnd w:id="63"/>
      <w:bookmarkEnd w:id="64"/>
    </w:p>
    <w:tbl>
      <w:tblPr>
        <w:tblW w:w="9077" w:type="dxa"/>
        <w:tblInd w:w="103"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000" w:firstRow="0" w:lastRow="0" w:firstColumn="0" w:lastColumn="0" w:noHBand="0" w:noVBand="0"/>
      </w:tblPr>
      <w:tblGrid>
        <w:gridCol w:w="3407"/>
        <w:gridCol w:w="2127"/>
        <w:gridCol w:w="1701"/>
        <w:gridCol w:w="1842"/>
      </w:tblGrid>
      <w:tr w:rsidR="002907A0" w:rsidRPr="00922031" w14:paraId="459247A9" w14:textId="77777777" w:rsidTr="005808FC">
        <w:trPr>
          <w:trHeight w:val="345"/>
        </w:trPr>
        <w:tc>
          <w:tcPr>
            <w:tcW w:w="9077" w:type="dxa"/>
            <w:gridSpan w:val="4"/>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tcPr>
          <w:p w14:paraId="5407AD5A" w14:textId="77777777" w:rsidR="002907A0" w:rsidRPr="005808FC" w:rsidRDefault="002907A0" w:rsidP="005808FC">
            <w:pPr>
              <w:spacing w:after="0" w:line="240" w:lineRule="auto"/>
              <w:jc w:val="center"/>
              <w:rPr>
                <w:b/>
                <w:bCs/>
                <w:sz w:val="20"/>
                <w:szCs w:val="20"/>
                <w:lang w:val="it-IT"/>
              </w:rPr>
            </w:pPr>
            <w:r w:rsidRPr="003E50D1">
              <w:rPr>
                <w:b/>
                <w:bCs/>
                <w:sz w:val="20"/>
                <w:szCs w:val="20"/>
                <w:lang w:val="it-IT"/>
              </w:rPr>
              <w:t>TRAČNI JAVNI PRIJEVOZ (VOZILA NA ELEKTRIČNI POGON)</w:t>
            </w:r>
          </w:p>
        </w:tc>
      </w:tr>
      <w:tr w:rsidR="002907A0" w:rsidRPr="00922031" w14:paraId="4958BAB6" w14:textId="77777777" w:rsidTr="005808FC">
        <w:trPr>
          <w:trHeight w:val="345"/>
        </w:trPr>
        <w:tc>
          <w:tcPr>
            <w:tcW w:w="3407" w:type="dxa"/>
            <w:vMerge w:val="restart"/>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tcPr>
          <w:p w14:paraId="17D402CD"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POTKATEGORIJA</w:t>
            </w:r>
          </w:p>
        </w:tc>
        <w:tc>
          <w:tcPr>
            <w:tcW w:w="2127"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3B7C353C"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ELEKTRIČNA ENERGIJA</w:t>
            </w:r>
          </w:p>
        </w:tc>
        <w:tc>
          <w:tcPr>
            <w:tcW w:w="170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7131292"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Emisijski faktor</w:t>
            </w:r>
          </w:p>
        </w:tc>
        <w:tc>
          <w:tcPr>
            <w:tcW w:w="1842"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1BC215D"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Neizravna emisija CO</w:t>
            </w:r>
            <w:r w:rsidRPr="00291DF5">
              <w:rPr>
                <w:b/>
                <w:bCs/>
                <w:sz w:val="20"/>
                <w:szCs w:val="20"/>
                <w:vertAlign w:val="subscript"/>
                <w:lang w:val="en-US"/>
              </w:rPr>
              <w:t>2</w:t>
            </w:r>
          </w:p>
        </w:tc>
      </w:tr>
      <w:tr w:rsidR="002907A0" w:rsidRPr="00922031" w14:paraId="7C329CC9" w14:textId="77777777" w:rsidTr="005808FC">
        <w:trPr>
          <w:trHeight w:val="196"/>
        </w:trPr>
        <w:tc>
          <w:tcPr>
            <w:tcW w:w="3407" w:type="dxa"/>
            <w:vMerge/>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6BFFAE5B" w14:textId="77777777" w:rsidR="002907A0" w:rsidRPr="00922031" w:rsidRDefault="002907A0" w:rsidP="002907A0">
            <w:pPr>
              <w:spacing w:after="0" w:line="240" w:lineRule="auto"/>
              <w:rPr>
                <w:rFonts w:cstheme="minorHAnsi"/>
                <w:b/>
                <w:bCs/>
                <w:sz w:val="20"/>
                <w:szCs w:val="20"/>
                <w:lang w:val="en-US"/>
              </w:rPr>
            </w:pPr>
          </w:p>
        </w:tc>
        <w:tc>
          <w:tcPr>
            <w:tcW w:w="2127"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bottom"/>
          </w:tcPr>
          <w:p w14:paraId="4AD0DBE2"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kWh</w:t>
            </w:r>
          </w:p>
        </w:tc>
        <w:tc>
          <w:tcPr>
            <w:tcW w:w="1701"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bottom"/>
          </w:tcPr>
          <w:p w14:paraId="49904CA3"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gCO</w:t>
            </w:r>
            <w:r w:rsidRPr="00291DF5">
              <w:rPr>
                <w:b/>
                <w:bCs/>
                <w:sz w:val="20"/>
                <w:szCs w:val="20"/>
                <w:vertAlign w:val="subscript"/>
                <w:lang w:val="en-US"/>
              </w:rPr>
              <w:t>2</w:t>
            </w:r>
            <w:r w:rsidRPr="005808FC">
              <w:rPr>
                <w:b/>
                <w:bCs/>
                <w:sz w:val="20"/>
                <w:szCs w:val="20"/>
                <w:lang w:val="en-US"/>
              </w:rPr>
              <w:t>/kWh</w:t>
            </w:r>
          </w:p>
        </w:tc>
        <w:tc>
          <w:tcPr>
            <w:tcW w:w="1842"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bottom"/>
          </w:tcPr>
          <w:p w14:paraId="3FD8D365" w14:textId="77777777" w:rsidR="002907A0" w:rsidRPr="005808FC" w:rsidRDefault="002907A0" w:rsidP="005808FC">
            <w:pPr>
              <w:spacing w:after="0" w:line="240" w:lineRule="auto"/>
              <w:jc w:val="center"/>
              <w:rPr>
                <w:b/>
                <w:bCs/>
                <w:sz w:val="20"/>
                <w:szCs w:val="20"/>
                <w:lang w:val="en-US"/>
              </w:rPr>
            </w:pPr>
            <w:r w:rsidRPr="003E50D1">
              <w:rPr>
                <w:b/>
                <w:bCs/>
                <w:sz w:val="20"/>
                <w:szCs w:val="20"/>
                <w:lang w:val="en-US"/>
              </w:rPr>
              <w:t>t CO</w:t>
            </w:r>
            <w:r w:rsidRPr="00291DF5">
              <w:rPr>
                <w:b/>
                <w:bCs/>
                <w:sz w:val="20"/>
                <w:szCs w:val="20"/>
                <w:vertAlign w:val="subscript"/>
                <w:lang w:val="en-US"/>
              </w:rPr>
              <w:t>2</w:t>
            </w:r>
          </w:p>
        </w:tc>
      </w:tr>
      <w:tr w:rsidR="002907A0" w:rsidRPr="00922031" w14:paraId="42D1B455" w14:textId="77777777" w:rsidTr="005808FC">
        <w:trPr>
          <w:trHeight w:val="127"/>
        </w:trPr>
        <w:tc>
          <w:tcPr>
            <w:tcW w:w="3407" w:type="dxa"/>
            <w:tcBorders>
              <w:top w:val="single" w:sz="8" w:space="0" w:color="auto"/>
              <w:left w:val="single" w:sz="8" w:space="0" w:color="auto"/>
              <w:bottom w:val="single" w:sz="4" w:space="0" w:color="auto"/>
              <w:right w:val="single" w:sz="8" w:space="0" w:color="auto"/>
            </w:tcBorders>
            <w:shd w:val="clear" w:color="auto" w:fill="F2DBDB" w:themeFill="accent2" w:themeFillTint="33"/>
            <w:noWrap/>
            <w:vAlign w:val="bottom"/>
          </w:tcPr>
          <w:p w14:paraId="3CB5B5B8" w14:textId="77777777" w:rsidR="002907A0" w:rsidRPr="005808FC" w:rsidRDefault="002907A0" w:rsidP="005808FC">
            <w:pPr>
              <w:spacing w:after="0" w:line="240" w:lineRule="auto"/>
              <w:rPr>
                <w:b/>
                <w:bCs/>
                <w:sz w:val="20"/>
                <w:szCs w:val="20"/>
              </w:rPr>
            </w:pPr>
            <w:r w:rsidRPr="003E50D1">
              <w:rPr>
                <w:i/>
                <w:iCs/>
                <w:sz w:val="20"/>
                <w:szCs w:val="20"/>
              </w:rPr>
              <w:t xml:space="preserve"> </w:t>
            </w:r>
            <w:r w:rsidRPr="00291DF5">
              <w:rPr>
                <w:b/>
                <w:bCs/>
                <w:sz w:val="20"/>
                <w:szCs w:val="20"/>
              </w:rPr>
              <w:t>Tramvaj</w:t>
            </w:r>
          </w:p>
        </w:tc>
        <w:tc>
          <w:tcPr>
            <w:tcW w:w="212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209207F" w14:textId="77777777" w:rsidR="002907A0" w:rsidRPr="005808FC" w:rsidRDefault="002907A0" w:rsidP="005808FC">
            <w:pPr>
              <w:spacing w:after="0" w:line="240" w:lineRule="auto"/>
              <w:jc w:val="right"/>
              <w:rPr>
                <w:sz w:val="20"/>
                <w:szCs w:val="20"/>
                <w:lang w:val="en-US"/>
              </w:rPr>
            </w:pPr>
            <w:r w:rsidRPr="003E50D1">
              <w:rPr>
                <w:sz w:val="20"/>
                <w:szCs w:val="20"/>
                <w:lang w:val="en-US"/>
              </w:rPr>
              <w:t>61 411.060</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3307B02" w14:textId="77777777" w:rsidR="002907A0" w:rsidRPr="005808FC" w:rsidRDefault="002907A0" w:rsidP="005808FC">
            <w:pPr>
              <w:spacing w:after="0" w:line="240" w:lineRule="auto"/>
              <w:jc w:val="right"/>
              <w:rPr>
                <w:sz w:val="20"/>
                <w:szCs w:val="20"/>
                <w:lang w:val="en-US"/>
              </w:rPr>
            </w:pPr>
            <w:r w:rsidRPr="003E50D1">
              <w:rPr>
                <w:sz w:val="20"/>
                <w:szCs w:val="20"/>
                <w:lang w:val="en-US"/>
              </w:rPr>
              <w:t>323</w:t>
            </w:r>
          </w:p>
        </w:tc>
        <w:tc>
          <w:tcPr>
            <w:tcW w:w="1842"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5EBD186" w14:textId="77777777" w:rsidR="002907A0" w:rsidRPr="005808FC" w:rsidRDefault="002907A0" w:rsidP="005808FC">
            <w:pPr>
              <w:spacing w:after="0" w:line="240" w:lineRule="auto"/>
              <w:jc w:val="right"/>
              <w:rPr>
                <w:sz w:val="20"/>
                <w:szCs w:val="20"/>
                <w:lang w:val="en-US"/>
              </w:rPr>
            </w:pPr>
            <w:r w:rsidRPr="003E50D1">
              <w:rPr>
                <w:sz w:val="20"/>
                <w:szCs w:val="20"/>
                <w:lang w:val="en-US"/>
              </w:rPr>
              <w:t>19 842,91</w:t>
            </w:r>
          </w:p>
        </w:tc>
      </w:tr>
      <w:tr w:rsidR="002907A0" w:rsidRPr="00922031" w14:paraId="6AC7A35C" w14:textId="77777777" w:rsidTr="005808FC">
        <w:trPr>
          <w:trHeight w:val="246"/>
        </w:trPr>
        <w:tc>
          <w:tcPr>
            <w:tcW w:w="3407"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01FFF2A1" w14:textId="77777777" w:rsidR="002907A0" w:rsidRPr="005808FC" w:rsidRDefault="002907A0" w:rsidP="005808FC">
            <w:pPr>
              <w:spacing w:after="0" w:line="240" w:lineRule="auto"/>
              <w:rPr>
                <w:b/>
                <w:bCs/>
                <w:sz w:val="20"/>
                <w:szCs w:val="20"/>
                <w:lang w:val="en-US"/>
              </w:rPr>
            </w:pPr>
            <w:r w:rsidRPr="003E50D1">
              <w:rPr>
                <w:i/>
                <w:iCs/>
                <w:sz w:val="20"/>
                <w:szCs w:val="20"/>
              </w:rPr>
              <w:t xml:space="preserve"> </w:t>
            </w:r>
            <w:r w:rsidRPr="00291DF5">
              <w:rPr>
                <w:b/>
                <w:bCs/>
                <w:sz w:val="20"/>
                <w:szCs w:val="20"/>
              </w:rPr>
              <w:t>Žičara</w:t>
            </w:r>
          </w:p>
        </w:tc>
        <w:tc>
          <w:tcPr>
            <w:tcW w:w="212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30BC47B" w14:textId="77777777" w:rsidR="002907A0" w:rsidRPr="005808FC" w:rsidRDefault="002907A0" w:rsidP="005808FC">
            <w:pPr>
              <w:spacing w:after="0" w:line="240" w:lineRule="auto"/>
              <w:jc w:val="right"/>
              <w:rPr>
                <w:sz w:val="20"/>
                <w:szCs w:val="20"/>
                <w:lang w:val="en-US"/>
              </w:rPr>
            </w:pPr>
            <w:r w:rsidRPr="003E50D1">
              <w:rPr>
                <w:sz w:val="20"/>
                <w:szCs w:val="20"/>
                <w:lang w:val="en-US"/>
              </w:rPr>
              <w:t>52 942</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57D9328" w14:textId="77777777" w:rsidR="002907A0" w:rsidRPr="005808FC" w:rsidRDefault="002907A0" w:rsidP="005808FC">
            <w:pPr>
              <w:spacing w:after="0" w:line="240" w:lineRule="auto"/>
              <w:jc w:val="right"/>
              <w:rPr>
                <w:sz w:val="20"/>
                <w:szCs w:val="20"/>
                <w:lang w:val="en-US"/>
              </w:rPr>
            </w:pPr>
            <w:r w:rsidRPr="003E50D1">
              <w:rPr>
                <w:sz w:val="20"/>
                <w:szCs w:val="20"/>
                <w:lang w:val="en-US"/>
              </w:rPr>
              <w:t>323</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D83224C" w14:textId="77777777" w:rsidR="002907A0" w:rsidRPr="005808FC" w:rsidRDefault="002907A0" w:rsidP="005808FC">
            <w:pPr>
              <w:spacing w:after="0" w:line="240" w:lineRule="auto"/>
              <w:jc w:val="right"/>
              <w:rPr>
                <w:sz w:val="20"/>
                <w:szCs w:val="20"/>
                <w:lang w:val="en-US"/>
              </w:rPr>
            </w:pPr>
            <w:r w:rsidRPr="003E50D1">
              <w:rPr>
                <w:sz w:val="20"/>
                <w:szCs w:val="20"/>
                <w:lang w:val="en-US"/>
              </w:rPr>
              <w:t>17,11</w:t>
            </w:r>
          </w:p>
        </w:tc>
      </w:tr>
      <w:tr w:rsidR="002907A0" w:rsidRPr="00922031" w14:paraId="69557CCB" w14:textId="77777777" w:rsidTr="005808FC">
        <w:trPr>
          <w:trHeight w:val="135"/>
        </w:trPr>
        <w:tc>
          <w:tcPr>
            <w:tcW w:w="3407" w:type="dxa"/>
            <w:tcBorders>
              <w:top w:val="single" w:sz="4" w:space="0" w:color="auto"/>
              <w:left w:val="single" w:sz="8" w:space="0" w:color="auto"/>
              <w:bottom w:val="single" w:sz="8" w:space="0" w:color="auto"/>
              <w:right w:val="single" w:sz="8" w:space="0" w:color="auto"/>
            </w:tcBorders>
            <w:shd w:val="clear" w:color="auto" w:fill="F2DBDB" w:themeFill="accent2" w:themeFillTint="33"/>
            <w:noWrap/>
            <w:vAlign w:val="bottom"/>
          </w:tcPr>
          <w:p w14:paraId="07D2F3E4" w14:textId="77777777" w:rsidR="002907A0" w:rsidRPr="005808FC" w:rsidRDefault="002907A0" w:rsidP="005808FC">
            <w:pPr>
              <w:spacing w:after="0" w:line="240" w:lineRule="auto"/>
              <w:rPr>
                <w:b/>
                <w:bCs/>
                <w:sz w:val="20"/>
                <w:szCs w:val="20"/>
                <w:lang w:val="en-US"/>
              </w:rPr>
            </w:pPr>
            <w:r w:rsidRPr="003E50D1">
              <w:rPr>
                <w:i/>
                <w:iCs/>
                <w:sz w:val="20"/>
                <w:szCs w:val="20"/>
                <w:lang w:val="en-US"/>
              </w:rPr>
              <w:t xml:space="preserve"> </w:t>
            </w:r>
            <w:r w:rsidRPr="00291DF5">
              <w:rPr>
                <w:b/>
                <w:bCs/>
                <w:sz w:val="20"/>
                <w:szCs w:val="20"/>
                <w:lang w:val="en-US"/>
              </w:rPr>
              <w:t>Autobus</w:t>
            </w:r>
          </w:p>
        </w:tc>
        <w:tc>
          <w:tcPr>
            <w:tcW w:w="212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2E321DB" w14:textId="77777777" w:rsidR="002907A0" w:rsidRPr="005808FC" w:rsidRDefault="002907A0" w:rsidP="005808FC">
            <w:pPr>
              <w:spacing w:after="0" w:line="240" w:lineRule="auto"/>
              <w:jc w:val="right"/>
              <w:rPr>
                <w:sz w:val="20"/>
                <w:szCs w:val="20"/>
                <w:lang w:val="en-US"/>
              </w:rPr>
            </w:pPr>
            <w:r w:rsidRPr="003E50D1">
              <w:rPr>
                <w:sz w:val="20"/>
                <w:szCs w:val="20"/>
                <w:lang w:val="en-US"/>
              </w:rPr>
              <w:t>21 926</w:t>
            </w:r>
          </w:p>
        </w:tc>
        <w:tc>
          <w:tcPr>
            <w:tcW w:w="1701"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E96B8F6" w14:textId="77777777" w:rsidR="002907A0" w:rsidRPr="005808FC" w:rsidRDefault="002907A0" w:rsidP="005808FC">
            <w:pPr>
              <w:spacing w:after="0" w:line="240" w:lineRule="auto"/>
              <w:jc w:val="right"/>
              <w:rPr>
                <w:sz w:val="20"/>
                <w:szCs w:val="20"/>
                <w:lang w:val="en-US"/>
              </w:rPr>
            </w:pPr>
            <w:r w:rsidRPr="003E50D1">
              <w:rPr>
                <w:sz w:val="20"/>
                <w:szCs w:val="20"/>
                <w:lang w:val="en-US"/>
              </w:rPr>
              <w:t>323</w:t>
            </w:r>
          </w:p>
        </w:tc>
        <w:tc>
          <w:tcPr>
            <w:tcW w:w="1842"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7426626" w14:textId="77777777" w:rsidR="002907A0" w:rsidRPr="005808FC" w:rsidRDefault="002907A0" w:rsidP="005808FC">
            <w:pPr>
              <w:spacing w:after="0" w:line="240" w:lineRule="auto"/>
              <w:jc w:val="right"/>
              <w:rPr>
                <w:sz w:val="20"/>
                <w:szCs w:val="20"/>
                <w:lang w:val="en-US"/>
              </w:rPr>
            </w:pPr>
            <w:r w:rsidRPr="003E50D1">
              <w:rPr>
                <w:sz w:val="20"/>
                <w:szCs w:val="20"/>
                <w:lang w:val="en-US"/>
              </w:rPr>
              <w:t>7,08</w:t>
            </w:r>
          </w:p>
        </w:tc>
      </w:tr>
      <w:tr w:rsidR="002907A0" w:rsidRPr="00922031" w14:paraId="2FCBBFC8" w14:textId="77777777" w:rsidTr="005808FC">
        <w:trPr>
          <w:trHeight w:val="300"/>
        </w:trPr>
        <w:tc>
          <w:tcPr>
            <w:tcW w:w="3407" w:type="dxa"/>
            <w:tcBorders>
              <w:top w:val="single" w:sz="8" w:space="0" w:color="auto"/>
              <w:left w:val="single" w:sz="8" w:space="0" w:color="auto"/>
              <w:bottom w:val="single" w:sz="8" w:space="0" w:color="auto"/>
              <w:right w:val="single" w:sz="8" w:space="0" w:color="auto"/>
            </w:tcBorders>
            <w:shd w:val="clear" w:color="auto" w:fill="F2DBDB" w:themeFill="accent2" w:themeFillTint="33"/>
            <w:noWrap/>
            <w:vAlign w:val="center"/>
          </w:tcPr>
          <w:p w14:paraId="0FA17268" w14:textId="77777777" w:rsidR="002907A0" w:rsidRPr="005808FC" w:rsidRDefault="002907A0" w:rsidP="005808FC">
            <w:pPr>
              <w:spacing w:after="0" w:line="240" w:lineRule="auto"/>
              <w:rPr>
                <w:b/>
                <w:bCs/>
                <w:sz w:val="20"/>
                <w:szCs w:val="20"/>
                <w:lang w:val="en-US"/>
              </w:rPr>
            </w:pPr>
            <w:r w:rsidRPr="003E50D1">
              <w:rPr>
                <w:b/>
                <w:bCs/>
                <w:sz w:val="20"/>
                <w:szCs w:val="20"/>
                <w:lang w:val="en-US"/>
              </w:rPr>
              <w:t>UKUPNO</w:t>
            </w:r>
          </w:p>
        </w:tc>
        <w:tc>
          <w:tcPr>
            <w:tcW w:w="212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AEC085" w14:textId="77777777" w:rsidR="002907A0" w:rsidRPr="005808FC" w:rsidRDefault="002907A0" w:rsidP="005808FC">
            <w:pPr>
              <w:spacing w:after="0" w:line="240" w:lineRule="auto"/>
              <w:jc w:val="right"/>
              <w:rPr>
                <w:b/>
                <w:bCs/>
                <w:sz w:val="20"/>
                <w:szCs w:val="20"/>
                <w:lang w:val="en-US"/>
              </w:rPr>
            </w:pPr>
            <w:r w:rsidRPr="003E50D1">
              <w:rPr>
                <w:b/>
                <w:bCs/>
                <w:sz w:val="20"/>
                <w:szCs w:val="20"/>
                <w:lang w:val="en-US"/>
              </w:rPr>
              <w:t>61 485 928</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1C85C2" w14:textId="77777777" w:rsidR="002907A0" w:rsidRPr="005808FC" w:rsidRDefault="002907A0" w:rsidP="005808FC">
            <w:pPr>
              <w:spacing w:after="0" w:line="240" w:lineRule="auto"/>
              <w:jc w:val="right"/>
              <w:rPr>
                <w:b/>
                <w:bCs/>
                <w:sz w:val="20"/>
                <w:szCs w:val="20"/>
                <w:lang w:val="en-US"/>
              </w:rPr>
            </w:pPr>
            <w:r w:rsidRPr="003E50D1">
              <w:rPr>
                <w:b/>
                <w:bCs/>
                <w:sz w:val="20"/>
                <w:szCs w:val="20"/>
                <w:lang w:val="en-US"/>
              </w:rPr>
              <w:t>323</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443C58" w14:textId="77777777" w:rsidR="002907A0" w:rsidRPr="005808FC" w:rsidRDefault="002907A0" w:rsidP="005808FC">
            <w:pPr>
              <w:spacing w:after="0" w:line="240" w:lineRule="auto"/>
              <w:jc w:val="right"/>
              <w:rPr>
                <w:b/>
                <w:bCs/>
                <w:sz w:val="20"/>
                <w:szCs w:val="20"/>
                <w:lang w:val="en-US"/>
              </w:rPr>
            </w:pPr>
            <w:r w:rsidRPr="003E50D1">
              <w:rPr>
                <w:b/>
                <w:bCs/>
                <w:sz w:val="20"/>
                <w:szCs w:val="20"/>
                <w:lang w:val="en-US"/>
              </w:rPr>
              <w:t>19 867,10</w:t>
            </w:r>
          </w:p>
        </w:tc>
      </w:tr>
    </w:tbl>
    <w:p w14:paraId="36891DE5" w14:textId="77777777" w:rsidR="002907A0" w:rsidRPr="00922031" w:rsidRDefault="002907A0" w:rsidP="002907A0">
      <w:pPr>
        <w:spacing w:after="0" w:line="240" w:lineRule="auto"/>
        <w:rPr>
          <w:rFonts w:cstheme="minorHAnsi"/>
        </w:rPr>
      </w:pPr>
    </w:p>
    <w:p w14:paraId="454CA38C" w14:textId="27E609B8" w:rsidR="002907A0" w:rsidRPr="00922031" w:rsidRDefault="002907A0" w:rsidP="005808FC">
      <w:pPr>
        <w:spacing w:after="0"/>
      </w:pPr>
      <w:r w:rsidRPr="003E50D1">
        <w:lastRenderedPageBreak/>
        <w:t xml:space="preserve">U </w:t>
      </w:r>
      <w:r w:rsidR="00FC154F" w:rsidRPr="00291DF5">
        <w:t>T</w:t>
      </w:r>
      <w:r w:rsidRPr="005808FC">
        <w:t xml:space="preserve">ablici </w:t>
      </w:r>
      <w:r w:rsidR="00FC154F" w:rsidRPr="005808FC">
        <w:t>4</w:t>
      </w:r>
      <w:r w:rsidRPr="005808FC">
        <w:t>.7 dane su potrošnje energije te pripadajuće emisije</w:t>
      </w:r>
      <w:r w:rsidR="000509A0">
        <w:t xml:space="preserve"> i </w:t>
      </w:r>
      <w:r w:rsidRPr="00291DF5">
        <w:t>ekvivalenti emisija CO</w:t>
      </w:r>
      <w:r w:rsidRPr="005808FC">
        <w:rPr>
          <w:vertAlign w:val="subscript"/>
        </w:rPr>
        <w:t>2</w:t>
      </w:r>
      <w:r w:rsidRPr="005808FC">
        <w:t xml:space="preserve"> za autobusni</w:t>
      </w:r>
      <w:r w:rsidR="000509A0">
        <w:t xml:space="preserve"> i </w:t>
      </w:r>
      <w:r w:rsidRPr="00291DF5">
        <w:t>tračni prijevoz Grada Zagreba.</w:t>
      </w:r>
    </w:p>
    <w:p w14:paraId="282B0508" w14:textId="77777777" w:rsidR="002907A0" w:rsidRPr="00922031" w:rsidRDefault="002907A0" w:rsidP="002907A0">
      <w:pPr>
        <w:spacing w:after="0" w:line="240" w:lineRule="auto"/>
        <w:rPr>
          <w:rFonts w:cstheme="minorHAnsi"/>
        </w:rPr>
      </w:pPr>
    </w:p>
    <w:p w14:paraId="156CCF36" w14:textId="52E4D483" w:rsidR="002907A0" w:rsidRPr="005808FC" w:rsidRDefault="0082211F">
      <w:pPr>
        <w:pStyle w:val="Caption"/>
        <w:rPr>
          <w:rFonts w:asciiTheme="minorHAnsi" w:hAnsiTheme="minorHAnsi" w:cstheme="minorBidi"/>
          <w:lang w:val="hr-HR"/>
        </w:rPr>
      </w:pPr>
      <w:bookmarkStart w:id="65" w:name="_Toc251924022"/>
      <w:bookmarkStart w:id="66" w:name="_Toc4155997"/>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4</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7</w:t>
      </w:r>
      <w:r w:rsidR="0019556A">
        <w:fldChar w:fldCharType="end"/>
      </w:r>
      <w:r w:rsidRPr="005808FC">
        <w:rPr>
          <w:lang w:val="hr-HR"/>
        </w:rPr>
        <w:t xml:space="preserve"> - </w:t>
      </w:r>
      <w:r w:rsidR="002907A0" w:rsidRPr="005808FC">
        <w:rPr>
          <w:rFonts w:asciiTheme="minorHAnsi" w:hAnsiTheme="minorHAnsi" w:cstheme="minorBidi"/>
          <w:lang w:val="hr-HR"/>
        </w:rPr>
        <w:t>Potrošnje energije te pripadajuće emisije</w:t>
      </w:r>
      <w:r w:rsidR="000509A0">
        <w:rPr>
          <w:rFonts w:asciiTheme="minorHAnsi" w:hAnsiTheme="minorHAnsi" w:cstheme="minorBidi"/>
          <w:lang w:val="hr-HR"/>
        </w:rPr>
        <w:t xml:space="preserve"> i </w:t>
      </w:r>
      <w:r w:rsidR="002907A0" w:rsidRPr="005808FC">
        <w:rPr>
          <w:rFonts w:asciiTheme="minorHAnsi" w:hAnsiTheme="minorHAnsi" w:cstheme="minorBidi"/>
          <w:lang w:val="hr-HR"/>
        </w:rPr>
        <w:t>ekvivalenti emisija CO</w:t>
      </w:r>
      <w:r w:rsidR="002907A0" w:rsidRPr="005808FC">
        <w:rPr>
          <w:rFonts w:asciiTheme="minorHAnsi" w:hAnsiTheme="minorHAnsi" w:cstheme="minorBidi"/>
          <w:vertAlign w:val="subscript"/>
          <w:lang w:val="hr-HR"/>
        </w:rPr>
        <w:t>2</w:t>
      </w:r>
      <w:r w:rsidR="002907A0" w:rsidRPr="005808FC">
        <w:rPr>
          <w:rFonts w:asciiTheme="minorHAnsi" w:hAnsiTheme="minorHAnsi" w:cstheme="minorBidi"/>
          <w:lang w:val="hr-HR"/>
        </w:rPr>
        <w:t xml:space="preserve"> za autobusni</w:t>
      </w:r>
      <w:r w:rsidR="000509A0">
        <w:rPr>
          <w:rFonts w:asciiTheme="minorHAnsi" w:hAnsiTheme="minorHAnsi" w:cstheme="minorBidi"/>
          <w:lang w:val="hr-HR"/>
        </w:rPr>
        <w:t xml:space="preserve"> i </w:t>
      </w:r>
      <w:r w:rsidR="002907A0" w:rsidRPr="005808FC">
        <w:rPr>
          <w:rFonts w:asciiTheme="minorHAnsi" w:hAnsiTheme="minorHAnsi" w:cstheme="minorBidi"/>
          <w:lang w:val="hr-HR"/>
        </w:rPr>
        <w:t>tračni prijevoz Grada Zagreba</w:t>
      </w:r>
      <w:bookmarkEnd w:id="65"/>
      <w:bookmarkEnd w:id="66"/>
    </w:p>
    <w:tbl>
      <w:tblPr>
        <w:tblW w:w="9077"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7"/>
        <w:gridCol w:w="2127"/>
        <w:gridCol w:w="1701"/>
        <w:gridCol w:w="1842"/>
      </w:tblGrid>
      <w:tr w:rsidR="002907A0" w:rsidRPr="00922031" w14:paraId="23296C0D" w14:textId="77777777" w:rsidTr="005808FC">
        <w:trPr>
          <w:trHeight w:val="227"/>
        </w:trPr>
        <w:tc>
          <w:tcPr>
            <w:tcW w:w="9077" w:type="dxa"/>
            <w:gridSpan w:val="4"/>
            <w:shd w:val="clear" w:color="auto" w:fill="C6D9F1" w:themeFill="text2" w:themeFillTint="33"/>
            <w:noWrap/>
            <w:vAlign w:val="center"/>
            <w:hideMark/>
          </w:tcPr>
          <w:p w14:paraId="0A561327"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 xml:space="preserve">JAVNI </w:t>
            </w:r>
            <w:r w:rsidRPr="00291DF5">
              <w:rPr>
                <w:rFonts w:eastAsia="Times New Roman"/>
                <w:b/>
                <w:bCs/>
                <w:sz w:val="20"/>
                <w:szCs w:val="20"/>
                <w:lang w:eastAsia="hr-HR"/>
              </w:rPr>
              <w:t xml:space="preserve">PRIJEVOZ U </w:t>
            </w:r>
            <w:r w:rsidRPr="005808FC">
              <w:rPr>
                <w:rFonts w:eastAsia="Times New Roman"/>
                <w:b/>
                <w:bCs/>
                <w:sz w:val="20"/>
                <w:szCs w:val="20"/>
                <w:lang w:eastAsia="hr-HR"/>
              </w:rPr>
              <w:t>GRADU ZAGREBU</w:t>
            </w:r>
          </w:p>
        </w:tc>
      </w:tr>
      <w:tr w:rsidR="002907A0" w:rsidRPr="00922031" w14:paraId="48EB4411" w14:textId="77777777" w:rsidTr="005808FC">
        <w:trPr>
          <w:trHeight w:val="227"/>
        </w:trPr>
        <w:tc>
          <w:tcPr>
            <w:tcW w:w="3407" w:type="dxa"/>
            <w:shd w:val="clear" w:color="auto" w:fill="C6D9F1" w:themeFill="text2" w:themeFillTint="33"/>
            <w:noWrap/>
            <w:vAlign w:val="center"/>
            <w:hideMark/>
          </w:tcPr>
          <w:p w14:paraId="072300FF"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POTKATEGORIJA</w:t>
            </w:r>
          </w:p>
        </w:tc>
        <w:tc>
          <w:tcPr>
            <w:tcW w:w="2127" w:type="dxa"/>
            <w:shd w:val="clear" w:color="auto" w:fill="C6D9F1" w:themeFill="text2" w:themeFillTint="33"/>
            <w:vAlign w:val="center"/>
            <w:hideMark/>
          </w:tcPr>
          <w:p w14:paraId="64E9FB0B"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Potrošena energija, MWh</w:t>
            </w:r>
          </w:p>
        </w:tc>
        <w:tc>
          <w:tcPr>
            <w:tcW w:w="1701" w:type="dxa"/>
            <w:shd w:val="clear" w:color="auto" w:fill="C6D9F1" w:themeFill="text2" w:themeFillTint="33"/>
            <w:vAlign w:val="center"/>
            <w:hideMark/>
          </w:tcPr>
          <w:p w14:paraId="7F50CEFA"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 xml:space="preserve">2 </w:t>
            </w:r>
            <w:r w:rsidRPr="005808FC">
              <w:rPr>
                <w:rFonts w:eastAsia="Times New Roman"/>
                <w:b/>
                <w:bCs/>
                <w:sz w:val="20"/>
                <w:szCs w:val="20"/>
                <w:lang w:eastAsia="hr-HR"/>
              </w:rPr>
              <w:t>t</w:t>
            </w:r>
          </w:p>
        </w:tc>
        <w:tc>
          <w:tcPr>
            <w:tcW w:w="1842" w:type="dxa"/>
            <w:shd w:val="clear" w:color="auto" w:fill="C6D9F1" w:themeFill="text2" w:themeFillTint="33"/>
            <w:vAlign w:val="center"/>
            <w:hideMark/>
          </w:tcPr>
          <w:p w14:paraId="5A2141EF"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2</w:t>
            </w:r>
            <w:r w:rsidRPr="005808FC">
              <w:rPr>
                <w:rFonts w:eastAsia="Times New Roman"/>
                <w:b/>
                <w:bCs/>
                <w:sz w:val="20"/>
                <w:szCs w:val="20"/>
                <w:lang w:eastAsia="hr-HR"/>
              </w:rPr>
              <w:t>-ekv, t</w:t>
            </w:r>
          </w:p>
        </w:tc>
      </w:tr>
      <w:tr w:rsidR="002907A0" w:rsidRPr="00922031" w14:paraId="742D99F3" w14:textId="77777777" w:rsidTr="005808FC">
        <w:trPr>
          <w:trHeight w:val="227"/>
        </w:trPr>
        <w:tc>
          <w:tcPr>
            <w:tcW w:w="3407" w:type="dxa"/>
            <w:shd w:val="clear" w:color="auto" w:fill="F2DBDB" w:themeFill="accent2" w:themeFillTint="33"/>
            <w:noWrap/>
            <w:vAlign w:val="bottom"/>
            <w:hideMark/>
          </w:tcPr>
          <w:p w14:paraId="049F1CA4"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UKUPNO</w:t>
            </w:r>
          </w:p>
        </w:tc>
        <w:tc>
          <w:tcPr>
            <w:tcW w:w="2127" w:type="dxa"/>
            <w:shd w:val="clear" w:color="auto" w:fill="auto"/>
            <w:noWrap/>
            <w:vAlign w:val="bottom"/>
            <w:hideMark/>
          </w:tcPr>
          <w:p w14:paraId="671A7899"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138 029,0</w:t>
            </w:r>
          </w:p>
        </w:tc>
        <w:tc>
          <w:tcPr>
            <w:tcW w:w="1701" w:type="dxa"/>
            <w:shd w:val="clear" w:color="auto" w:fill="auto"/>
            <w:noWrap/>
            <w:vAlign w:val="bottom"/>
            <w:hideMark/>
          </w:tcPr>
          <w:p w14:paraId="7D91682F"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56 320,9</w:t>
            </w:r>
          </w:p>
        </w:tc>
        <w:tc>
          <w:tcPr>
            <w:tcW w:w="1842" w:type="dxa"/>
            <w:shd w:val="clear" w:color="auto" w:fill="auto"/>
            <w:noWrap/>
            <w:vAlign w:val="bottom"/>
            <w:hideMark/>
          </w:tcPr>
          <w:p w14:paraId="4E56D4C6"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56 757,5</w:t>
            </w:r>
          </w:p>
        </w:tc>
      </w:tr>
      <w:tr w:rsidR="002907A0" w:rsidRPr="00922031" w14:paraId="22784095" w14:textId="77777777" w:rsidTr="005808FC">
        <w:trPr>
          <w:trHeight w:val="227"/>
        </w:trPr>
        <w:tc>
          <w:tcPr>
            <w:tcW w:w="3407" w:type="dxa"/>
            <w:shd w:val="clear" w:color="auto" w:fill="F2DBDB" w:themeFill="accent2" w:themeFillTint="33"/>
            <w:noWrap/>
            <w:vAlign w:val="bottom"/>
            <w:hideMark/>
          </w:tcPr>
          <w:p w14:paraId="1478004F"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 xml:space="preserve"> Autobusni prijevoz</w:t>
            </w:r>
          </w:p>
        </w:tc>
        <w:tc>
          <w:tcPr>
            <w:tcW w:w="2127" w:type="dxa"/>
            <w:shd w:val="clear" w:color="auto" w:fill="auto"/>
            <w:noWrap/>
            <w:vAlign w:val="bottom"/>
            <w:hideMark/>
          </w:tcPr>
          <w:p w14:paraId="5AB08215"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137 967,5</w:t>
            </w:r>
          </w:p>
        </w:tc>
        <w:tc>
          <w:tcPr>
            <w:tcW w:w="1701" w:type="dxa"/>
            <w:shd w:val="clear" w:color="auto" w:fill="auto"/>
            <w:noWrap/>
            <w:vAlign w:val="bottom"/>
            <w:hideMark/>
          </w:tcPr>
          <w:p w14:paraId="407B3FFD"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36 453,8</w:t>
            </w:r>
          </w:p>
        </w:tc>
        <w:tc>
          <w:tcPr>
            <w:tcW w:w="1842" w:type="dxa"/>
            <w:shd w:val="clear" w:color="auto" w:fill="auto"/>
            <w:noWrap/>
            <w:vAlign w:val="bottom"/>
            <w:hideMark/>
          </w:tcPr>
          <w:p w14:paraId="53529703"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36 890,4</w:t>
            </w:r>
          </w:p>
        </w:tc>
      </w:tr>
      <w:tr w:rsidR="002907A0" w:rsidRPr="00922031" w14:paraId="7DA88456" w14:textId="77777777" w:rsidTr="005808FC">
        <w:trPr>
          <w:trHeight w:val="227"/>
        </w:trPr>
        <w:tc>
          <w:tcPr>
            <w:tcW w:w="3407" w:type="dxa"/>
            <w:shd w:val="clear" w:color="auto" w:fill="F2DBDB" w:themeFill="accent2" w:themeFillTint="33"/>
            <w:noWrap/>
            <w:vAlign w:val="bottom"/>
            <w:hideMark/>
          </w:tcPr>
          <w:p w14:paraId="7A525C95"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 xml:space="preserve"> Vozila na električni pogon</w:t>
            </w:r>
          </w:p>
        </w:tc>
        <w:tc>
          <w:tcPr>
            <w:tcW w:w="2127" w:type="dxa"/>
            <w:shd w:val="clear" w:color="auto" w:fill="auto"/>
            <w:noWrap/>
            <w:vAlign w:val="bottom"/>
            <w:hideMark/>
          </w:tcPr>
          <w:p w14:paraId="44B6B2C5" w14:textId="56DECC01"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61</w:t>
            </w:r>
            <w:r w:rsidR="00D563D8">
              <w:rPr>
                <w:rFonts w:eastAsia="Times New Roman"/>
                <w:sz w:val="20"/>
                <w:szCs w:val="20"/>
                <w:lang w:eastAsia="hr-HR"/>
              </w:rPr>
              <w:t xml:space="preserve"> </w:t>
            </w:r>
            <w:r w:rsidRPr="003E50D1">
              <w:rPr>
                <w:rFonts w:eastAsia="Times New Roman"/>
                <w:sz w:val="20"/>
                <w:szCs w:val="20"/>
                <w:lang w:eastAsia="hr-HR"/>
              </w:rPr>
              <w:t>5</w:t>
            </w:r>
            <w:r w:rsidR="00D563D8">
              <w:rPr>
                <w:rFonts w:eastAsia="Times New Roman"/>
                <w:sz w:val="20"/>
                <w:szCs w:val="20"/>
                <w:lang w:eastAsia="hr-HR"/>
              </w:rPr>
              <w:t>00</w:t>
            </w:r>
          </w:p>
        </w:tc>
        <w:tc>
          <w:tcPr>
            <w:tcW w:w="1701" w:type="dxa"/>
            <w:shd w:val="clear" w:color="auto" w:fill="auto"/>
            <w:noWrap/>
            <w:vAlign w:val="bottom"/>
            <w:hideMark/>
          </w:tcPr>
          <w:p w14:paraId="2FF5061C"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19 867,1</w:t>
            </w:r>
          </w:p>
        </w:tc>
        <w:tc>
          <w:tcPr>
            <w:tcW w:w="1842" w:type="dxa"/>
            <w:shd w:val="clear" w:color="auto" w:fill="auto"/>
            <w:noWrap/>
            <w:vAlign w:val="bottom"/>
            <w:hideMark/>
          </w:tcPr>
          <w:p w14:paraId="65F83224"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19 867,1</w:t>
            </w:r>
          </w:p>
        </w:tc>
      </w:tr>
    </w:tbl>
    <w:p w14:paraId="44E9E1B6" w14:textId="77777777" w:rsidR="002907A0" w:rsidRPr="00922031" w:rsidRDefault="002907A0" w:rsidP="002907A0">
      <w:pPr>
        <w:pStyle w:val="NoSpacing"/>
        <w:rPr>
          <w:rFonts w:asciiTheme="minorHAnsi" w:hAnsiTheme="minorHAnsi" w:cstheme="minorHAnsi"/>
          <w:b/>
          <w:i/>
        </w:rPr>
      </w:pPr>
    </w:p>
    <w:p w14:paraId="5B84D05E" w14:textId="2E5912E5"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Detaljni opis korištene metodologije, podaci o broju, starosti</w:t>
      </w:r>
      <w:r w:rsidR="000509A0">
        <w:rPr>
          <w:rFonts w:asciiTheme="minorHAnsi" w:hAnsiTheme="minorHAnsi" w:cstheme="minorBidi"/>
        </w:rPr>
        <w:t xml:space="preserve"> i </w:t>
      </w:r>
      <w:r w:rsidRPr="003E50D1">
        <w:rPr>
          <w:rFonts w:asciiTheme="minorHAnsi" w:hAnsiTheme="minorHAnsi" w:cstheme="minorBidi"/>
        </w:rPr>
        <w:t>potrošnjama vozila javnog gradskog prijevoza, emisijski faktori</w:t>
      </w:r>
      <w:r w:rsidR="000509A0">
        <w:rPr>
          <w:rFonts w:asciiTheme="minorHAnsi" w:hAnsiTheme="minorHAnsi" w:cstheme="minorBidi"/>
        </w:rPr>
        <w:t xml:space="preserve"> i </w:t>
      </w:r>
      <w:r w:rsidRPr="003E50D1">
        <w:rPr>
          <w:rFonts w:asciiTheme="minorHAnsi" w:hAnsiTheme="minorHAnsi" w:cstheme="minorBidi"/>
        </w:rPr>
        <w:t xml:space="preserve">drugi relevantni podaci dani su u </w:t>
      </w:r>
      <w:r w:rsidR="001D03F0" w:rsidRPr="005808FC">
        <w:rPr>
          <w:rFonts w:asciiTheme="minorHAnsi" w:hAnsiTheme="minorHAnsi" w:cstheme="minorBidi"/>
          <w:i/>
          <w:iCs/>
        </w:rPr>
        <w:t>Prilogu 7</w:t>
      </w:r>
      <w:r w:rsidR="00333EAA" w:rsidRPr="003E50D1">
        <w:rPr>
          <w:rFonts w:asciiTheme="minorHAnsi" w:hAnsiTheme="minorHAnsi" w:cstheme="minorBidi"/>
        </w:rPr>
        <w:t xml:space="preserve"> -</w:t>
      </w:r>
      <w:r w:rsidR="00333EAA" w:rsidRPr="005808FC">
        <w:rPr>
          <w:rFonts w:cstheme="minorBidi"/>
          <w:i/>
          <w:iCs/>
        </w:rPr>
        <w:t xml:space="preserve"> Osnovne odrednice</w:t>
      </w:r>
      <w:r w:rsidR="000509A0">
        <w:rPr>
          <w:rFonts w:cstheme="minorBidi"/>
          <w:i/>
          <w:iCs/>
        </w:rPr>
        <w:t xml:space="preserve"> i </w:t>
      </w:r>
      <w:r w:rsidR="00333EAA" w:rsidRPr="00291DF5">
        <w:rPr>
          <w:rFonts w:cstheme="minorBidi"/>
          <w:i/>
          <w:iCs/>
        </w:rPr>
        <w:t>podloge za praćenje emisija CO</w:t>
      </w:r>
      <w:r w:rsidR="00333EAA" w:rsidRPr="005808FC">
        <w:rPr>
          <w:rFonts w:cstheme="minorBidi"/>
          <w:i/>
          <w:iCs/>
          <w:vertAlign w:val="subscript"/>
        </w:rPr>
        <w:t>2</w:t>
      </w:r>
      <w:r w:rsidR="00333EAA" w:rsidRPr="005808FC">
        <w:rPr>
          <w:rFonts w:cstheme="minorBidi"/>
          <w:i/>
          <w:iCs/>
        </w:rPr>
        <w:t xml:space="preserve"> za izradu SEAP-a Grada Zagreba</w:t>
      </w:r>
      <w:r w:rsidRPr="005808FC">
        <w:rPr>
          <w:rFonts w:asciiTheme="minorHAnsi" w:hAnsiTheme="minorHAnsi" w:cstheme="minorBidi"/>
        </w:rPr>
        <w:t>.</w:t>
      </w:r>
    </w:p>
    <w:p w14:paraId="113A8A68" w14:textId="5139BD9E" w:rsidR="002907A0" w:rsidRPr="007053EB" w:rsidRDefault="002907A0" w:rsidP="007053EB">
      <w:pPr>
        <w:pStyle w:val="Heading3"/>
      </w:pPr>
      <w:bookmarkStart w:id="67" w:name="_Toc251052165"/>
      <w:bookmarkStart w:id="68" w:name="_Toc251920770"/>
      <w:bookmarkStart w:id="69" w:name="_Toc4156079"/>
      <w:bookmarkEnd w:id="67"/>
      <w:r w:rsidRPr="007053EB">
        <w:t>Emisije CO</w:t>
      </w:r>
      <w:r w:rsidRPr="005808FC">
        <w:rPr>
          <w:vertAlign w:val="subscript"/>
        </w:rPr>
        <w:t>2</w:t>
      </w:r>
      <w:r w:rsidRPr="007053EB">
        <w:t xml:space="preserve"> osobnih</w:t>
      </w:r>
      <w:r w:rsidR="000509A0">
        <w:t xml:space="preserve"> i </w:t>
      </w:r>
      <w:r w:rsidRPr="007053EB">
        <w:t>komercijalnih vozila</w:t>
      </w:r>
      <w:bookmarkEnd w:id="68"/>
      <w:bookmarkEnd w:id="69"/>
    </w:p>
    <w:p w14:paraId="0DDC6C9C" w14:textId="2F2C2DB1"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Podsektor osobna</w:t>
      </w:r>
      <w:r w:rsidR="000509A0">
        <w:rPr>
          <w:rFonts w:asciiTheme="minorHAnsi" w:hAnsiTheme="minorHAnsi" w:cstheme="minorBidi"/>
        </w:rPr>
        <w:t xml:space="preserve"> i </w:t>
      </w:r>
      <w:r w:rsidRPr="003E50D1">
        <w:rPr>
          <w:rFonts w:asciiTheme="minorHAnsi" w:hAnsiTheme="minorHAnsi" w:cstheme="minorBidi"/>
        </w:rPr>
        <w:t xml:space="preserve">komercijalna vozila čine sljedeće kategorije: </w:t>
      </w:r>
    </w:p>
    <w:p w14:paraId="5C3F5252" w14:textId="77777777" w:rsidR="002907A0" w:rsidRPr="005808FC" w:rsidRDefault="002907A0" w:rsidP="005808FC">
      <w:pPr>
        <w:pStyle w:val="NoSpacing"/>
        <w:numPr>
          <w:ilvl w:val="0"/>
          <w:numId w:val="40"/>
        </w:numPr>
        <w:spacing w:line="276" w:lineRule="auto"/>
        <w:rPr>
          <w:rFonts w:asciiTheme="minorHAnsi" w:hAnsiTheme="minorHAnsi" w:cstheme="minorBidi"/>
        </w:rPr>
      </w:pPr>
      <w:r w:rsidRPr="003E50D1">
        <w:rPr>
          <w:rFonts w:asciiTheme="minorHAnsi" w:hAnsiTheme="minorHAnsi" w:cstheme="minorBidi"/>
        </w:rPr>
        <w:t>osobna vozila;</w:t>
      </w:r>
    </w:p>
    <w:p w14:paraId="0445EFBB" w14:textId="77777777" w:rsidR="002907A0" w:rsidRPr="005808FC" w:rsidRDefault="002907A0" w:rsidP="005808FC">
      <w:pPr>
        <w:pStyle w:val="NoSpacing"/>
        <w:numPr>
          <w:ilvl w:val="0"/>
          <w:numId w:val="40"/>
        </w:numPr>
        <w:spacing w:line="276" w:lineRule="auto"/>
        <w:rPr>
          <w:rFonts w:asciiTheme="minorHAnsi" w:hAnsiTheme="minorHAnsi" w:cstheme="minorBidi"/>
        </w:rPr>
      </w:pPr>
      <w:r w:rsidRPr="003E50D1">
        <w:rPr>
          <w:rFonts w:asciiTheme="minorHAnsi" w:hAnsiTheme="minorHAnsi" w:cstheme="minorBidi"/>
        </w:rPr>
        <w:t xml:space="preserve">kombinirana vozila; </w:t>
      </w:r>
    </w:p>
    <w:p w14:paraId="0A0A878B" w14:textId="77777777" w:rsidR="002907A0" w:rsidRPr="005808FC" w:rsidRDefault="002907A0" w:rsidP="005808FC">
      <w:pPr>
        <w:pStyle w:val="NoSpacing"/>
        <w:numPr>
          <w:ilvl w:val="0"/>
          <w:numId w:val="40"/>
        </w:numPr>
        <w:spacing w:line="276" w:lineRule="auto"/>
        <w:rPr>
          <w:rFonts w:asciiTheme="minorHAnsi" w:hAnsiTheme="minorHAnsi" w:cstheme="minorBidi"/>
        </w:rPr>
      </w:pPr>
      <w:r w:rsidRPr="003E50D1">
        <w:rPr>
          <w:rFonts w:asciiTheme="minorHAnsi" w:hAnsiTheme="minorHAnsi" w:cstheme="minorBidi"/>
        </w:rPr>
        <w:t>teretna vozila;</w:t>
      </w:r>
    </w:p>
    <w:p w14:paraId="50FE9239" w14:textId="4CE1AA3B" w:rsidR="002907A0" w:rsidRPr="005808FC" w:rsidRDefault="002907A0" w:rsidP="005808FC">
      <w:pPr>
        <w:pStyle w:val="NoSpacing"/>
        <w:numPr>
          <w:ilvl w:val="0"/>
          <w:numId w:val="40"/>
        </w:numPr>
        <w:spacing w:line="276" w:lineRule="auto"/>
        <w:rPr>
          <w:rFonts w:asciiTheme="minorHAnsi" w:hAnsiTheme="minorHAnsi" w:cstheme="minorBidi"/>
        </w:rPr>
      </w:pPr>
      <w:r w:rsidRPr="003E50D1">
        <w:rPr>
          <w:rFonts w:asciiTheme="minorHAnsi" w:hAnsiTheme="minorHAnsi" w:cstheme="minorBidi"/>
        </w:rPr>
        <w:t>mopedi</w:t>
      </w:r>
      <w:r w:rsidR="000509A0">
        <w:rPr>
          <w:rFonts w:asciiTheme="minorHAnsi" w:hAnsiTheme="minorHAnsi" w:cstheme="minorBidi"/>
        </w:rPr>
        <w:t xml:space="preserve"> i </w:t>
      </w:r>
      <w:r w:rsidRPr="003E50D1">
        <w:rPr>
          <w:rFonts w:asciiTheme="minorHAnsi" w:hAnsiTheme="minorHAnsi" w:cstheme="minorBidi"/>
        </w:rPr>
        <w:t>motocikli.</w:t>
      </w:r>
    </w:p>
    <w:p w14:paraId="513C6D6C" w14:textId="77777777" w:rsidR="002907A0" w:rsidRPr="00922031" w:rsidRDefault="002907A0" w:rsidP="001D779A">
      <w:pPr>
        <w:pStyle w:val="NoSpacing"/>
        <w:spacing w:line="276" w:lineRule="auto"/>
        <w:rPr>
          <w:rFonts w:asciiTheme="minorHAnsi" w:hAnsiTheme="minorHAnsi" w:cstheme="minorHAnsi"/>
        </w:rPr>
      </w:pPr>
    </w:p>
    <w:p w14:paraId="163EA479" w14:textId="4ACE7D16" w:rsidR="002907A0" w:rsidRPr="005808FC" w:rsidRDefault="002907A0">
      <w:pPr>
        <w:pStyle w:val="NoSpacing"/>
        <w:rPr>
          <w:rFonts w:asciiTheme="minorHAnsi" w:hAnsiTheme="minorHAnsi" w:cstheme="minorBidi"/>
        </w:rPr>
      </w:pPr>
      <w:r w:rsidRPr="003E50D1">
        <w:rPr>
          <w:rFonts w:asciiTheme="minorHAnsi" w:hAnsiTheme="minorHAnsi" w:cstheme="minorBidi"/>
        </w:rPr>
        <w:t>Ukupna potrošnja pojedine vrste goriva podsektora</w:t>
      </w:r>
      <w:r w:rsidR="000443DF">
        <w:rPr>
          <w:rFonts w:asciiTheme="minorHAnsi" w:hAnsiTheme="minorHAnsi" w:cstheme="minorBidi"/>
        </w:rPr>
        <w:t xml:space="preserve"> </w:t>
      </w:r>
      <w:r w:rsidR="000443DF" w:rsidRPr="003E50D1">
        <w:rPr>
          <w:rFonts w:asciiTheme="minorHAnsi" w:hAnsiTheme="minorHAnsi" w:cstheme="minorBidi"/>
        </w:rPr>
        <w:t>osobn</w:t>
      </w:r>
      <w:r w:rsidR="000443DF">
        <w:rPr>
          <w:rFonts w:asciiTheme="minorHAnsi" w:hAnsiTheme="minorHAnsi" w:cstheme="minorBidi"/>
        </w:rPr>
        <w:t xml:space="preserve">ih i </w:t>
      </w:r>
      <w:r w:rsidR="000443DF" w:rsidRPr="003E50D1">
        <w:rPr>
          <w:rFonts w:asciiTheme="minorHAnsi" w:hAnsiTheme="minorHAnsi" w:cstheme="minorBidi"/>
        </w:rPr>
        <w:t>komercijaln</w:t>
      </w:r>
      <w:r w:rsidR="000443DF">
        <w:rPr>
          <w:rFonts w:asciiTheme="minorHAnsi" w:hAnsiTheme="minorHAnsi" w:cstheme="minorBidi"/>
        </w:rPr>
        <w:t>ih</w:t>
      </w:r>
      <w:r w:rsidR="000443DF" w:rsidRPr="003E50D1">
        <w:rPr>
          <w:rFonts w:asciiTheme="minorHAnsi" w:hAnsiTheme="minorHAnsi" w:cstheme="minorBidi"/>
        </w:rPr>
        <w:t xml:space="preserve"> vozila</w:t>
      </w:r>
      <w:r w:rsidRPr="00291DF5">
        <w:rPr>
          <w:rFonts w:asciiTheme="minorHAnsi" w:hAnsiTheme="minorHAnsi" w:cstheme="minorBidi"/>
        </w:rPr>
        <w:t xml:space="preserve"> u 2008. godini prikazana je u </w:t>
      </w:r>
      <w:r w:rsidR="00FC154F" w:rsidRPr="005808FC">
        <w:rPr>
          <w:rFonts w:asciiTheme="minorHAnsi" w:hAnsiTheme="minorHAnsi" w:cstheme="minorBidi"/>
        </w:rPr>
        <w:t>T</w:t>
      </w:r>
      <w:r w:rsidRPr="005808FC">
        <w:rPr>
          <w:rFonts w:asciiTheme="minorHAnsi" w:hAnsiTheme="minorHAnsi" w:cstheme="minorBidi"/>
        </w:rPr>
        <w:t xml:space="preserve">ablici </w:t>
      </w:r>
      <w:r w:rsidR="00FC154F" w:rsidRPr="005808FC">
        <w:rPr>
          <w:rFonts w:asciiTheme="minorHAnsi" w:hAnsiTheme="minorHAnsi" w:cstheme="minorBidi"/>
        </w:rPr>
        <w:t>4</w:t>
      </w:r>
      <w:r w:rsidRPr="005808FC">
        <w:rPr>
          <w:rFonts w:asciiTheme="minorHAnsi" w:hAnsiTheme="minorHAnsi" w:cstheme="minorBidi"/>
        </w:rPr>
        <w:t xml:space="preserve">.8. </w:t>
      </w:r>
    </w:p>
    <w:p w14:paraId="7C38806F" w14:textId="77777777" w:rsidR="002907A0" w:rsidRPr="00922031" w:rsidRDefault="002907A0" w:rsidP="002907A0">
      <w:pPr>
        <w:spacing w:after="0" w:line="240" w:lineRule="auto"/>
        <w:rPr>
          <w:rFonts w:cstheme="minorHAnsi"/>
        </w:rPr>
      </w:pPr>
      <w:bookmarkStart w:id="70" w:name="_Toc248427230"/>
    </w:p>
    <w:p w14:paraId="1EA4114C" w14:textId="2CE634CD" w:rsidR="002907A0" w:rsidRPr="00693B4B" w:rsidRDefault="0082211F" w:rsidP="0082211F">
      <w:pPr>
        <w:pStyle w:val="Caption"/>
        <w:keepNext/>
        <w:rPr>
          <w:lang w:val="hr-HR"/>
        </w:rPr>
      </w:pPr>
      <w:bookmarkStart w:id="71" w:name="_Toc251924023"/>
      <w:bookmarkStart w:id="72" w:name="_Toc4155998"/>
      <w:r w:rsidRPr="00693B4B">
        <w:rPr>
          <w:lang w:val="hr-HR"/>
        </w:rPr>
        <w:t xml:space="preserve">Tablica </w:t>
      </w:r>
      <w:r w:rsidR="0019556A">
        <w:fldChar w:fldCharType="begin"/>
      </w:r>
      <w:r w:rsidR="0019556A" w:rsidRPr="00693B4B">
        <w:rPr>
          <w:lang w:val="hr-HR"/>
        </w:rPr>
        <w:instrText xml:space="preserve"> STYLEREF 1 \s </w:instrText>
      </w:r>
      <w:r w:rsidR="0019556A">
        <w:fldChar w:fldCharType="separate"/>
      </w:r>
      <w:r w:rsidR="0019556A" w:rsidRPr="00693B4B">
        <w:rPr>
          <w:noProof/>
          <w:lang w:val="hr-HR"/>
        </w:rPr>
        <w:t>4</w:t>
      </w:r>
      <w:r w:rsidR="0019556A">
        <w:fldChar w:fldCharType="end"/>
      </w:r>
      <w:r w:rsidR="0019556A" w:rsidRPr="00693B4B">
        <w:rPr>
          <w:lang w:val="hr-HR"/>
        </w:rPr>
        <w:t>.</w:t>
      </w:r>
      <w:r w:rsidR="0019556A">
        <w:fldChar w:fldCharType="begin"/>
      </w:r>
      <w:r w:rsidR="0019556A" w:rsidRPr="00693B4B">
        <w:rPr>
          <w:lang w:val="hr-HR"/>
        </w:rPr>
        <w:instrText xml:space="preserve"> SEQ Tablica \* ARABIC \s 1 </w:instrText>
      </w:r>
      <w:r w:rsidR="0019556A">
        <w:fldChar w:fldCharType="separate"/>
      </w:r>
      <w:r w:rsidR="0019556A" w:rsidRPr="00693B4B">
        <w:rPr>
          <w:noProof/>
          <w:lang w:val="hr-HR"/>
        </w:rPr>
        <w:t>8</w:t>
      </w:r>
      <w:r w:rsidR="0019556A">
        <w:fldChar w:fldCharType="end"/>
      </w:r>
      <w:r w:rsidRPr="00693B4B">
        <w:rPr>
          <w:lang w:val="hr-HR"/>
        </w:rPr>
        <w:t xml:space="preserve"> -</w:t>
      </w:r>
      <w:bookmarkEnd w:id="70"/>
      <w:r w:rsidR="002907A0" w:rsidRPr="00693B4B">
        <w:rPr>
          <w:rFonts w:asciiTheme="minorHAnsi" w:hAnsiTheme="minorHAnsi" w:cstheme="minorBidi"/>
          <w:lang w:val="hr-HR"/>
        </w:rPr>
        <w:t xml:space="preserve"> Ukupna potrošnja pojedine vrste goriva podsektora</w:t>
      </w:r>
      <w:r w:rsidR="000443DF" w:rsidRPr="00693B4B">
        <w:rPr>
          <w:rFonts w:asciiTheme="minorHAnsi" w:hAnsiTheme="minorHAnsi" w:cstheme="minorBidi"/>
          <w:lang w:val="hr-HR"/>
        </w:rPr>
        <w:t xml:space="preserve"> osobnih i komercijalnih vozila</w:t>
      </w:r>
      <w:r w:rsidR="002907A0" w:rsidRPr="00693B4B">
        <w:rPr>
          <w:rFonts w:asciiTheme="minorHAnsi" w:hAnsiTheme="minorHAnsi" w:cstheme="minorBidi"/>
          <w:lang w:val="hr-HR"/>
        </w:rPr>
        <w:t xml:space="preserve"> u 2008. godini</w:t>
      </w:r>
      <w:bookmarkEnd w:id="71"/>
      <w:bookmarkEnd w:id="72"/>
    </w:p>
    <w:tbl>
      <w:tblPr>
        <w:tblW w:w="9108"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firstRow="0" w:lastRow="0" w:firstColumn="0" w:lastColumn="0" w:noHBand="0" w:noVBand="0"/>
      </w:tblPr>
      <w:tblGrid>
        <w:gridCol w:w="3474"/>
        <w:gridCol w:w="1701"/>
        <w:gridCol w:w="1418"/>
        <w:gridCol w:w="1176"/>
        <w:gridCol w:w="1339"/>
      </w:tblGrid>
      <w:tr w:rsidR="002907A0" w:rsidRPr="00922031" w14:paraId="3DD276A1" w14:textId="77777777" w:rsidTr="005808FC">
        <w:trPr>
          <w:trHeight w:hRule="exact" w:val="555"/>
          <w:jc w:val="center"/>
        </w:trPr>
        <w:tc>
          <w:tcPr>
            <w:tcW w:w="3474" w:type="dxa"/>
            <w:tcBorders>
              <w:top w:val="single" w:sz="8" w:space="0" w:color="auto"/>
              <w:bottom w:val="single" w:sz="8" w:space="0" w:color="auto"/>
            </w:tcBorders>
            <w:shd w:val="clear" w:color="auto" w:fill="C6D9F1" w:themeFill="text2" w:themeFillTint="33"/>
            <w:vAlign w:val="center"/>
          </w:tcPr>
          <w:p w14:paraId="1738448A" w14:textId="77777777" w:rsidR="002907A0" w:rsidRPr="005808FC" w:rsidRDefault="002907A0" w:rsidP="005808FC">
            <w:pPr>
              <w:spacing w:line="240" w:lineRule="auto"/>
              <w:jc w:val="center"/>
              <w:rPr>
                <w:b/>
                <w:bCs/>
                <w:sz w:val="20"/>
                <w:szCs w:val="20"/>
              </w:rPr>
            </w:pPr>
            <w:r w:rsidRPr="003E50D1">
              <w:rPr>
                <w:b/>
                <w:bCs/>
                <w:sz w:val="20"/>
                <w:szCs w:val="20"/>
              </w:rPr>
              <w:t>Potrošnja goriva, t/god</w:t>
            </w:r>
          </w:p>
        </w:tc>
        <w:tc>
          <w:tcPr>
            <w:tcW w:w="1701" w:type="dxa"/>
            <w:tcBorders>
              <w:top w:val="single" w:sz="8" w:space="0" w:color="auto"/>
              <w:bottom w:val="single" w:sz="8" w:space="0" w:color="auto"/>
            </w:tcBorders>
            <w:shd w:val="clear" w:color="auto" w:fill="C6D9F1" w:themeFill="text2" w:themeFillTint="33"/>
            <w:vAlign w:val="center"/>
          </w:tcPr>
          <w:p w14:paraId="64AA10E3" w14:textId="77777777" w:rsidR="002907A0" w:rsidRPr="005808FC" w:rsidRDefault="002907A0" w:rsidP="005808FC">
            <w:pPr>
              <w:spacing w:line="240" w:lineRule="auto"/>
              <w:jc w:val="center"/>
              <w:rPr>
                <w:b/>
                <w:bCs/>
                <w:sz w:val="20"/>
                <w:szCs w:val="20"/>
              </w:rPr>
            </w:pPr>
            <w:r w:rsidRPr="003E50D1">
              <w:rPr>
                <w:b/>
                <w:bCs/>
                <w:sz w:val="20"/>
                <w:szCs w:val="20"/>
              </w:rPr>
              <w:t>Diesel gorivo</w:t>
            </w:r>
          </w:p>
        </w:tc>
        <w:tc>
          <w:tcPr>
            <w:tcW w:w="1418" w:type="dxa"/>
            <w:tcBorders>
              <w:top w:val="single" w:sz="8" w:space="0" w:color="auto"/>
              <w:bottom w:val="single" w:sz="8" w:space="0" w:color="auto"/>
            </w:tcBorders>
            <w:shd w:val="clear" w:color="auto" w:fill="C6D9F1" w:themeFill="text2" w:themeFillTint="33"/>
            <w:vAlign w:val="center"/>
          </w:tcPr>
          <w:p w14:paraId="6B56BB7D" w14:textId="77777777" w:rsidR="002907A0" w:rsidRPr="005808FC" w:rsidRDefault="002907A0" w:rsidP="005808FC">
            <w:pPr>
              <w:spacing w:line="240" w:lineRule="auto"/>
              <w:jc w:val="center"/>
              <w:rPr>
                <w:b/>
                <w:bCs/>
                <w:sz w:val="20"/>
                <w:szCs w:val="20"/>
              </w:rPr>
            </w:pPr>
            <w:r w:rsidRPr="003E50D1">
              <w:rPr>
                <w:b/>
                <w:bCs/>
                <w:sz w:val="20"/>
                <w:szCs w:val="20"/>
              </w:rPr>
              <w:t>Bezolovni benzin</w:t>
            </w:r>
          </w:p>
        </w:tc>
        <w:tc>
          <w:tcPr>
            <w:tcW w:w="1176" w:type="dxa"/>
            <w:tcBorders>
              <w:top w:val="single" w:sz="8" w:space="0" w:color="auto"/>
              <w:bottom w:val="single" w:sz="8" w:space="0" w:color="auto"/>
            </w:tcBorders>
            <w:shd w:val="clear" w:color="auto" w:fill="C6D9F1" w:themeFill="text2" w:themeFillTint="33"/>
            <w:vAlign w:val="center"/>
          </w:tcPr>
          <w:p w14:paraId="7963A13E" w14:textId="77777777" w:rsidR="002907A0" w:rsidRPr="005808FC" w:rsidRDefault="002907A0" w:rsidP="005808FC">
            <w:pPr>
              <w:spacing w:line="240" w:lineRule="auto"/>
              <w:jc w:val="center"/>
              <w:rPr>
                <w:b/>
                <w:bCs/>
                <w:sz w:val="20"/>
                <w:szCs w:val="20"/>
              </w:rPr>
            </w:pPr>
            <w:r w:rsidRPr="003E50D1">
              <w:rPr>
                <w:b/>
                <w:bCs/>
                <w:sz w:val="20"/>
                <w:szCs w:val="20"/>
              </w:rPr>
              <w:t>LPG</w:t>
            </w:r>
          </w:p>
        </w:tc>
        <w:tc>
          <w:tcPr>
            <w:tcW w:w="1339" w:type="dxa"/>
            <w:tcBorders>
              <w:top w:val="single" w:sz="8" w:space="0" w:color="auto"/>
              <w:bottom w:val="single" w:sz="8" w:space="0" w:color="auto"/>
            </w:tcBorders>
            <w:shd w:val="clear" w:color="auto" w:fill="C6D9F1" w:themeFill="text2" w:themeFillTint="33"/>
            <w:vAlign w:val="center"/>
          </w:tcPr>
          <w:p w14:paraId="7E2DCB05" w14:textId="77777777" w:rsidR="002907A0" w:rsidRPr="005808FC" w:rsidRDefault="002907A0" w:rsidP="005808FC">
            <w:pPr>
              <w:spacing w:line="240" w:lineRule="auto"/>
              <w:jc w:val="center"/>
              <w:rPr>
                <w:b/>
                <w:bCs/>
                <w:sz w:val="20"/>
                <w:szCs w:val="20"/>
              </w:rPr>
            </w:pPr>
            <w:r w:rsidRPr="003E50D1">
              <w:rPr>
                <w:b/>
                <w:bCs/>
                <w:sz w:val="20"/>
                <w:szCs w:val="20"/>
              </w:rPr>
              <w:t>Prirodni plin</w:t>
            </w:r>
          </w:p>
        </w:tc>
      </w:tr>
      <w:tr w:rsidR="002907A0" w:rsidRPr="00922031" w14:paraId="50C10222" w14:textId="77777777" w:rsidTr="005808FC">
        <w:trPr>
          <w:trHeight w:hRule="exact" w:val="255"/>
          <w:jc w:val="center"/>
        </w:trPr>
        <w:tc>
          <w:tcPr>
            <w:tcW w:w="3474" w:type="dxa"/>
            <w:tcBorders>
              <w:top w:val="single" w:sz="8" w:space="0" w:color="auto"/>
            </w:tcBorders>
            <w:shd w:val="clear" w:color="auto" w:fill="F2DBDB" w:themeFill="accent2" w:themeFillTint="33"/>
            <w:vAlign w:val="center"/>
          </w:tcPr>
          <w:p w14:paraId="4E1DC30C" w14:textId="77777777" w:rsidR="002907A0" w:rsidRPr="005808FC" w:rsidRDefault="002907A0" w:rsidP="005808FC">
            <w:pPr>
              <w:spacing w:line="240" w:lineRule="auto"/>
              <w:rPr>
                <w:b/>
                <w:bCs/>
                <w:sz w:val="20"/>
                <w:szCs w:val="20"/>
              </w:rPr>
            </w:pPr>
            <w:r w:rsidRPr="003E50D1">
              <w:rPr>
                <w:b/>
                <w:bCs/>
                <w:sz w:val="20"/>
                <w:szCs w:val="20"/>
              </w:rPr>
              <w:t xml:space="preserve">Osobna </w:t>
            </w:r>
            <w:r w:rsidRPr="00291DF5">
              <w:rPr>
                <w:b/>
                <w:bCs/>
                <w:sz w:val="20"/>
                <w:szCs w:val="20"/>
              </w:rPr>
              <w:t>vozila</w:t>
            </w:r>
          </w:p>
        </w:tc>
        <w:tc>
          <w:tcPr>
            <w:tcW w:w="1701" w:type="dxa"/>
            <w:tcBorders>
              <w:top w:val="single" w:sz="8" w:space="0" w:color="auto"/>
            </w:tcBorders>
            <w:shd w:val="clear" w:color="auto" w:fill="auto"/>
            <w:vAlign w:val="center"/>
          </w:tcPr>
          <w:p w14:paraId="66D084EA" w14:textId="77777777" w:rsidR="002907A0" w:rsidRPr="005808FC" w:rsidRDefault="002907A0" w:rsidP="005808FC">
            <w:pPr>
              <w:spacing w:line="240" w:lineRule="auto"/>
              <w:jc w:val="center"/>
              <w:rPr>
                <w:sz w:val="20"/>
                <w:szCs w:val="20"/>
              </w:rPr>
            </w:pPr>
            <w:r w:rsidRPr="003E50D1">
              <w:rPr>
                <w:sz w:val="20"/>
                <w:szCs w:val="20"/>
              </w:rPr>
              <w:t>56.472,7</w:t>
            </w:r>
          </w:p>
          <w:p w14:paraId="6887F1E0" w14:textId="77777777" w:rsidR="002907A0" w:rsidRPr="00922031" w:rsidRDefault="002907A0" w:rsidP="002907A0">
            <w:pPr>
              <w:spacing w:line="240" w:lineRule="auto"/>
              <w:jc w:val="center"/>
              <w:rPr>
                <w:rFonts w:cstheme="minorHAnsi"/>
                <w:sz w:val="20"/>
              </w:rPr>
            </w:pPr>
          </w:p>
        </w:tc>
        <w:tc>
          <w:tcPr>
            <w:tcW w:w="1418" w:type="dxa"/>
            <w:tcBorders>
              <w:top w:val="single" w:sz="8" w:space="0" w:color="auto"/>
            </w:tcBorders>
            <w:shd w:val="clear" w:color="auto" w:fill="auto"/>
            <w:vAlign w:val="center"/>
          </w:tcPr>
          <w:p w14:paraId="42571BA8" w14:textId="77777777" w:rsidR="002907A0" w:rsidRPr="005808FC" w:rsidRDefault="002907A0" w:rsidP="005808FC">
            <w:pPr>
              <w:spacing w:line="240" w:lineRule="auto"/>
              <w:jc w:val="center"/>
              <w:rPr>
                <w:sz w:val="20"/>
                <w:szCs w:val="20"/>
              </w:rPr>
            </w:pPr>
            <w:r w:rsidRPr="003E50D1">
              <w:rPr>
                <w:sz w:val="20"/>
                <w:szCs w:val="20"/>
              </w:rPr>
              <w:t>124.361,2</w:t>
            </w:r>
          </w:p>
          <w:p w14:paraId="22CCCA7C" w14:textId="77777777" w:rsidR="002907A0" w:rsidRPr="00922031" w:rsidRDefault="002907A0" w:rsidP="002907A0">
            <w:pPr>
              <w:spacing w:line="240" w:lineRule="auto"/>
              <w:jc w:val="center"/>
              <w:rPr>
                <w:rFonts w:cstheme="minorHAnsi"/>
                <w:sz w:val="20"/>
              </w:rPr>
            </w:pPr>
          </w:p>
        </w:tc>
        <w:tc>
          <w:tcPr>
            <w:tcW w:w="1176" w:type="dxa"/>
            <w:tcBorders>
              <w:top w:val="single" w:sz="8" w:space="0" w:color="auto"/>
            </w:tcBorders>
            <w:shd w:val="clear" w:color="auto" w:fill="auto"/>
            <w:vAlign w:val="center"/>
          </w:tcPr>
          <w:p w14:paraId="2580B158" w14:textId="77777777" w:rsidR="002907A0" w:rsidRPr="005808FC" w:rsidRDefault="002907A0" w:rsidP="005808FC">
            <w:pPr>
              <w:spacing w:line="240" w:lineRule="auto"/>
              <w:jc w:val="center"/>
              <w:rPr>
                <w:sz w:val="20"/>
                <w:szCs w:val="20"/>
              </w:rPr>
            </w:pPr>
            <w:r w:rsidRPr="003E50D1">
              <w:rPr>
                <w:sz w:val="20"/>
                <w:szCs w:val="20"/>
              </w:rPr>
              <w:t>2.282,7</w:t>
            </w:r>
          </w:p>
        </w:tc>
        <w:tc>
          <w:tcPr>
            <w:tcW w:w="1339" w:type="dxa"/>
            <w:tcBorders>
              <w:top w:val="single" w:sz="8" w:space="0" w:color="auto"/>
            </w:tcBorders>
            <w:shd w:val="clear" w:color="auto" w:fill="auto"/>
            <w:vAlign w:val="center"/>
          </w:tcPr>
          <w:p w14:paraId="55203C95" w14:textId="77777777" w:rsidR="002907A0" w:rsidRPr="005808FC" w:rsidRDefault="002907A0" w:rsidP="005808FC">
            <w:pPr>
              <w:spacing w:line="240" w:lineRule="auto"/>
              <w:jc w:val="center"/>
              <w:rPr>
                <w:sz w:val="20"/>
                <w:szCs w:val="20"/>
              </w:rPr>
            </w:pPr>
            <w:r w:rsidRPr="003E50D1">
              <w:rPr>
                <w:sz w:val="20"/>
                <w:szCs w:val="20"/>
              </w:rPr>
              <w:t>33,2</w:t>
            </w:r>
          </w:p>
        </w:tc>
      </w:tr>
      <w:tr w:rsidR="002907A0" w:rsidRPr="00922031" w14:paraId="42E53ABF" w14:textId="77777777" w:rsidTr="005808FC">
        <w:trPr>
          <w:trHeight w:hRule="exact" w:val="255"/>
          <w:jc w:val="center"/>
        </w:trPr>
        <w:tc>
          <w:tcPr>
            <w:tcW w:w="3474" w:type="dxa"/>
            <w:shd w:val="clear" w:color="auto" w:fill="F2DBDB" w:themeFill="accent2" w:themeFillTint="33"/>
            <w:vAlign w:val="center"/>
          </w:tcPr>
          <w:p w14:paraId="177BC2AC" w14:textId="084C657D" w:rsidR="002907A0" w:rsidRPr="005808FC" w:rsidRDefault="002907A0" w:rsidP="005808FC">
            <w:pPr>
              <w:spacing w:line="240" w:lineRule="auto"/>
              <w:rPr>
                <w:b/>
                <w:bCs/>
                <w:sz w:val="20"/>
                <w:szCs w:val="20"/>
              </w:rPr>
            </w:pPr>
            <w:r w:rsidRPr="003E50D1">
              <w:rPr>
                <w:b/>
                <w:bCs/>
                <w:sz w:val="20"/>
                <w:szCs w:val="20"/>
              </w:rPr>
              <w:t>Teretna</w:t>
            </w:r>
            <w:r w:rsidR="000509A0">
              <w:rPr>
                <w:b/>
                <w:bCs/>
                <w:sz w:val="20"/>
                <w:szCs w:val="20"/>
              </w:rPr>
              <w:t xml:space="preserve"> i </w:t>
            </w:r>
            <w:r w:rsidRPr="003E50D1">
              <w:rPr>
                <w:b/>
                <w:bCs/>
                <w:sz w:val="20"/>
                <w:szCs w:val="20"/>
              </w:rPr>
              <w:t>kombinirana vozila</w:t>
            </w:r>
          </w:p>
        </w:tc>
        <w:tc>
          <w:tcPr>
            <w:tcW w:w="1701" w:type="dxa"/>
            <w:shd w:val="clear" w:color="auto" w:fill="auto"/>
            <w:vAlign w:val="center"/>
          </w:tcPr>
          <w:p w14:paraId="01E7FEAE" w14:textId="77777777" w:rsidR="002907A0" w:rsidRPr="005808FC" w:rsidRDefault="002907A0" w:rsidP="005808FC">
            <w:pPr>
              <w:spacing w:line="240" w:lineRule="auto"/>
              <w:jc w:val="center"/>
              <w:rPr>
                <w:sz w:val="20"/>
                <w:szCs w:val="20"/>
              </w:rPr>
            </w:pPr>
            <w:r w:rsidRPr="003E50D1">
              <w:rPr>
                <w:sz w:val="20"/>
                <w:szCs w:val="20"/>
              </w:rPr>
              <w:t>105.660,1</w:t>
            </w:r>
          </w:p>
        </w:tc>
        <w:tc>
          <w:tcPr>
            <w:tcW w:w="1418" w:type="dxa"/>
            <w:shd w:val="clear" w:color="auto" w:fill="auto"/>
            <w:vAlign w:val="center"/>
          </w:tcPr>
          <w:p w14:paraId="3C22038C" w14:textId="77777777" w:rsidR="002907A0" w:rsidRPr="005808FC" w:rsidRDefault="002907A0" w:rsidP="005808FC">
            <w:pPr>
              <w:spacing w:line="240" w:lineRule="auto"/>
              <w:jc w:val="center"/>
              <w:rPr>
                <w:sz w:val="20"/>
                <w:szCs w:val="20"/>
              </w:rPr>
            </w:pPr>
            <w:r w:rsidRPr="003E50D1">
              <w:rPr>
                <w:sz w:val="20"/>
                <w:szCs w:val="20"/>
              </w:rPr>
              <w:t>9.251,7</w:t>
            </w:r>
          </w:p>
        </w:tc>
        <w:tc>
          <w:tcPr>
            <w:tcW w:w="1176" w:type="dxa"/>
            <w:shd w:val="clear" w:color="auto" w:fill="auto"/>
            <w:vAlign w:val="center"/>
          </w:tcPr>
          <w:p w14:paraId="7FEEDD63" w14:textId="77777777" w:rsidR="002907A0" w:rsidRPr="005808FC" w:rsidRDefault="002907A0" w:rsidP="005808FC">
            <w:pPr>
              <w:spacing w:line="240" w:lineRule="auto"/>
              <w:jc w:val="center"/>
              <w:rPr>
                <w:sz w:val="20"/>
                <w:szCs w:val="20"/>
              </w:rPr>
            </w:pPr>
            <w:r w:rsidRPr="003E50D1">
              <w:rPr>
                <w:sz w:val="20"/>
                <w:szCs w:val="20"/>
              </w:rPr>
              <w:t>-</w:t>
            </w:r>
          </w:p>
        </w:tc>
        <w:tc>
          <w:tcPr>
            <w:tcW w:w="1339" w:type="dxa"/>
            <w:shd w:val="clear" w:color="auto" w:fill="auto"/>
            <w:vAlign w:val="center"/>
          </w:tcPr>
          <w:p w14:paraId="09B01368" w14:textId="77777777" w:rsidR="002907A0" w:rsidRPr="005808FC" w:rsidRDefault="002907A0" w:rsidP="005808FC">
            <w:pPr>
              <w:spacing w:line="240" w:lineRule="auto"/>
              <w:jc w:val="center"/>
              <w:rPr>
                <w:sz w:val="20"/>
                <w:szCs w:val="20"/>
              </w:rPr>
            </w:pPr>
            <w:r w:rsidRPr="003E50D1">
              <w:rPr>
                <w:sz w:val="20"/>
                <w:szCs w:val="20"/>
              </w:rPr>
              <w:t>-</w:t>
            </w:r>
          </w:p>
        </w:tc>
      </w:tr>
      <w:tr w:rsidR="002907A0" w:rsidRPr="00922031" w14:paraId="56D7C94B" w14:textId="77777777" w:rsidTr="005808FC">
        <w:trPr>
          <w:trHeight w:hRule="exact" w:val="255"/>
          <w:jc w:val="center"/>
        </w:trPr>
        <w:tc>
          <w:tcPr>
            <w:tcW w:w="3474" w:type="dxa"/>
            <w:tcBorders>
              <w:bottom w:val="single" w:sz="8" w:space="0" w:color="auto"/>
            </w:tcBorders>
            <w:shd w:val="clear" w:color="auto" w:fill="F2DBDB" w:themeFill="accent2" w:themeFillTint="33"/>
            <w:vAlign w:val="center"/>
          </w:tcPr>
          <w:p w14:paraId="6F0B938A" w14:textId="75DE2DE5" w:rsidR="002907A0" w:rsidRPr="005808FC" w:rsidRDefault="002907A0" w:rsidP="005808FC">
            <w:pPr>
              <w:spacing w:line="240" w:lineRule="auto"/>
              <w:rPr>
                <w:b/>
                <w:bCs/>
                <w:sz w:val="20"/>
                <w:szCs w:val="20"/>
              </w:rPr>
            </w:pPr>
            <w:r w:rsidRPr="003E50D1">
              <w:rPr>
                <w:b/>
                <w:bCs/>
                <w:sz w:val="20"/>
                <w:szCs w:val="20"/>
              </w:rPr>
              <w:t>Mopedi</w:t>
            </w:r>
            <w:r w:rsidR="000509A0">
              <w:rPr>
                <w:b/>
                <w:bCs/>
                <w:sz w:val="20"/>
                <w:szCs w:val="20"/>
              </w:rPr>
              <w:t xml:space="preserve"> i </w:t>
            </w:r>
            <w:r w:rsidRPr="003E50D1">
              <w:rPr>
                <w:b/>
                <w:bCs/>
                <w:sz w:val="20"/>
                <w:szCs w:val="20"/>
              </w:rPr>
              <w:t>motocikli</w:t>
            </w:r>
          </w:p>
        </w:tc>
        <w:tc>
          <w:tcPr>
            <w:tcW w:w="1701" w:type="dxa"/>
            <w:tcBorders>
              <w:bottom w:val="single" w:sz="8" w:space="0" w:color="auto"/>
            </w:tcBorders>
            <w:shd w:val="clear" w:color="auto" w:fill="auto"/>
            <w:vAlign w:val="center"/>
          </w:tcPr>
          <w:p w14:paraId="2A281363" w14:textId="77777777" w:rsidR="002907A0" w:rsidRPr="005808FC" w:rsidRDefault="002907A0" w:rsidP="005808FC">
            <w:pPr>
              <w:spacing w:line="240" w:lineRule="auto"/>
              <w:jc w:val="center"/>
              <w:rPr>
                <w:sz w:val="20"/>
                <w:szCs w:val="20"/>
              </w:rPr>
            </w:pPr>
            <w:r w:rsidRPr="003E50D1">
              <w:rPr>
                <w:sz w:val="20"/>
                <w:szCs w:val="20"/>
              </w:rPr>
              <w:t>-</w:t>
            </w:r>
          </w:p>
        </w:tc>
        <w:tc>
          <w:tcPr>
            <w:tcW w:w="1418" w:type="dxa"/>
            <w:tcBorders>
              <w:bottom w:val="single" w:sz="8" w:space="0" w:color="auto"/>
            </w:tcBorders>
            <w:shd w:val="clear" w:color="auto" w:fill="auto"/>
            <w:vAlign w:val="center"/>
          </w:tcPr>
          <w:p w14:paraId="5E7C995A" w14:textId="77777777" w:rsidR="002907A0" w:rsidRPr="005808FC" w:rsidRDefault="002907A0" w:rsidP="005808FC">
            <w:pPr>
              <w:spacing w:line="240" w:lineRule="auto"/>
              <w:jc w:val="center"/>
              <w:rPr>
                <w:sz w:val="20"/>
                <w:szCs w:val="20"/>
              </w:rPr>
            </w:pPr>
            <w:r w:rsidRPr="003E50D1">
              <w:rPr>
                <w:sz w:val="20"/>
                <w:szCs w:val="20"/>
              </w:rPr>
              <w:t>2.523,9</w:t>
            </w:r>
          </w:p>
          <w:p w14:paraId="6D13EA1C" w14:textId="77777777" w:rsidR="002907A0" w:rsidRPr="00922031" w:rsidRDefault="002907A0" w:rsidP="002907A0">
            <w:pPr>
              <w:spacing w:line="240" w:lineRule="auto"/>
              <w:jc w:val="center"/>
              <w:rPr>
                <w:rFonts w:cstheme="minorHAnsi"/>
                <w:sz w:val="20"/>
              </w:rPr>
            </w:pPr>
          </w:p>
        </w:tc>
        <w:tc>
          <w:tcPr>
            <w:tcW w:w="1176" w:type="dxa"/>
            <w:tcBorders>
              <w:bottom w:val="single" w:sz="8" w:space="0" w:color="auto"/>
            </w:tcBorders>
            <w:shd w:val="clear" w:color="auto" w:fill="auto"/>
            <w:vAlign w:val="center"/>
          </w:tcPr>
          <w:p w14:paraId="30091AE6" w14:textId="77777777" w:rsidR="002907A0" w:rsidRPr="005808FC" w:rsidRDefault="002907A0" w:rsidP="005808FC">
            <w:pPr>
              <w:spacing w:line="240" w:lineRule="auto"/>
              <w:jc w:val="center"/>
              <w:rPr>
                <w:sz w:val="20"/>
                <w:szCs w:val="20"/>
              </w:rPr>
            </w:pPr>
            <w:r w:rsidRPr="003E50D1">
              <w:rPr>
                <w:sz w:val="20"/>
                <w:szCs w:val="20"/>
              </w:rPr>
              <w:t>-</w:t>
            </w:r>
          </w:p>
        </w:tc>
        <w:tc>
          <w:tcPr>
            <w:tcW w:w="1339" w:type="dxa"/>
            <w:tcBorders>
              <w:bottom w:val="single" w:sz="8" w:space="0" w:color="auto"/>
            </w:tcBorders>
            <w:shd w:val="clear" w:color="auto" w:fill="auto"/>
            <w:vAlign w:val="center"/>
          </w:tcPr>
          <w:p w14:paraId="6859C497" w14:textId="77777777" w:rsidR="002907A0" w:rsidRPr="005808FC" w:rsidRDefault="002907A0" w:rsidP="005808FC">
            <w:pPr>
              <w:spacing w:line="240" w:lineRule="auto"/>
              <w:jc w:val="center"/>
              <w:rPr>
                <w:sz w:val="20"/>
                <w:szCs w:val="20"/>
              </w:rPr>
            </w:pPr>
            <w:r w:rsidRPr="003E50D1">
              <w:rPr>
                <w:sz w:val="20"/>
                <w:szCs w:val="20"/>
              </w:rPr>
              <w:t>-</w:t>
            </w:r>
          </w:p>
        </w:tc>
      </w:tr>
      <w:tr w:rsidR="002907A0" w:rsidRPr="00922031" w14:paraId="1B5D7839" w14:textId="77777777" w:rsidTr="005808FC">
        <w:trPr>
          <w:trHeight w:hRule="exact" w:val="255"/>
          <w:jc w:val="center"/>
        </w:trPr>
        <w:tc>
          <w:tcPr>
            <w:tcW w:w="3474" w:type="dxa"/>
            <w:tcBorders>
              <w:top w:val="single" w:sz="8" w:space="0" w:color="auto"/>
              <w:bottom w:val="single" w:sz="8" w:space="0" w:color="auto"/>
            </w:tcBorders>
            <w:shd w:val="clear" w:color="auto" w:fill="F2DBDB" w:themeFill="accent2" w:themeFillTint="33"/>
            <w:vAlign w:val="center"/>
          </w:tcPr>
          <w:p w14:paraId="2F52266D" w14:textId="77777777" w:rsidR="002907A0" w:rsidRPr="005808FC" w:rsidRDefault="002907A0" w:rsidP="005808FC">
            <w:pPr>
              <w:spacing w:line="240" w:lineRule="auto"/>
              <w:rPr>
                <w:b/>
                <w:bCs/>
                <w:sz w:val="20"/>
                <w:szCs w:val="20"/>
              </w:rPr>
            </w:pPr>
            <w:r w:rsidRPr="003E50D1">
              <w:rPr>
                <w:b/>
                <w:bCs/>
                <w:sz w:val="20"/>
                <w:szCs w:val="20"/>
              </w:rPr>
              <w:t>UKUPNO</w:t>
            </w:r>
          </w:p>
        </w:tc>
        <w:tc>
          <w:tcPr>
            <w:tcW w:w="1701" w:type="dxa"/>
            <w:tcBorders>
              <w:top w:val="single" w:sz="8" w:space="0" w:color="auto"/>
              <w:bottom w:val="single" w:sz="8" w:space="0" w:color="auto"/>
            </w:tcBorders>
            <w:shd w:val="clear" w:color="auto" w:fill="auto"/>
            <w:vAlign w:val="center"/>
          </w:tcPr>
          <w:p w14:paraId="7D98F7D0" w14:textId="77777777" w:rsidR="002907A0" w:rsidRPr="005808FC" w:rsidRDefault="002907A0" w:rsidP="005808FC">
            <w:pPr>
              <w:spacing w:line="240" w:lineRule="auto"/>
              <w:jc w:val="center"/>
              <w:rPr>
                <w:sz w:val="20"/>
                <w:szCs w:val="20"/>
              </w:rPr>
            </w:pPr>
            <w:r w:rsidRPr="003E50D1">
              <w:rPr>
                <w:sz w:val="20"/>
                <w:szCs w:val="20"/>
              </w:rPr>
              <w:t>162.132,8</w:t>
            </w:r>
          </w:p>
        </w:tc>
        <w:tc>
          <w:tcPr>
            <w:tcW w:w="1418" w:type="dxa"/>
            <w:tcBorders>
              <w:top w:val="single" w:sz="8" w:space="0" w:color="auto"/>
              <w:bottom w:val="single" w:sz="8" w:space="0" w:color="auto"/>
            </w:tcBorders>
            <w:shd w:val="clear" w:color="auto" w:fill="auto"/>
            <w:vAlign w:val="center"/>
          </w:tcPr>
          <w:p w14:paraId="7067ED0E" w14:textId="77777777" w:rsidR="002907A0" w:rsidRPr="005808FC" w:rsidRDefault="002907A0" w:rsidP="005808FC">
            <w:pPr>
              <w:spacing w:line="240" w:lineRule="auto"/>
              <w:jc w:val="center"/>
              <w:rPr>
                <w:sz w:val="20"/>
                <w:szCs w:val="20"/>
              </w:rPr>
            </w:pPr>
            <w:r w:rsidRPr="003E50D1">
              <w:rPr>
                <w:sz w:val="20"/>
                <w:szCs w:val="20"/>
              </w:rPr>
              <w:t>136.136,8</w:t>
            </w:r>
          </w:p>
        </w:tc>
        <w:tc>
          <w:tcPr>
            <w:tcW w:w="1176" w:type="dxa"/>
            <w:tcBorders>
              <w:top w:val="single" w:sz="8" w:space="0" w:color="auto"/>
              <w:bottom w:val="single" w:sz="8" w:space="0" w:color="auto"/>
            </w:tcBorders>
            <w:shd w:val="clear" w:color="auto" w:fill="auto"/>
            <w:vAlign w:val="center"/>
          </w:tcPr>
          <w:p w14:paraId="5DFE3416" w14:textId="77777777" w:rsidR="002907A0" w:rsidRPr="005808FC" w:rsidRDefault="002907A0" w:rsidP="005808FC">
            <w:pPr>
              <w:spacing w:line="240" w:lineRule="auto"/>
              <w:jc w:val="center"/>
              <w:rPr>
                <w:sz w:val="20"/>
                <w:szCs w:val="20"/>
              </w:rPr>
            </w:pPr>
            <w:r w:rsidRPr="003E50D1">
              <w:rPr>
                <w:sz w:val="20"/>
                <w:szCs w:val="20"/>
              </w:rPr>
              <w:t>2.282,7</w:t>
            </w:r>
          </w:p>
        </w:tc>
        <w:tc>
          <w:tcPr>
            <w:tcW w:w="1339" w:type="dxa"/>
            <w:tcBorders>
              <w:top w:val="single" w:sz="8" w:space="0" w:color="auto"/>
              <w:bottom w:val="single" w:sz="8" w:space="0" w:color="auto"/>
            </w:tcBorders>
            <w:shd w:val="clear" w:color="auto" w:fill="auto"/>
            <w:vAlign w:val="center"/>
          </w:tcPr>
          <w:p w14:paraId="7C210F86" w14:textId="77777777" w:rsidR="002907A0" w:rsidRPr="005808FC" w:rsidRDefault="002907A0" w:rsidP="005808FC">
            <w:pPr>
              <w:spacing w:line="240" w:lineRule="auto"/>
              <w:jc w:val="center"/>
              <w:rPr>
                <w:sz w:val="20"/>
                <w:szCs w:val="20"/>
              </w:rPr>
            </w:pPr>
            <w:r w:rsidRPr="003E50D1">
              <w:rPr>
                <w:sz w:val="20"/>
                <w:szCs w:val="20"/>
              </w:rPr>
              <w:t>33,2</w:t>
            </w:r>
          </w:p>
        </w:tc>
      </w:tr>
    </w:tbl>
    <w:p w14:paraId="6BD9F5F3" w14:textId="77777777" w:rsidR="002907A0" w:rsidRPr="00922031" w:rsidRDefault="002907A0" w:rsidP="001D03F0">
      <w:pPr>
        <w:spacing w:after="0" w:line="240" w:lineRule="auto"/>
        <w:rPr>
          <w:rFonts w:cstheme="minorHAnsi"/>
        </w:rPr>
      </w:pPr>
    </w:p>
    <w:p w14:paraId="23BD63EA" w14:textId="632822AE"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 xml:space="preserve">Rezultat proračuna COPERT III modelom se iskazuje kao ukupna emisija stakleničkih </w:t>
      </w:r>
      <w:r w:rsidRPr="00291DF5">
        <w:rPr>
          <w:rFonts w:asciiTheme="minorHAnsi" w:hAnsiTheme="minorHAnsi" w:cstheme="minorBidi"/>
        </w:rPr>
        <w:t>plinova po pojedinim kategorijama vozila.</w:t>
      </w:r>
    </w:p>
    <w:p w14:paraId="15C74E05" w14:textId="77777777" w:rsidR="00244D74" w:rsidRPr="00922031" w:rsidRDefault="00244D74" w:rsidP="001D779A">
      <w:pPr>
        <w:pStyle w:val="NoSpacing"/>
        <w:spacing w:line="276" w:lineRule="auto"/>
        <w:rPr>
          <w:rFonts w:asciiTheme="minorHAnsi" w:hAnsiTheme="minorHAnsi" w:cstheme="minorHAnsi"/>
        </w:rPr>
      </w:pPr>
    </w:p>
    <w:p w14:paraId="53EAB83B" w14:textId="1DAE8AF1"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 xml:space="preserve">U </w:t>
      </w:r>
      <w:r w:rsidR="00FC154F" w:rsidRPr="00291DF5">
        <w:rPr>
          <w:rFonts w:asciiTheme="minorHAnsi" w:hAnsiTheme="minorHAnsi" w:cstheme="minorBidi"/>
        </w:rPr>
        <w:t>T</w:t>
      </w:r>
      <w:r w:rsidRPr="005808FC">
        <w:rPr>
          <w:rFonts w:asciiTheme="minorHAnsi" w:hAnsiTheme="minorHAnsi" w:cstheme="minorBidi"/>
        </w:rPr>
        <w:t xml:space="preserve">ablici </w:t>
      </w:r>
      <w:r w:rsidR="00FC154F" w:rsidRPr="005808FC">
        <w:rPr>
          <w:rFonts w:asciiTheme="minorHAnsi" w:hAnsiTheme="minorHAnsi" w:cstheme="minorBidi"/>
        </w:rPr>
        <w:t>4</w:t>
      </w:r>
      <w:r w:rsidRPr="005808FC">
        <w:rPr>
          <w:rFonts w:asciiTheme="minorHAnsi" w:hAnsiTheme="minorHAnsi" w:cstheme="minorBidi"/>
        </w:rPr>
        <w:t>.9 dane su potrošnje goriva</w:t>
      </w:r>
      <w:r w:rsidR="000509A0">
        <w:rPr>
          <w:rFonts w:asciiTheme="minorHAnsi" w:hAnsiTheme="minorHAnsi" w:cstheme="minorBidi"/>
        </w:rPr>
        <w:t xml:space="preserve"> i </w:t>
      </w:r>
      <w:r w:rsidRPr="00291DF5">
        <w:rPr>
          <w:rFonts w:asciiTheme="minorHAnsi" w:hAnsiTheme="minorHAnsi" w:cstheme="minorBidi"/>
        </w:rPr>
        <w:t>pripadajuće emisije</w:t>
      </w:r>
      <w:r w:rsidR="000509A0">
        <w:rPr>
          <w:rFonts w:asciiTheme="minorHAnsi" w:hAnsiTheme="minorHAnsi" w:cstheme="minorBidi"/>
        </w:rPr>
        <w:t xml:space="preserve"> i </w:t>
      </w:r>
      <w:r w:rsidRPr="00291DF5">
        <w:rPr>
          <w:rFonts w:asciiTheme="minorHAnsi" w:hAnsiTheme="minorHAnsi" w:cstheme="minorBidi"/>
        </w:rPr>
        <w:t>ekvivalent CO</w:t>
      </w:r>
      <w:r w:rsidRPr="005808FC">
        <w:rPr>
          <w:rFonts w:asciiTheme="minorHAnsi" w:hAnsiTheme="minorHAnsi" w:cstheme="minorBidi"/>
          <w:vertAlign w:val="subscript"/>
        </w:rPr>
        <w:t>2</w:t>
      </w:r>
      <w:r w:rsidRPr="005808FC">
        <w:rPr>
          <w:rFonts w:asciiTheme="minorHAnsi" w:hAnsiTheme="minorHAnsi" w:cstheme="minorBidi"/>
        </w:rPr>
        <w:t xml:space="preserve"> za podsektor osobnih</w:t>
      </w:r>
      <w:r w:rsidR="000509A0">
        <w:rPr>
          <w:rFonts w:asciiTheme="minorHAnsi" w:hAnsiTheme="minorHAnsi" w:cstheme="minorBidi"/>
        </w:rPr>
        <w:t xml:space="preserve"> i </w:t>
      </w:r>
      <w:r w:rsidRPr="00291DF5">
        <w:rPr>
          <w:rFonts w:asciiTheme="minorHAnsi" w:hAnsiTheme="minorHAnsi" w:cstheme="minorBidi"/>
        </w:rPr>
        <w:t>kombinirani</w:t>
      </w:r>
      <w:r w:rsidRPr="005808FC">
        <w:rPr>
          <w:rFonts w:asciiTheme="minorHAnsi" w:hAnsiTheme="minorHAnsi" w:cstheme="minorBidi"/>
        </w:rPr>
        <w:t>h vozila.</w:t>
      </w:r>
    </w:p>
    <w:p w14:paraId="6EAA9C4D" w14:textId="77777777" w:rsidR="002907A0" w:rsidRPr="00922031" w:rsidRDefault="002907A0" w:rsidP="002907A0">
      <w:pPr>
        <w:pStyle w:val="NoSpacing"/>
        <w:rPr>
          <w:rFonts w:asciiTheme="minorHAnsi" w:hAnsiTheme="minorHAnsi" w:cstheme="minorHAnsi"/>
        </w:rPr>
      </w:pPr>
    </w:p>
    <w:p w14:paraId="620766E9" w14:textId="77777777" w:rsidR="00244D74" w:rsidRPr="00F158D4" w:rsidRDefault="00244D74">
      <w:pPr>
        <w:rPr>
          <w:rFonts w:ascii="Calibri" w:eastAsia="Times New Roman" w:hAnsi="Calibri" w:cs="Times New Roman"/>
          <w:i/>
          <w:szCs w:val="20"/>
          <w:lang w:eastAsia="hr-HR"/>
        </w:rPr>
      </w:pPr>
      <w:bookmarkStart w:id="73" w:name="_Toc251924024"/>
      <w:r>
        <w:br w:type="page"/>
      </w:r>
    </w:p>
    <w:p w14:paraId="223B3341" w14:textId="50B35DDD" w:rsidR="002907A0" w:rsidRPr="005808FC" w:rsidRDefault="0082211F">
      <w:pPr>
        <w:pStyle w:val="Caption"/>
        <w:rPr>
          <w:rFonts w:asciiTheme="minorHAnsi" w:hAnsiTheme="minorHAnsi" w:cstheme="minorBidi"/>
        </w:rPr>
      </w:pPr>
      <w:bookmarkStart w:id="74" w:name="_Toc4155999"/>
      <w:r>
        <w:lastRenderedPageBreak/>
        <w:t>Tablica</w:t>
      </w:r>
      <w:r w:rsidRPr="0DFBE047">
        <w:t xml:space="preserve"> </w:t>
      </w:r>
      <w:r w:rsidR="0019556A">
        <w:fldChar w:fldCharType="begin"/>
      </w:r>
      <w:r w:rsidR="0019556A">
        <w:instrText xml:space="preserve"> STYLEREF 1 \s </w:instrText>
      </w:r>
      <w:r w:rsidR="0019556A">
        <w:fldChar w:fldCharType="separate"/>
      </w:r>
      <w:r w:rsidR="0019556A">
        <w:rPr>
          <w:noProof/>
        </w:rPr>
        <w:t>4</w:t>
      </w:r>
      <w:r w:rsidR="0019556A">
        <w:fldChar w:fldCharType="end"/>
      </w:r>
      <w:r w:rsidR="0019556A" w:rsidRPr="0DFBE047">
        <w:t>.</w:t>
      </w:r>
      <w:r w:rsidR="0019556A">
        <w:fldChar w:fldCharType="begin"/>
      </w:r>
      <w:r w:rsidR="0019556A">
        <w:instrText xml:space="preserve"> SEQ Tablica \* ARABIC \s 1 </w:instrText>
      </w:r>
      <w:r w:rsidR="0019556A">
        <w:fldChar w:fldCharType="separate"/>
      </w:r>
      <w:r w:rsidR="0019556A">
        <w:rPr>
          <w:noProof/>
        </w:rPr>
        <w:t>9</w:t>
      </w:r>
      <w:r w:rsidR="0019556A">
        <w:fldChar w:fldCharType="end"/>
      </w:r>
      <w:r w:rsidRPr="0DFBE047">
        <w:t xml:space="preserve"> - </w:t>
      </w:r>
      <w:r w:rsidR="002907A0" w:rsidRPr="003E50D1">
        <w:rPr>
          <w:rFonts w:asciiTheme="minorHAnsi" w:hAnsiTheme="minorHAnsi" w:cstheme="minorBidi"/>
        </w:rPr>
        <w:t>Emisije</w:t>
      </w:r>
      <w:r w:rsidR="000509A0">
        <w:rPr>
          <w:rFonts w:asciiTheme="minorHAnsi" w:hAnsiTheme="minorHAnsi" w:cstheme="minorBidi"/>
        </w:rPr>
        <w:t xml:space="preserve"> i </w:t>
      </w:r>
      <w:r w:rsidR="002907A0" w:rsidRPr="00291DF5">
        <w:rPr>
          <w:rFonts w:asciiTheme="minorHAnsi" w:hAnsiTheme="minorHAnsi" w:cstheme="minorBidi"/>
        </w:rPr>
        <w:t>ekvivalent CO</w:t>
      </w:r>
      <w:r w:rsidR="002907A0" w:rsidRPr="005808FC">
        <w:rPr>
          <w:rFonts w:asciiTheme="minorHAnsi" w:hAnsiTheme="minorHAnsi" w:cstheme="minorBidi"/>
          <w:vertAlign w:val="subscript"/>
        </w:rPr>
        <w:t>2</w:t>
      </w:r>
      <w:r w:rsidR="002907A0" w:rsidRPr="005808FC">
        <w:rPr>
          <w:rFonts w:asciiTheme="minorHAnsi" w:hAnsiTheme="minorHAnsi" w:cstheme="minorBidi"/>
        </w:rPr>
        <w:t xml:space="preserve"> za podsektor osobnih</w:t>
      </w:r>
      <w:r w:rsidR="000509A0">
        <w:rPr>
          <w:rFonts w:asciiTheme="minorHAnsi" w:hAnsiTheme="minorHAnsi" w:cstheme="minorBidi"/>
        </w:rPr>
        <w:t xml:space="preserve"> i </w:t>
      </w:r>
      <w:r w:rsidR="002907A0" w:rsidRPr="00291DF5">
        <w:rPr>
          <w:rFonts w:asciiTheme="minorHAnsi" w:hAnsiTheme="minorHAnsi" w:cstheme="minorBidi"/>
        </w:rPr>
        <w:t>komercijalnih vozila</w:t>
      </w:r>
      <w:bookmarkEnd w:id="73"/>
      <w:bookmarkEnd w:id="74"/>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553"/>
        <w:gridCol w:w="1966"/>
        <w:gridCol w:w="2388"/>
        <w:gridCol w:w="2165"/>
      </w:tblGrid>
      <w:tr w:rsidR="002907A0" w:rsidRPr="00922031" w14:paraId="41FAD72F" w14:textId="77777777" w:rsidTr="0DFBE047">
        <w:trPr>
          <w:trHeight w:val="229"/>
        </w:trPr>
        <w:tc>
          <w:tcPr>
            <w:tcW w:w="2553" w:type="dxa"/>
            <w:tcBorders>
              <w:top w:val="single" w:sz="8" w:space="0" w:color="auto"/>
              <w:bottom w:val="single" w:sz="8" w:space="0" w:color="auto"/>
            </w:tcBorders>
            <w:shd w:val="clear" w:color="auto" w:fill="C6D9F1" w:themeFill="text2" w:themeFillTint="33"/>
            <w:tcMar>
              <w:top w:w="0" w:type="dxa"/>
              <w:left w:w="108" w:type="dxa"/>
              <w:bottom w:w="0" w:type="dxa"/>
              <w:right w:w="108" w:type="dxa"/>
            </w:tcMar>
            <w:vAlign w:val="center"/>
            <w:hideMark/>
          </w:tcPr>
          <w:p w14:paraId="542A1310" w14:textId="0C24D52C" w:rsidR="002907A0" w:rsidRPr="005808FC" w:rsidRDefault="002907A0" w:rsidP="005808FC">
            <w:pPr>
              <w:pStyle w:val="NoSpacing"/>
              <w:spacing w:after="200"/>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Osobna</w:t>
            </w:r>
            <w:r w:rsidR="000509A0">
              <w:rPr>
                <w:rFonts w:asciiTheme="minorHAnsi" w:hAnsiTheme="minorHAnsi" w:cstheme="minorBidi"/>
                <w:b/>
                <w:bCs/>
                <w:sz w:val="18"/>
                <w:szCs w:val="18"/>
                <w:lang w:val="en-US"/>
              </w:rPr>
              <w:t xml:space="preserve"> i </w:t>
            </w:r>
            <w:r w:rsidRPr="003E50D1">
              <w:rPr>
                <w:rFonts w:asciiTheme="minorHAnsi" w:hAnsiTheme="minorHAnsi" w:cstheme="minorBidi"/>
                <w:b/>
                <w:bCs/>
                <w:sz w:val="18"/>
                <w:szCs w:val="18"/>
                <w:lang w:val="en-US"/>
              </w:rPr>
              <w:t>kombinirana vozila</w:t>
            </w:r>
          </w:p>
        </w:tc>
        <w:tc>
          <w:tcPr>
            <w:tcW w:w="1966" w:type="dxa"/>
            <w:tcBorders>
              <w:top w:val="single" w:sz="8" w:space="0" w:color="auto"/>
              <w:bottom w:val="single" w:sz="8" w:space="0" w:color="auto"/>
            </w:tcBorders>
            <w:shd w:val="clear" w:color="auto" w:fill="C6D9F1" w:themeFill="text2" w:themeFillTint="33"/>
            <w:tcMar>
              <w:top w:w="0" w:type="dxa"/>
              <w:left w:w="108" w:type="dxa"/>
              <w:bottom w:w="0" w:type="dxa"/>
              <w:right w:w="108" w:type="dxa"/>
            </w:tcMar>
            <w:vAlign w:val="center"/>
            <w:hideMark/>
          </w:tcPr>
          <w:p w14:paraId="6D2A2D78" w14:textId="77777777" w:rsidR="002907A0" w:rsidRPr="005808FC" w:rsidRDefault="002907A0">
            <w:pPr>
              <w:pStyle w:val="NoSpacing"/>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Potrošena energija, MWh</w:t>
            </w:r>
          </w:p>
        </w:tc>
        <w:tc>
          <w:tcPr>
            <w:tcW w:w="2388" w:type="dxa"/>
            <w:tcBorders>
              <w:top w:val="single" w:sz="8" w:space="0" w:color="auto"/>
              <w:bottom w:val="single" w:sz="8" w:space="0" w:color="auto"/>
            </w:tcBorders>
            <w:shd w:val="clear" w:color="auto" w:fill="C6D9F1" w:themeFill="text2" w:themeFillTint="33"/>
            <w:tcMar>
              <w:top w:w="0" w:type="dxa"/>
              <w:left w:w="108" w:type="dxa"/>
              <w:bottom w:w="0" w:type="dxa"/>
              <w:right w:w="108" w:type="dxa"/>
            </w:tcMar>
            <w:vAlign w:val="center"/>
            <w:hideMark/>
          </w:tcPr>
          <w:p w14:paraId="061F3A93" w14:textId="77777777" w:rsidR="002907A0" w:rsidRPr="005808FC" w:rsidRDefault="002907A0">
            <w:pPr>
              <w:pStyle w:val="NoSpacing"/>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Emisija CO</w:t>
            </w:r>
            <w:r w:rsidRPr="00291DF5">
              <w:rPr>
                <w:rFonts w:asciiTheme="minorHAnsi" w:hAnsiTheme="minorHAnsi" w:cstheme="minorBidi"/>
                <w:b/>
                <w:bCs/>
                <w:sz w:val="18"/>
                <w:szCs w:val="18"/>
                <w:vertAlign w:val="subscript"/>
                <w:lang w:val="en-US"/>
              </w:rPr>
              <w:t xml:space="preserve">2 </w:t>
            </w:r>
            <w:r w:rsidRPr="005808FC">
              <w:rPr>
                <w:rFonts w:asciiTheme="minorHAnsi" w:hAnsiTheme="minorHAnsi" w:cstheme="minorBidi"/>
                <w:b/>
                <w:bCs/>
                <w:sz w:val="18"/>
                <w:szCs w:val="18"/>
                <w:lang w:val="en-US"/>
              </w:rPr>
              <w:t>t</w:t>
            </w:r>
          </w:p>
        </w:tc>
        <w:tc>
          <w:tcPr>
            <w:tcW w:w="2165" w:type="dxa"/>
            <w:tcBorders>
              <w:top w:val="single" w:sz="8" w:space="0" w:color="auto"/>
              <w:bottom w:val="single" w:sz="8" w:space="0" w:color="auto"/>
            </w:tcBorders>
            <w:shd w:val="clear" w:color="auto" w:fill="C6D9F1" w:themeFill="text2" w:themeFillTint="33"/>
            <w:tcMar>
              <w:top w:w="0" w:type="dxa"/>
              <w:left w:w="108" w:type="dxa"/>
              <w:bottom w:w="0" w:type="dxa"/>
              <w:right w:w="108" w:type="dxa"/>
            </w:tcMar>
            <w:vAlign w:val="center"/>
            <w:hideMark/>
          </w:tcPr>
          <w:p w14:paraId="7716D51E" w14:textId="77777777" w:rsidR="002907A0" w:rsidRPr="005808FC" w:rsidRDefault="002907A0">
            <w:pPr>
              <w:pStyle w:val="NoSpacing"/>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Emisija CO</w:t>
            </w:r>
            <w:r w:rsidRPr="00291DF5">
              <w:rPr>
                <w:rFonts w:asciiTheme="minorHAnsi" w:hAnsiTheme="minorHAnsi" w:cstheme="minorBidi"/>
                <w:b/>
                <w:bCs/>
                <w:sz w:val="18"/>
                <w:szCs w:val="18"/>
                <w:vertAlign w:val="subscript"/>
                <w:lang w:val="en-US"/>
              </w:rPr>
              <w:t>2</w:t>
            </w:r>
            <w:r w:rsidRPr="005808FC">
              <w:rPr>
                <w:rFonts w:asciiTheme="minorHAnsi" w:hAnsiTheme="minorHAnsi" w:cstheme="minorBidi"/>
                <w:b/>
                <w:bCs/>
                <w:sz w:val="18"/>
                <w:szCs w:val="18"/>
                <w:lang w:val="en-US"/>
              </w:rPr>
              <w:t>-ekv, t</w:t>
            </w:r>
          </w:p>
        </w:tc>
      </w:tr>
      <w:tr w:rsidR="002907A0" w:rsidRPr="00922031" w14:paraId="73536B35" w14:textId="77777777" w:rsidTr="0DFBE047">
        <w:trPr>
          <w:trHeight w:val="313"/>
        </w:trPr>
        <w:tc>
          <w:tcPr>
            <w:tcW w:w="2553" w:type="dxa"/>
            <w:tcBorders>
              <w:top w:val="single" w:sz="8" w:space="0" w:color="auto"/>
            </w:tcBorders>
            <w:shd w:val="clear" w:color="auto" w:fill="F2DBDB" w:themeFill="accent2" w:themeFillTint="33"/>
            <w:noWrap/>
            <w:tcMar>
              <w:top w:w="0" w:type="dxa"/>
              <w:left w:w="108" w:type="dxa"/>
              <w:bottom w:w="0" w:type="dxa"/>
              <w:right w:w="108" w:type="dxa"/>
            </w:tcMar>
            <w:vAlign w:val="center"/>
            <w:hideMark/>
          </w:tcPr>
          <w:p w14:paraId="4F1E0682" w14:textId="77777777" w:rsidR="002907A0" w:rsidRPr="005808FC" w:rsidRDefault="002907A0" w:rsidP="005808FC">
            <w:pPr>
              <w:pStyle w:val="NoSpacing"/>
              <w:spacing w:after="200" w:line="276" w:lineRule="auto"/>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Osobna vozila</w:t>
            </w:r>
          </w:p>
        </w:tc>
        <w:tc>
          <w:tcPr>
            <w:tcW w:w="1966" w:type="dxa"/>
            <w:tcBorders>
              <w:top w:val="single" w:sz="8" w:space="0" w:color="auto"/>
            </w:tcBorders>
            <w:shd w:val="clear" w:color="auto" w:fill="auto"/>
            <w:noWrap/>
            <w:tcMar>
              <w:top w:w="0" w:type="dxa"/>
              <w:left w:w="108" w:type="dxa"/>
              <w:bottom w:w="0" w:type="dxa"/>
              <w:right w:w="108" w:type="dxa"/>
            </w:tcMar>
            <w:vAlign w:val="center"/>
            <w:hideMark/>
          </w:tcPr>
          <w:p w14:paraId="4DEC7A4C"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2 184 857,4</w:t>
            </w:r>
          </w:p>
        </w:tc>
        <w:tc>
          <w:tcPr>
            <w:tcW w:w="2388" w:type="dxa"/>
            <w:tcBorders>
              <w:top w:val="single" w:sz="8" w:space="0" w:color="auto"/>
            </w:tcBorders>
            <w:shd w:val="clear" w:color="auto" w:fill="auto"/>
            <w:noWrap/>
            <w:tcMar>
              <w:top w:w="0" w:type="dxa"/>
              <w:left w:w="108" w:type="dxa"/>
              <w:bottom w:w="0" w:type="dxa"/>
              <w:right w:w="108" w:type="dxa"/>
            </w:tcMar>
            <w:vAlign w:val="center"/>
            <w:hideMark/>
          </w:tcPr>
          <w:p w14:paraId="041CA3FC"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567 350,3</w:t>
            </w:r>
          </w:p>
        </w:tc>
        <w:tc>
          <w:tcPr>
            <w:tcW w:w="2165" w:type="dxa"/>
            <w:tcBorders>
              <w:top w:val="single" w:sz="8" w:space="0" w:color="auto"/>
            </w:tcBorders>
            <w:shd w:val="clear" w:color="auto" w:fill="auto"/>
            <w:noWrap/>
            <w:tcMar>
              <w:top w:w="0" w:type="dxa"/>
              <w:left w:w="108" w:type="dxa"/>
              <w:bottom w:w="0" w:type="dxa"/>
              <w:right w:w="108" w:type="dxa"/>
            </w:tcMar>
            <w:vAlign w:val="center"/>
            <w:hideMark/>
          </w:tcPr>
          <w:p w14:paraId="59CB9D03"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596 338,2</w:t>
            </w:r>
          </w:p>
        </w:tc>
      </w:tr>
      <w:tr w:rsidR="002907A0" w:rsidRPr="00922031" w14:paraId="026C2FA5" w14:textId="77777777" w:rsidTr="0DFBE047">
        <w:trPr>
          <w:trHeight w:val="229"/>
        </w:trPr>
        <w:tc>
          <w:tcPr>
            <w:tcW w:w="2553" w:type="dxa"/>
            <w:tcBorders>
              <w:bottom w:val="single" w:sz="4" w:space="0" w:color="auto"/>
            </w:tcBorders>
            <w:shd w:val="clear" w:color="auto" w:fill="F2DBDB" w:themeFill="accent2" w:themeFillTint="33"/>
            <w:noWrap/>
            <w:tcMar>
              <w:top w:w="0" w:type="dxa"/>
              <w:left w:w="108" w:type="dxa"/>
              <w:bottom w:w="0" w:type="dxa"/>
              <w:right w:w="108" w:type="dxa"/>
            </w:tcMar>
            <w:vAlign w:val="center"/>
            <w:hideMark/>
          </w:tcPr>
          <w:p w14:paraId="6244B867" w14:textId="7C12A7BC" w:rsidR="002907A0" w:rsidRPr="005808FC" w:rsidRDefault="002907A0" w:rsidP="005808FC">
            <w:pPr>
              <w:pStyle w:val="NoSpacing"/>
              <w:spacing w:after="200" w:line="276" w:lineRule="auto"/>
              <w:jc w:val="center"/>
              <w:rPr>
                <w:rFonts w:asciiTheme="minorHAnsi" w:hAnsiTheme="minorHAnsi" w:cstheme="minorBidi"/>
                <w:b/>
                <w:bCs/>
                <w:sz w:val="18"/>
                <w:szCs w:val="18"/>
              </w:rPr>
            </w:pPr>
            <w:r w:rsidRPr="003E50D1">
              <w:rPr>
                <w:rFonts w:asciiTheme="minorHAnsi" w:hAnsiTheme="minorHAnsi" w:cstheme="minorBidi"/>
                <w:b/>
                <w:bCs/>
                <w:sz w:val="18"/>
                <w:szCs w:val="18"/>
              </w:rPr>
              <w:t>Teretna</w:t>
            </w:r>
            <w:r w:rsidR="000509A0">
              <w:rPr>
                <w:rFonts w:asciiTheme="minorHAnsi" w:hAnsiTheme="minorHAnsi" w:cstheme="minorBidi"/>
                <w:b/>
                <w:bCs/>
                <w:sz w:val="18"/>
                <w:szCs w:val="18"/>
              </w:rPr>
              <w:t xml:space="preserve"> i </w:t>
            </w:r>
            <w:r w:rsidRPr="003E50D1">
              <w:rPr>
                <w:rFonts w:asciiTheme="minorHAnsi" w:hAnsiTheme="minorHAnsi" w:cstheme="minorBidi"/>
                <w:b/>
                <w:bCs/>
                <w:sz w:val="18"/>
                <w:szCs w:val="18"/>
              </w:rPr>
              <w:t>kombinirana vozila</w:t>
            </w:r>
          </w:p>
        </w:tc>
        <w:tc>
          <w:tcPr>
            <w:tcW w:w="1966" w:type="dxa"/>
            <w:tcBorders>
              <w:bottom w:val="single" w:sz="4" w:space="0" w:color="auto"/>
            </w:tcBorders>
            <w:shd w:val="clear" w:color="auto" w:fill="auto"/>
            <w:noWrap/>
            <w:tcMar>
              <w:top w:w="0" w:type="dxa"/>
              <w:left w:w="108" w:type="dxa"/>
              <w:bottom w:w="0" w:type="dxa"/>
              <w:right w:w="108" w:type="dxa"/>
            </w:tcMar>
            <w:vAlign w:val="center"/>
            <w:hideMark/>
          </w:tcPr>
          <w:p w14:paraId="016333D8"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1 368 158,0</w:t>
            </w:r>
          </w:p>
        </w:tc>
        <w:tc>
          <w:tcPr>
            <w:tcW w:w="2388" w:type="dxa"/>
            <w:tcBorders>
              <w:bottom w:val="single" w:sz="4" w:space="0" w:color="auto"/>
            </w:tcBorders>
            <w:shd w:val="clear" w:color="auto" w:fill="auto"/>
            <w:noWrap/>
            <w:tcMar>
              <w:top w:w="0" w:type="dxa"/>
              <w:left w:w="108" w:type="dxa"/>
              <w:bottom w:w="0" w:type="dxa"/>
              <w:right w:w="108" w:type="dxa"/>
            </w:tcMar>
            <w:vAlign w:val="center"/>
            <w:hideMark/>
          </w:tcPr>
          <w:p w14:paraId="55C89293"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361 069,9</w:t>
            </w:r>
          </w:p>
        </w:tc>
        <w:tc>
          <w:tcPr>
            <w:tcW w:w="2165" w:type="dxa"/>
            <w:tcBorders>
              <w:bottom w:val="single" w:sz="4" w:space="0" w:color="auto"/>
            </w:tcBorders>
            <w:shd w:val="clear" w:color="auto" w:fill="auto"/>
            <w:noWrap/>
            <w:tcMar>
              <w:top w:w="0" w:type="dxa"/>
              <w:left w:w="108" w:type="dxa"/>
              <w:bottom w:w="0" w:type="dxa"/>
              <w:right w:w="108" w:type="dxa"/>
            </w:tcMar>
            <w:vAlign w:val="center"/>
            <w:hideMark/>
          </w:tcPr>
          <w:p w14:paraId="0AABF895"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367 921,5</w:t>
            </w:r>
          </w:p>
        </w:tc>
      </w:tr>
      <w:tr w:rsidR="002907A0" w:rsidRPr="00922031" w14:paraId="0F2814BA" w14:textId="77777777" w:rsidTr="0DFBE047">
        <w:trPr>
          <w:trHeight w:val="229"/>
        </w:trPr>
        <w:tc>
          <w:tcPr>
            <w:tcW w:w="2553" w:type="dxa"/>
            <w:tcBorders>
              <w:top w:val="single" w:sz="4" w:space="0" w:color="auto"/>
              <w:bottom w:val="single" w:sz="8" w:space="0" w:color="auto"/>
            </w:tcBorders>
            <w:shd w:val="clear" w:color="auto" w:fill="F2DBDB" w:themeFill="accent2" w:themeFillTint="33"/>
            <w:noWrap/>
            <w:tcMar>
              <w:top w:w="0" w:type="dxa"/>
              <w:left w:w="108" w:type="dxa"/>
              <w:bottom w:w="0" w:type="dxa"/>
              <w:right w:w="108" w:type="dxa"/>
            </w:tcMar>
            <w:vAlign w:val="center"/>
            <w:hideMark/>
          </w:tcPr>
          <w:p w14:paraId="0B6C734F" w14:textId="72B9E4AF" w:rsidR="002907A0" w:rsidRPr="005808FC" w:rsidRDefault="002907A0" w:rsidP="005808FC">
            <w:pPr>
              <w:pStyle w:val="NoSpacing"/>
              <w:spacing w:after="200" w:line="276" w:lineRule="auto"/>
              <w:jc w:val="center"/>
              <w:rPr>
                <w:rFonts w:asciiTheme="minorHAnsi" w:hAnsiTheme="minorHAnsi" w:cstheme="minorBidi"/>
                <w:b/>
                <w:bCs/>
                <w:sz w:val="18"/>
                <w:szCs w:val="18"/>
              </w:rPr>
            </w:pPr>
            <w:r w:rsidRPr="003E50D1">
              <w:rPr>
                <w:rFonts w:asciiTheme="minorHAnsi" w:hAnsiTheme="minorHAnsi" w:cstheme="minorBidi"/>
                <w:b/>
                <w:bCs/>
                <w:sz w:val="18"/>
                <w:szCs w:val="18"/>
              </w:rPr>
              <w:t>Mopedi</w:t>
            </w:r>
            <w:r w:rsidR="000509A0">
              <w:rPr>
                <w:rFonts w:asciiTheme="minorHAnsi" w:hAnsiTheme="minorHAnsi" w:cstheme="minorBidi"/>
                <w:b/>
                <w:bCs/>
                <w:sz w:val="18"/>
                <w:szCs w:val="18"/>
              </w:rPr>
              <w:t xml:space="preserve"> i </w:t>
            </w:r>
            <w:r w:rsidRPr="003E50D1">
              <w:rPr>
                <w:rFonts w:asciiTheme="minorHAnsi" w:hAnsiTheme="minorHAnsi" w:cstheme="minorBidi"/>
                <w:b/>
                <w:bCs/>
                <w:sz w:val="18"/>
                <w:szCs w:val="18"/>
              </w:rPr>
              <w:t>motocikli</w:t>
            </w:r>
          </w:p>
        </w:tc>
        <w:tc>
          <w:tcPr>
            <w:tcW w:w="1966" w:type="dxa"/>
            <w:tcBorders>
              <w:top w:val="single" w:sz="4" w:space="0" w:color="auto"/>
              <w:bottom w:val="single" w:sz="8" w:space="0" w:color="auto"/>
            </w:tcBorders>
            <w:shd w:val="clear" w:color="auto" w:fill="auto"/>
            <w:noWrap/>
            <w:tcMar>
              <w:top w:w="0" w:type="dxa"/>
              <w:left w:w="108" w:type="dxa"/>
              <w:bottom w:w="0" w:type="dxa"/>
              <w:right w:w="108" w:type="dxa"/>
            </w:tcMar>
            <w:vAlign w:val="center"/>
            <w:hideMark/>
          </w:tcPr>
          <w:p w14:paraId="5A90512D"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31 268,3</w:t>
            </w:r>
          </w:p>
        </w:tc>
        <w:tc>
          <w:tcPr>
            <w:tcW w:w="2388" w:type="dxa"/>
            <w:tcBorders>
              <w:top w:val="single" w:sz="4" w:space="0" w:color="auto"/>
              <w:bottom w:val="single" w:sz="8" w:space="0" w:color="auto"/>
            </w:tcBorders>
            <w:shd w:val="clear" w:color="auto" w:fill="auto"/>
            <w:noWrap/>
            <w:tcMar>
              <w:top w:w="0" w:type="dxa"/>
              <w:left w:w="108" w:type="dxa"/>
              <w:bottom w:w="0" w:type="dxa"/>
              <w:right w:w="108" w:type="dxa"/>
            </w:tcMar>
            <w:vAlign w:val="center"/>
            <w:hideMark/>
          </w:tcPr>
          <w:p w14:paraId="6D871403"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8 043,0</w:t>
            </w:r>
          </w:p>
        </w:tc>
        <w:tc>
          <w:tcPr>
            <w:tcW w:w="2165" w:type="dxa"/>
            <w:tcBorders>
              <w:top w:val="single" w:sz="4" w:space="0" w:color="auto"/>
              <w:bottom w:val="single" w:sz="8" w:space="0" w:color="auto"/>
            </w:tcBorders>
            <w:shd w:val="clear" w:color="auto" w:fill="auto"/>
            <w:noWrap/>
            <w:tcMar>
              <w:top w:w="0" w:type="dxa"/>
              <w:left w:w="108" w:type="dxa"/>
              <w:bottom w:w="0" w:type="dxa"/>
              <w:right w:w="108" w:type="dxa"/>
            </w:tcMar>
            <w:vAlign w:val="center"/>
            <w:hideMark/>
          </w:tcPr>
          <w:p w14:paraId="72179E7D"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8 345,1</w:t>
            </w:r>
          </w:p>
        </w:tc>
      </w:tr>
      <w:tr w:rsidR="002907A0" w:rsidRPr="00922031" w14:paraId="75D722AE" w14:textId="77777777" w:rsidTr="0DFBE047">
        <w:trPr>
          <w:trHeight w:val="229"/>
        </w:trPr>
        <w:tc>
          <w:tcPr>
            <w:tcW w:w="2553" w:type="dxa"/>
            <w:tcBorders>
              <w:top w:val="single" w:sz="8" w:space="0" w:color="auto"/>
              <w:bottom w:val="single" w:sz="8" w:space="0" w:color="auto"/>
            </w:tcBorders>
            <w:shd w:val="clear" w:color="auto" w:fill="F2DBDB" w:themeFill="accent2" w:themeFillTint="33"/>
            <w:noWrap/>
            <w:tcMar>
              <w:top w:w="0" w:type="dxa"/>
              <w:left w:w="108" w:type="dxa"/>
              <w:bottom w:w="0" w:type="dxa"/>
              <w:right w:w="108" w:type="dxa"/>
            </w:tcMar>
            <w:vAlign w:val="center"/>
            <w:hideMark/>
          </w:tcPr>
          <w:p w14:paraId="0FAFEC07" w14:textId="77777777" w:rsidR="002907A0" w:rsidRPr="005808FC" w:rsidRDefault="002907A0">
            <w:pPr>
              <w:pStyle w:val="NoSpacing"/>
              <w:jc w:val="center"/>
              <w:rPr>
                <w:rFonts w:asciiTheme="minorHAnsi" w:hAnsiTheme="minorHAnsi" w:cstheme="minorBidi"/>
                <w:b/>
                <w:bCs/>
                <w:sz w:val="18"/>
                <w:szCs w:val="18"/>
              </w:rPr>
            </w:pPr>
            <w:r w:rsidRPr="003E50D1">
              <w:rPr>
                <w:rFonts w:asciiTheme="minorHAnsi" w:hAnsiTheme="minorHAnsi" w:cstheme="minorBidi"/>
                <w:b/>
                <w:bCs/>
                <w:sz w:val="18"/>
                <w:szCs w:val="18"/>
                <w:lang w:val="en-US"/>
              </w:rPr>
              <w:t>UKUPNO</w:t>
            </w:r>
          </w:p>
        </w:tc>
        <w:tc>
          <w:tcPr>
            <w:tcW w:w="1966" w:type="dxa"/>
            <w:tcBorders>
              <w:top w:val="single" w:sz="8" w:space="0" w:color="auto"/>
              <w:bottom w:val="single" w:sz="8" w:space="0" w:color="auto"/>
            </w:tcBorders>
            <w:shd w:val="clear" w:color="auto" w:fill="auto"/>
            <w:noWrap/>
            <w:tcMar>
              <w:top w:w="0" w:type="dxa"/>
              <w:left w:w="108" w:type="dxa"/>
              <w:bottom w:w="0" w:type="dxa"/>
              <w:right w:w="108" w:type="dxa"/>
            </w:tcMar>
            <w:vAlign w:val="center"/>
            <w:hideMark/>
          </w:tcPr>
          <w:p w14:paraId="6AFE94D1"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3 584 283,7</w:t>
            </w:r>
          </w:p>
        </w:tc>
        <w:tc>
          <w:tcPr>
            <w:tcW w:w="2388" w:type="dxa"/>
            <w:tcBorders>
              <w:top w:val="single" w:sz="8" w:space="0" w:color="auto"/>
              <w:bottom w:val="single" w:sz="8" w:space="0" w:color="auto"/>
            </w:tcBorders>
            <w:shd w:val="clear" w:color="auto" w:fill="auto"/>
            <w:noWrap/>
            <w:tcMar>
              <w:top w:w="0" w:type="dxa"/>
              <w:left w:w="108" w:type="dxa"/>
              <w:bottom w:w="0" w:type="dxa"/>
              <w:right w:w="108" w:type="dxa"/>
            </w:tcMar>
            <w:vAlign w:val="center"/>
            <w:hideMark/>
          </w:tcPr>
          <w:p w14:paraId="43A012AE"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936 463,2</w:t>
            </w:r>
          </w:p>
        </w:tc>
        <w:tc>
          <w:tcPr>
            <w:tcW w:w="2165" w:type="dxa"/>
            <w:tcBorders>
              <w:top w:val="single" w:sz="8" w:space="0" w:color="auto"/>
              <w:bottom w:val="single" w:sz="8" w:space="0" w:color="auto"/>
            </w:tcBorders>
            <w:shd w:val="clear" w:color="auto" w:fill="auto"/>
            <w:noWrap/>
            <w:tcMar>
              <w:top w:w="0" w:type="dxa"/>
              <w:left w:w="108" w:type="dxa"/>
              <w:bottom w:w="0" w:type="dxa"/>
              <w:right w:w="108" w:type="dxa"/>
            </w:tcMar>
            <w:vAlign w:val="center"/>
            <w:hideMark/>
          </w:tcPr>
          <w:p w14:paraId="6EF987AE" w14:textId="77777777" w:rsidR="002907A0" w:rsidRPr="005808FC" w:rsidRDefault="002907A0">
            <w:pPr>
              <w:pStyle w:val="NoSpacing"/>
              <w:jc w:val="center"/>
              <w:rPr>
                <w:rFonts w:asciiTheme="minorHAnsi" w:hAnsiTheme="minorHAnsi" w:cstheme="minorBidi"/>
                <w:sz w:val="18"/>
                <w:szCs w:val="18"/>
              </w:rPr>
            </w:pPr>
            <w:r w:rsidRPr="003E50D1">
              <w:rPr>
                <w:rFonts w:asciiTheme="minorHAnsi" w:hAnsiTheme="minorHAnsi" w:cstheme="minorBidi"/>
                <w:sz w:val="18"/>
                <w:szCs w:val="18"/>
              </w:rPr>
              <w:t>972 604,8</w:t>
            </w:r>
          </w:p>
        </w:tc>
      </w:tr>
    </w:tbl>
    <w:p w14:paraId="595A72CF" w14:textId="77777777" w:rsidR="002907A0" w:rsidRPr="00922031" w:rsidRDefault="002907A0" w:rsidP="002907A0">
      <w:pPr>
        <w:pStyle w:val="NoSpacing"/>
        <w:rPr>
          <w:rFonts w:asciiTheme="minorHAnsi" w:hAnsiTheme="minorHAnsi" w:cstheme="minorHAnsi"/>
        </w:rPr>
      </w:pPr>
    </w:p>
    <w:p w14:paraId="78825F18" w14:textId="4C14EEE8"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Opis korištene metodologije, usporedbe potrošnji, emisijski faktori</w:t>
      </w:r>
      <w:r w:rsidR="000509A0">
        <w:rPr>
          <w:rFonts w:asciiTheme="minorHAnsi" w:hAnsiTheme="minorHAnsi" w:cstheme="minorBidi"/>
        </w:rPr>
        <w:t xml:space="preserve"> i </w:t>
      </w:r>
      <w:r w:rsidRPr="003E50D1">
        <w:rPr>
          <w:rFonts w:asciiTheme="minorHAnsi" w:hAnsiTheme="minorHAnsi" w:cstheme="minorBidi"/>
        </w:rPr>
        <w:t>drugi relevantni podaci za podsektor osobnih</w:t>
      </w:r>
      <w:r w:rsidR="000509A0">
        <w:rPr>
          <w:rFonts w:asciiTheme="minorHAnsi" w:hAnsiTheme="minorHAnsi" w:cstheme="minorBidi"/>
        </w:rPr>
        <w:t xml:space="preserve"> i </w:t>
      </w:r>
      <w:r w:rsidRPr="003E50D1">
        <w:rPr>
          <w:rFonts w:asciiTheme="minorHAnsi" w:hAnsiTheme="minorHAnsi" w:cstheme="minorBidi"/>
        </w:rPr>
        <w:t xml:space="preserve">kombiniranih vozila dani su u </w:t>
      </w:r>
      <w:r w:rsidRPr="005808FC">
        <w:rPr>
          <w:rFonts w:asciiTheme="minorHAnsi" w:hAnsiTheme="minorHAnsi" w:cstheme="minorBidi"/>
          <w:i/>
          <w:iCs/>
        </w:rPr>
        <w:t>P</w:t>
      </w:r>
      <w:r w:rsidR="001D03F0" w:rsidRPr="005808FC">
        <w:rPr>
          <w:rFonts w:asciiTheme="minorHAnsi" w:hAnsiTheme="minorHAnsi" w:cstheme="minorBidi"/>
          <w:i/>
          <w:iCs/>
        </w:rPr>
        <w:t>rilogu 7</w:t>
      </w:r>
      <w:r w:rsidR="00333EAA" w:rsidRPr="003E50D1">
        <w:rPr>
          <w:rFonts w:cstheme="minorBidi"/>
        </w:rPr>
        <w:t>-</w:t>
      </w:r>
      <w:r w:rsidR="00333EAA" w:rsidRPr="003E50D1">
        <w:rPr>
          <w:rFonts w:cstheme="minorBidi"/>
          <w:i/>
          <w:iCs/>
        </w:rPr>
        <w:t xml:space="preserve"> Osnovne odrednice</w:t>
      </w:r>
      <w:r w:rsidR="000509A0">
        <w:rPr>
          <w:rFonts w:cstheme="minorBidi"/>
          <w:i/>
          <w:iCs/>
        </w:rPr>
        <w:t xml:space="preserve"> i </w:t>
      </w:r>
      <w:r w:rsidR="00333EAA" w:rsidRPr="003E50D1">
        <w:rPr>
          <w:rFonts w:cstheme="minorBidi"/>
          <w:i/>
          <w:iCs/>
        </w:rPr>
        <w:t>podloge za praćenje emisija CO</w:t>
      </w:r>
      <w:r w:rsidR="00333EAA" w:rsidRPr="00291DF5">
        <w:rPr>
          <w:rFonts w:cstheme="minorBidi"/>
          <w:i/>
          <w:iCs/>
          <w:vertAlign w:val="subscript"/>
        </w:rPr>
        <w:t>2</w:t>
      </w:r>
      <w:r w:rsidR="00333EAA" w:rsidRPr="005808FC">
        <w:rPr>
          <w:rFonts w:cstheme="minorBidi"/>
          <w:i/>
          <w:iCs/>
        </w:rPr>
        <w:t xml:space="preserve"> za izradu SEAP-a Grada Zagreba</w:t>
      </w:r>
      <w:r w:rsidRPr="003E50D1">
        <w:rPr>
          <w:rFonts w:asciiTheme="minorHAnsi" w:hAnsiTheme="minorHAnsi" w:cstheme="minorBidi"/>
        </w:rPr>
        <w:t>.</w:t>
      </w:r>
    </w:p>
    <w:p w14:paraId="3C872750" w14:textId="584B5676" w:rsidR="002907A0" w:rsidRPr="007053EB" w:rsidRDefault="002907A0" w:rsidP="007053EB">
      <w:pPr>
        <w:pStyle w:val="Heading3"/>
      </w:pPr>
      <w:bookmarkStart w:id="75" w:name="_Toc251920771"/>
      <w:bookmarkStart w:id="76" w:name="_Toc4156080"/>
      <w:r w:rsidRPr="007053EB">
        <w:t>Ukupne emisije CO</w:t>
      </w:r>
      <w:r w:rsidRPr="005808FC">
        <w:rPr>
          <w:vertAlign w:val="subscript"/>
        </w:rPr>
        <w:t>2</w:t>
      </w:r>
      <w:r w:rsidRPr="007053EB">
        <w:t xml:space="preserve"> sektora prometa Grada Zagreba</w:t>
      </w:r>
      <w:bookmarkEnd w:id="75"/>
      <w:bookmarkEnd w:id="76"/>
    </w:p>
    <w:p w14:paraId="6D2A3EA8" w14:textId="156ADE8D" w:rsidR="002907A0" w:rsidRPr="005808FC" w:rsidRDefault="002907A0" w:rsidP="005808FC">
      <w:pPr>
        <w:pStyle w:val="NoSpacing"/>
        <w:spacing w:line="276" w:lineRule="auto"/>
        <w:rPr>
          <w:rFonts w:asciiTheme="minorHAnsi" w:hAnsiTheme="minorHAnsi" w:cstheme="minorBidi"/>
        </w:rPr>
      </w:pPr>
      <w:r w:rsidRPr="003E50D1">
        <w:rPr>
          <w:rFonts w:asciiTheme="minorHAnsi" w:hAnsiTheme="minorHAnsi" w:cstheme="minorBidi"/>
        </w:rPr>
        <w:t>Usporedba potrošene energije</w:t>
      </w:r>
      <w:r w:rsidR="000509A0">
        <w:rPr>
          <w:rFonts w:asciiTheme="minorHAnsi" w:hAnsiTheme="minorHAnsi" w:cstheme="minorBidi"/>
        </w:rPr>
        <w:t xml:space="preserve"> i </w:t>
      </w:r>
      <w:r w:rsidRPr="003E50D1">
        <w:rPr>
          <w:rFonts w:asciiTheme="minorHAnsi" w:hAnsiTheme="minorHAnsi" w:cstheme="minorBidi"/>
        </w:rPr>
        <w:t>pripadajućih emisija CO</w:t>
      </w:r>
      <w:r w:rsidRPr="00291DF5">
        <w:rPr>
          <w:rFonts w:asciiTheme="minorHAnsi" w:hAnsiTheme="minorHAnsi" w:cstheme="minorBidi"/>
          <w:vertAlign w:val="subscript"/>
        </w:rPr>
        <w:t>2</w:t>
      </w:r>
      <w:r w:rsidRPr="005808FC">
        <w:rPr>
          <w:rFonts w:asciiTheme="minorHAnsi" w:hAnsiTheme="minorHAnsi" w:cstheme="minorBidi"/>
        </w:rPr>
        <w:t xml:space="preserve"> za podsektore prometa u Gradu Zagrebu dana je u </w:t>
      </w:r>
      <w:r w:rsidR="00FC154F" w:rsidRPr="005808FC">
        <w:rPr>
          <w:rFonts w:asciiTheme="minorHAnsi" w:hAnsiTheme="minorHAnsi" w:cstheme="minorBidi"/>
        </w:rPr>
        <w:t>T</w:t>
      </w:r>
      <w:r w:rsidRPr="005808FC">
        <w:rPr>
          <w:rFonts w:asciiTheme="minorHAnsi" w:hAnsiTheme="minorHAnsi" w:cstheme="minorBidi"/>
        </w:rPr>
        <w:t xml:space="preserve">ablici </w:t>
      </w:r>
      <w:r w:rsidR="00FC154F" w:rsidRPr="005808FC">
        <w:rPr>
          <w:rFonts w:asciiTheme="minorHAnsi" w:hAnsiTheme="minorHAnsi" w:cstheme="minorBidi"/>
        </w:rPr>
        <w:t>4</w:t>
      </w:r>
      <w:r w:rsidRPr="005808FC">
        <w:rPr>
          <w:rFonts w:asciiTheme="minorHAnsi" w:hAnsiTheme="minorHAnsi" w:cstheme="minorBidi"/>
        </w:rPr>
        <w:t>.10.</w:t>
      </w:r>
    </w:p>
    <w:p w14:paraId="3FD07D3E" w14:textId="77777777" w:rsidR="00B055DF" w:rsidRPr="00922031" w:rsidRDefault="00B055DF" w:rsidP="00B055DF">
      <w:pPr>
        <w:pStyle w:val="NoSpacing"/>
        <w:rPr>
          <w:rFonts w:asciiTheme="minorHAnsi" w:eastAsia="Times New Roman" w:hAnsiTheme="minorHAnsi" w:cstheme="minorHAnsi"/>
          <w:i/>
        </w:rPr>
      </w:pPr>
    </w:p>
    <w:p w14:paraId="08B2AFA4" w14:textId="3FE8893C" w:rsidR="002907A0" w:rsidRPr="005808FC" w:rsidRDefault="0082211F">
      <w:pPr>
        <w:pStyle w:val="Caption"/>
        <w:rPr>
          <w:rFonts w:asciiTheme="minorHAnsi" w:hAnsiTheme="minorHAnsi" w:cstheme="minorBidi"/>
          <w:lang w:val="it-IT"/>
        </w:rPr>
      </w:pPr>
      <w:bookmarkStart w:id="77" w:name="_Toc251924025"/>
      <w:bookmarkStart w:id="78" w:name="_Toc4156000"/>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10</w:t>
      </w:r>
      <w:r w:rsidR="0019556A">
        <w:fldChar w:fldCharType="end"/>
      </w:r>
      <w:r w:rsidRPr="005808FC">
        <w:rPr>
          <w:lang w:val="it-IT"/>
        </w:rPr>
        <w:t xml:space="preserve"> - </w:t>
      </w:r>
      <w:r w:rsidR="002907A0" w:rsidRPr="005808FC">
        <w:rPr>
          <w:rFonts w:asciiTheme="minorHAnsi" w:hAnsiTheme="minorHAnsi" w:cstheme="minorBidi"/>
          <w:lang w:val="it-IT"/>
        </w:rPr>
        <w:t>Potrošena energija</w:t>
      </w:r>
      <w:r w:rsidR="000509A0">
        <w:rPr>
          <w:rFonts w:asciiTheme="minorHAnsi" w:hAnsiTheme="minorHAnsi" w:cstheme="minorBidi"/>
          <w:lang w:val="it-IT"/>
        </w:rPr>
        <w:t xml:space="preserve"> i </w:t>
      </w:r>
      <w:r w:rsidR="002907A0" w:rsidRPr="005808FC">
        <w:rPr>
          <w:rFonts w:asciiTheme="minorHAnsi" w:hAnsiTheme="minorHAnsi" w:cstheme="minorBidi"/>
          <w:lang w:val="it-IT"/>
        </w:rPr>
        <w:t>pripadajuće emisije CO</w:t>
      </w:r>
      <w:r w:rsidR="002907A0" w:rsidRPr="005808FC">
        <w:rPr>
          <w:rFonts w:asciiTheme="minorHAnsi" w:hAnsiTheme="minorHAnsi" w:cstheme="minorBidi"/>
          <w:vertAlign w:val="subscript"/>
          <w:lang w:val="it-IT"/>
        </w:rPr>
        <w:t>2</w:t>
      </w:r>
      <w:r w:rsidR="002907A0" w:rsidRPr="005808FC">
        <w:rPr>
          <w:rFonts w:asciiTheme="minorHAnsi" w:hAnsiTheme="minorHAnsi" w:cstheme="minorBidi"/>
          <w:lang w:val="it-IT"/>
        </w:rPr>
        <w:t xml:space="preserve"> za podsektore prometa u Gradu Zagrebu</w:t>
      </w:r>
      <w:bookmarkEnd w:id="77"/>
      <w:bookmarkEnd w:id="78"/>
    </w:p>
    <w:tbl>
      <w:tblPr>
        <w:tblW w:w="9077"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98"/>
        <w:gridCol w:w="1563"/>
        <w:gridCol w:w="1563"/>
        <w:gridCol w:w="1653"/>
      </w:tblGrid>
      <w:tr w:rsidR="002907A0" w:rsidRPr="00922031" w14:paraId="28A83F6A" w14:textId="77777777" w:rsidTr="005808FC">
        <w:trPr>
          <w:trHeight w:val="239"/>
        </w:trPr>
        <w:tc>
          <w:tcPr>
            <w:tcW w:w="4298" w:type="dxa"/>
            <w:tcBorders>
              <w:bottom w:val="single" w:sz="8" w:space="0" w:color="auto"/>
            </w:tcBorders>
            <w:shd w:val="clear" w:color="auto" w:fill="C6D9F1" w:themeFill="text2" w:themeFillTint="33"/>
            <w:noWrap/>
            <w:vAlign w:val="center"/>
            <w:hideMark/>
          </w:tcPr>
          <w:p w14:paraId="4A08DCC0"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Sektor</w:t>
            </w:r>
          </w:p>
        </w:tc>
        <w:tc>
          <w:tcPr>
            <w:tcW w:w="1563" w:type="dxa"/>
            <w:tcBorders>
              <w:bottom w:val="single" w:sz="8" w:space="0" w:color="auto"/>
            </w:tcBorders>
            <w:shd w:val="clear" w:color="auto" w:fill="C6D9F1" w:themeFill="text2" w:themeFillTint="33"/>
            <w:vAlign w:val="center"/>
            <w:hideMark/>
          </w:tcPr>
          <w:p w14:paraId="5109981A"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Potrošena energija, MWh</w:t>
            </w:r>
          </w:p>
        </w:tc>
        <w:tc>
          <w:tcPr>
            <w:tcW w:w="1563" w:type="dxa"/>
            <w:tcBorders>
              <w:bottom w:val="single" w:sz="8" w:space="0" w:color="auto"/>
            </w:tcBorders>
            <w:shd w:val="clear" w:color="auto" w:fill="C6D9F1" w:themeFill="text2" w:themeFillTint="33"/>
            <w:vAlign w:val="center"/>
            <w:hideMark/>
          </w:tcPr>
          <w:p w14:paraId="781CFBED"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 xml:space="preserve">2 </w:t>
            </w:r>
            <w:r w:rsidRPr="005808FC">
              <w:rPr>
                <w:rFonts w:eastAsia="Times New Roman"/>
                <w:b/>
                <w:bCs/>
                <w:sz w:val="20"/>
                <w:szCs w:val="20"/>
                <w:lang w:eastAsia="hr-HR"/>
              </w:rPr>
              <w:t>t</w:t>
            </w:r>
          </w:p>
        </w:tc>
        <w:tc>
          <w:tcPr>
            <w:tcW w:w="1653" w:type="dxa"/>
            <w:tcBorders>
              <w:bottom w:val="single" w:sz="8" w:space="0" w:color="auto"/>
            </w:tcBorders>
            <w:shd w:val="clear" w:color="auto" w:fill="C6D9F1" w:themeFill="text2" w:themeFillTint="33"/>
            <w:vAlign w:val="center"/>
            <w:hideMark/>
          </w:tcPr>
          <w:p w14:paraId="0AF9B52D" w14:textId="77777777" w:rsidR="002907A0" w:rsidRPr="005808FC" w:rsidRDefault="002907A0" w:rsidP="005808FC">
            <w:pPr>
              <w:spacing w:after="0" w:line="240" w:lineRule="auto"/>
              <w:jc w:val="center"/>
              <w:rPr>
                <w:rFonts w:eastAsia="Times New Roman"/>
                <w:b/>
                <w:bCs/>
                <w:sz w:val="20"/>
                <w:szCs w:val="20"/>
                <w:lang w:eastAsia="hr-HR"/>
              </w:rPr>
            </w:pPr>
            <w:r w:rsidRPr="003E50D1">
              <w:rPr>
                <w:rFonts w:eastAsia="Times New Roman"/>
                <w:b/>
                <w:bCs/>
                <w:sz w:val="20"/>
                <w:szCs w:val="20"/>
                <w:lang w:eastAsia="hr-HR"/>
              </w:rPr>
              <w:t>Emisija CO</w:t>
            </w:r>
            <w:r w:rsidRPr="00291DF5">
              <w:rPr>
                <w:rFonts w:eastAsia="Times New Roman"/>
                <w:b/>
                <w:bCs/>
                <w:sz w:val="20"/>
                <w:szCs w:val="20"/>
                <w:vertAlign w:val="subscript"/>
                <w:lang w:eastAsia="hr-HR"/>
              </w:rPr>
              <w:t>2</w:t>
            </w:r>
            <w:r w:rsidRPr="005808FC">
              <w:rPr>
                <w:rFonts w:eastAsia="Times New Roman"/>
                <w:b/>
                <w:bCs/>
                <w:sz w:val="20"/>
                <w:szCs w:val="20"/>
                <w:lang w:eastAsia="hr-HR"/>
              </w:rPr>
              <w:t>-ekv, t</w:t>
            </w:r>
          </w:p>
        </w:tc>
      </w:tr>
      <w:tr w:rsidR="002907A0" w:rsidRPr="00922031" w14:paraId="27EBDEB4" w14:textId="77777777" w:rsidTr="005808FC">
        <w:trPr>
          <w:trHeight w:val="239"/>
        </w:trPr>
        <w:tc>
          <w:tcPr>
            <w:tcW w:w="4298" w:type="dxa"/>
            <w:tcBorders>
              <w:top w:val="single" w:sz="8" w:space="0" w:color="auto"/>
              <w:left w:val="single" w:sz="8" w:space="0" w:color="auto"/>
              <w:bottom w:val="single" w:sz="8" w:space="0" w:color="auto"/>
              <w:right w:val="single" w:sz="8" w:space="0" w:color="auto"/>
            </w:tcBorders>
            <w:shd w:val="clear" w:color="auto" w:fill="F2DBDB" w:themeFill="accent2" w:themeFillTint="33"/>
            <w:noWrap/>
            <w:vAlign w:val="bottom"/>
            <w:hideMark/>
          </w:tcPr>
          <w:p w14:paraId="59958499" w14:textId="56E59D9C"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Vozila u vlasništvu grada</w:t>
            </w:r>
            <w:r w:rsidR="000509A0">
              <w:rPr>
                <w:rFonts w:eastAsia="Times New Roman"/>
                <w:b/>
                <w:bCs/>
                <w:sz w:val="20"/>
                <w:szCs w:val="20"/>
                <w:lang w:eastAsia="hr-HR"/>
              </w:rPr>
              <w:t xml:space="preserve"> i </w:t>
            </w:r>
            <w:r w:rsidRPr="003E50D1">
              <w:rPr>
                <w:rFonts w:eastAsia="Times New Roman"/>
                <w:b/>
                <w:bCs/>
                <w:sz w:val="20"/>
                <w:szCs w:val="20"/>
                <w:lang w:eastAsia="hr-HR"/>
              </w:rPr>
              <w:t xml:space="preserve">gradskih </w:t>
            </w:r>
            <w:r w:rsidRPr="00291DF5">
              <w:rPr>
                <w:rFonts w:eastAsia="Times New Roman"/>
                <w:b/>
                <w:bCs/>
                <w:sz w:val="20"/>
                <w:szCs w:val="20"/>
                <w:lang w:eastAsia="hr-HR"/>
              </w:rPr>
              <w:t>poduzeća</w:t>
            </w:r>
          </w:p>
        </w:tc>
        <w:tc>
          <w:tcPr>
            <w:tcW w:w="1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0CB92C"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55 877,9</w:t>
            </w:r>
          </w:p>
        </w:tc>
        <w:tc>
          <w:tcPr>
            <w:tcW w:w="1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28B3C8"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14 658,9</w:t>
            </w:r>
          </w:p>
        </w:tc>
        <w:tc>
          <w:tcPr>
            <w:tcW w:w="16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8607F3"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14 717,3</w:t>
            </w:r>
          </w:p>
        </w:tc>
      </w:tr>
      <w:tr w:rsidR="002907A0" w:rsidRPr="00922031" w14:paraId="363F1852" w14:textId="77777777" w:rsidTr="005808FC">
        <w:trPr>
          <w:trHeight w:val="239"/>
        </w:trPr>
        <w:tc>
          <w:tcPr>
            <w:tcW w:w="4298" w:type="dxa"/>
            <w:tcBorders>
              <w:top w:val="single" w:sz="8" w:space="0" w:color="auto"/>
              <w:left w:val="single" w:sz="8" w:space="0" w:color="auto"/>
              <w:bottom w:val="single" w:sz="8" w:space="0" w:color="auto"/>
              <w:right w:val="single" w:sz="8" w:space="0" w:color="auto"/>
            </w:tcBorders>
            <w:shd w:val="clear" w:color="auto" w:fill="F2DBDB" w:themeFill="accent2" w:themeFillTint="33"/>
            <w:noWrap/>
            <w:vAlign w:val="bottom"/>
            <w:hideMark/>
          </w:tcPr>
          <w:p w14:paraId="1ECB68AC"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Javni prijevoz</w:t>
            </w:r>
          </w:p>
        </w:tc>
        <w:tc>
          <w:tcPr>
            <w:tcW w:w="1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7B5AAF"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138 029,0</w:t>
            </w:r>
          </w:p>
        </w:tc>
        <w:tc>
          <w:tcPr>
            <w:tcW w:w="1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52E15D"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56 320,9</w:t>
            </w:r>
          </w:p>
        </w:tc>
        <w:tc>
          <w:tcPr>
            <w:tcW w:w="16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9C74F1"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56 757,5</w:t>
            </w:r>
          </w:p>
        </w:tc>
      </w:tr>
      <w:tr w:rsidR="002907A0" w:rsidRPr="00922031" w14:paraId="577D0991" w14:textId="77777777" w:rsidTr="005808FC">
        <w:trPr>
          <w:trHeight w:val="239"/>
        </w:trPr>
        <w:tc>
          <w:tcPr>
            <w:tcW w:w="4298" w:type="dxa"/>
            <w:tcBorders>
              <w:top w:val="single" w:sz="8" w:space="0" w:color="auto"/>
            </w:tcBorders>
            <w:shd w:val="clear" w:color="auto" w:fill="F2DBDB" w:themeFill="accent2" w:themeFillTint="33"/>
            <w:noWrap/>
            <w:vAlign w:val="bottom"/>
            <w:hideMark/>
          </w:tcPr>
          <w:p w14:paraId="2D94C24E" w14:textId="1BF5E3A4" w:rsidR="002907A0" w:rsidRPr="005808FC" w:rsidRDefault="00B25B9E" w:rsidP="005808FC">
            <w:pPr>
              <w:spacing w:after="0" w:line="240" w:lineRule="auto"/>
              <w:rPr>
                <w:rFonts w:eastAsia="Times New Roman"/>
                <w:b/>
                <w:bCs/>
                <w:sz w:val="20"/>
                <w:szCs w:val="20"/>
                <w:lang w:eastAsia="hr-HR"/>
              </w:rPr>
            </w:pPr>
            <w:r w:rsidRPr="003E50D1">
              <w:rPr>
                <w:rFonts w:eastAsia="Times New Roman"/>
                <w:b/>
                <w:bCs/>
                <w:sz w:val="20"/>
                <w:szCs w:val="20"/>
                <w:lang w:eastAsia="hr-HR"/>
              </w:rPr>
              <w:t xml:space="preserve">    </w:t>
            </w:r>
            <w:r w:rsidR="002907A0" w:rsidRPr="00291DF5">
              <w:rPr>
                <w:rFonts w:eastAsia="Times New Roman"/>
                <w:b/>
                <w:bCs/>
                <w:sz w:val="20"/>
                <w:szCs w:val="20"/>
                <w:lang w:eastAsia="hr-HR"/>
              </w:rPr>
              <w:t xml:space="preserve"> Autobusi</w:t>
            </w:r>
          </w:p>
        </w:tc>
        <w:tc>
          <w:tcPr>
            <w:tcW w:w="1563" w:type="dxa"/>
            <w:tcBorders>
              <w:top w:val="single" w:sz="8" w:space="0" w:color="auto"/>
            </w:tcBorders>
            <w:shd w:val="clear" w:color="auto" w:fill="auto"/>
            <w:noWrap/>
            <w:vAlign w:val="bottom"/>
            <w:hideMark/>
          </w:tcPr>
          <w:p w14:paraId="3EEEECDF"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137 967,5</w:t>
            </w:r>
          </w:p>
        </w:tc>
        <w:tc>
          <w:tcPr>
            <w:tcW w:w="1563" w:type="dxa"/>
            <w:tcBorders>
              <w:top w:val="single" w:sz="8" w:space="0" w:color="auto"/>
            </w:tcBorders>
            <w:shd w:val="clear" w:color="auto" w:fill="auto"/>
            <w:noWrap/>
            <w:vAlign w:val="bottom"/>
            <w:hideMark/>
          </w:tcPr>
          <w:p w14:paraId="6F020C3D"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36 453,8</w:t>
            </w:r>
          </w:p>
        </w:tc>
        <w:tc>
          <w:tcPr>
            <w:tcW w:w="1653" w:type="dxa"/>
            <w:tcBorders>
              <w:top w:val="single" w:sz="8" w:space="0" w:color="auto"/>
            </w:tcBorders>
            <w:shd w:val="clear" w:color="auto" w:fill="auto"/>
            <w:noWrap/>
            <w:vAlign w:val="bottom"/>
            <w:hideMark/>
          </w:tcPr>
          <w:p w14:paraId="3C9C6936"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36 890,4</w:t>
            </w:r>
          </w:p>
        </w:tc>
      </w:tr>
      <w:tr w:rsidR="002907A0" w:rsidRPr="00922031" w14:paraId="7ABF214D" w14:textId="77777777" w:rsidTr="005808FC">
        <w:trPr>
          <w:trHeight w:val="239"/>
        </w:trPr>
        <w:tc>
          <w:tcPr>
            <w:tcW w:w="4298" w:type="dxa"/>
            <w:shd w:val="clear" w:color="auto" w:fill="F2DBDB" w:themeFill="accent2" w:themeFillTint="33"/>
            <w:noWrap/>
            <w:vAlign w:val="bottom"/>
            <w:hideMark/>
          </w:tcPr>
          <w:p w14:paraId="72E4EE6B" w14:textId="77E45CB6" w:rsidR="002907A0" w:rsidRPr="005808FC" w:rsidRDefault="00B25B9E" w:rsidP="005808FC">
            <w:pPr>
              <w:spacing w:after="0" w:line="240" w:lineRule="auto"/>
              <w:rPr>
                <w:rFonts w:eastAsia="Times New Roman"/>
                <w:b/>
                <w:bCs/>
                <w:sz w:val="20"/>
                <w:szCs w:val="20"/>
                <w:lang w:eastAsia="hr-HR"/>
              </w:rPr>
            </w:pPr>
            <w:r w:rsidRPr="003E50D1">
              <w:rPr>
                <w:rFonts w:eastAsia="Times New Roman"/>
                <w:b/>
                <w:bCs/>
                <w:sz w:val="20"/>
                <w:szCs w:val="20"/>
                <w:lang w:eastAsia="hr-HR"/>
              </w:rPr>
              <w:t xml:space="preserve">    </w:t>
            </w:r>
            <w:r w:rsidR="002907A0" w:rsidRPr="00291DF5">
              <w:rPr>
                <w:rFonts w:eastAsia="Times New Roman"/>
                <w:b/>
                <w:bCs/>
                <w:sz w:val="20"/>
                <w:szCs w:val="20"/>
                <w:lang w:eastAsia="hr-HR"/>
              </w:rPr>
              <w:t xml:space="preserve"> Vozila na električni pogon</w:t>
            </w:r>
          </w:p>
        </w:tc>
        <w:tc>
          <w:tcPr>
            <w:tcW w:w="1563" w:type="dxa"/>
            <w:shd w:val="clear" w:color="auto" w:fill="auto"/>
            <w:noWrap/>
            <w:vAlign w:val="bottom"/>
            <w:hideMark/>
          </w:tcPr>
          <w:p w14:paraId="539B6A8B" w14:textId="386DEDC1"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61</w:t>
            </w:r>
            <w:r w:rsidR="00D563D8">
              <w:rPr>
                <w:rFonts w:eastAsia="Times New Roman"/>
                <w:sz w:val="20"/>
                <w:szCs w:val="20"/>
                <w:lang w:eastAsia="hr-HR"/>
              </w:rPr>
              <w:t xml:space="preserve"> </w:t>
            </w:r>
            <w:r w:rsidRPr="003E50D1">
              <w:rPr>
                <w:rFonts w:eastAsia="Times New Roman"/>
                <w:sz w:val="20"/>
                <w:szCs w:val="20"/>
                <w:lang w:eastAsia="hr-HR"/>
              </w:rPr>
              <w:t>5</w:t>
            </w:r>
            <w:r w:rsidR="00D563D8">
              <w:rPr>
                <w:rFonts w:eastAsia="Times New Roman"/>
                <w:sz w:val="20"/>
                <w:szCs w:val="20"/>
                <w:lang w:eastAsia="hr-HR"/>
              </w:rPr>
              <w:t>00</w:t>
            </w:r>
          </w:p>
        </w:tc>
        <w:tc>
          <w:tcPr>
            <w:tcW w:w="1563" w:type="dxa"/>
            <w:shd w:val="clear" w:color="auto" w:fill="auto"/>
            <w:noWrap/>
            <w:vAlign w:val="bottom"/>
            <w:hideMark/>
          </w:tcPr>
          <w:p w14:paraId="0C533116"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19 867,1</w:t>
            </w:r>
          </w:p>
        </w:tc>
        <w:tc>
          <w:tcPr>
            <w:tcW w:w="1653" w:type="dxa"/>
            <w:shd w:val="clear" w:color="auto" w:fill="auto"/>
            <w:noWrap/>
            <w:vAlign w:val="bottom"/>
            <w:hideMark/>
          </w:tcPr>
          <w:p w14:paraId="6E8EE39E"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19 867,1</w:t>
            </w:r>
          </w:p>
        </w:tc>
      </w:tr>
      <w:tr w:rsidR="002907A0" w:rsidRPr="00922031" w14:paraId="72379743" w14:textId="77777777" w:rsidTr="005808FC">
        <w:trPr>
          <w:trHeight w:val="239"/>
        </w:trPr>
        <w:tc>
          <w:tcPr>
            <w:tcW w:w="4298" w:type="dxa"/>
            <w:shd w:val="clear" w:color="auto" w:fill="F2DBDB" w:themeFill="accent2" w:themeFillTint="33"/>
            <w:noWrap/>
            <w:vAlign w:val="bottom"/>
            <w:hideMark/>
          </w:tcPr>
          <w:p w14:paraId="116D7F63" w14:textId="5A1E0C54"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Osobna</w:t>
            </w:r>
            <w:r w:rsidR="000509A0">
              <w:rPr>
                <w:rFonts w:eastAsia="Times New Roman"/>
                <w:b/>
                <w:bCs/>
                <w:sz w:val="20"/>
                <w:szCs w:val="20"/>
                <w:lang w:eastAsia="hr-HR"/>
              </w:rPr>
              <w:t xml:space="preserve"> i </w:t>
            </w:r>
            <w:r w:rsidRPr="003E50D1">
              <w:rPr>
                <w:rFonts w:eastAsia="Times New Roman"/>
                <w:b/>
                <w:bCs/>
                <w:sz w:val="20"/>
                <w:szCs w:val="20"/>
                <w:lang w:eastAsia="hr-HR"/>
              </w:rPr>
              <w:t>kombinirana vozila</w:t>
            </w:r>
          </w:p>
        </w:tc>
        <w:tc>
          <w:tcPr>
            <w:tcW w:w="1563" w:type="dxa"/>
            <w:shd w:val="clear" w:color="auto" w:fill="auto"/>
            <w:noWrap/>
            <w:vAlign w:val="bottom"/>
            <w:hideMark/>
          </w:tcPr>
          <w:p w14:paraId="30BCA88C"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3 584 283,7</w:t>
            </w:r>
          </w:p>
        </w:tc>
        <w:tc>
          <w:tcPr>
            <w:tcW w:w="1563" w:type="dxa"/>
            <w:shd w:val="clear" w:color="auto" w:fill="auto"/>
            <w:noWrap/>
            <w:vAlign w:val="bottom"/>
            <w:hideMark/>
          </w:tcPr>
          <w:p w14:paraId="509AC372"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936 463,2</w:t>
            </w:r>
          </w:p>
        </w:tc>
        <w:tc>
          <w:tcPr>
            <w:tcW w:w="1653" w:type="dxa"/>
            <w:shd w:val="clear" w:color="auto" w:fill="auto"/>
            <w:noWrap/>
            <w:vAlign w:val="bottom"/>
            <w:hideMark/>
          </w:tcPr>
          <w:p w14:paraId="5C48DC48"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972 604,8</w:t>
            </w:r>
          </w:p>
        </w:tc>
      </w:tr>
      <w:tr w:rsidR="002907A0" w:rsidRPr="00922031" w14:paraId="78E93234" w14:textId="77777777" w:rsidTr="005808FC">
        <w:trPr>
          <w:trHeight w:val="239"/>
        </w:trPr>
        <w:tc>
          <w:tcPr>
            <w:tcW w:w="4298" w:type="dxa"/>
            <w:shd w:val="clear" w:color="auto" w:fill="F2DBDB" w:themeFill="accent2" w:themeFillTint="33"/>
            <w:noWrap/>
            <w:vAlign w:val="bottom"/>
            <w:hideMark/>
          </w:tcPr>
          <w:p w14:paraId="59B2CEC3" w14:textId="77777777" w:rsidR="002907A0" w:rsidRPr="005808FC" w:rsidRDefault="002907A0" w:rsidP="005808FC">
            <w:pPr>
              <w:spacing w:after="0" w:line="240" w:lineRule="auto"/>
              <w:rPr>
                <w:rFonts w:eastAsia="Times New Roman"/>
                <w:b/>
                <w:bCs/>
                <w:sz w:val="20"/>
                <w:szCs w:val="20"/>
                <w:lang w:eastAsia="hr-HR"/>
              </w:rPr>
            </w:pPr>
            <w:r w:rsidRPr="003E50D1">
              <w:rPr>
                <w:rFonts w:eastAsia="Times New Roman"/>
                <w:b/>
                <w:bCs/>
                <w:sz w:val="20"/>
                <w:szCs w:val="20"/>
                <w:lang w:eastAsia="hr-HR"/>
              </w:rPr>
              <w:t>UKUPNO</w:t>
            </w:r>
          </w:p>
        </w:tc>
        <w:tc>
          <w:tcPr>
            <w:tcW w:w="1563" w:type="dxa"/>
            <w:shd w:val="clear" w:color="auto" w:fill="auto"/>
            <w:noWrap/>
            <w:vAlign w:val="bottom"/>
            <w:hideMark/>
          </w:tcPr>
          <w:p w14:paraId="3BB2FE8F"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3 778 190,6</w:t>
            </w:r>
          </w:p>
        </w:tc>
        <w:tc>
          <w:tcPr>
            <w:tcW w:w="1563" w:type="dxa"/>
            <w:shd w:val="clear" w:color="auto" w:fill="auto"/>
            <w:noWrap/>
            <w:vAlign w:val="bottom"/>
            <w:hideMark/>
          </w:tcPr>
          <w:p w14:paraId="5CDC871E"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1 007 443,1</w:t>
            </w:r>
          </w:p>
        </w:tc>
        <w:tc>
          <w:tcPr>
            <w:tcW w:w="1653" w:type="dxa"/>
            <w:shd w:val="clear" w:color="auto" w:fill="auto"/>
            <w:noWrap/>
            <w:vAlign w:val="bottom"/>
            <w:hideMark/>
          </w:tcPr>
          <w:p w14:paraId="13387B91" w14:textId="77777777" w:rsidR="002907A0" w:rsidRPr="005808FC" w:rsidRDefault="002907A0" w:rsidP="005808FC">
            <w:pPr>
              <w:spacing w:after="0" w:line="240" w:lineRule="auto"/>
              <w:jc w:val="right"/>
              <w:rPr>
                <w:rFonts w:eastAsia="Times New Roman"/>
                <w:sz w:val="20"/>
                <w:szCs w:val="20"/>
                <w:lang w:eastAsia="hr-HR"/>
              </w:rPr>
            </w:pPr>
            <w:r w:rsidRPr="003E50D1">
              <w:rPr>
                <w:rFonts w:eastAsia="Times New Roman"/>
                <w:sz w:val="20"/>
                <w:szCs w:val="20"/>
                <w:lang w:eastAsia="hr-HR"/>
              </w:rPr>
              <w:t>1 044 079,6</w:t>
            </w:r>
          </w:p>
        </w:tc>
      </w:tr>
    </w:tbl>
    <w:p w14:paraId="2537EE80" w14:textId="77777777" w:rsidR="002907A0" w:rsidRPr="00922031" w:rsidRDefault="002907A0" w:rsidP="002907A0">
      <w:pPr>
        <w:spacing w:after="0" w:line="240" w:lineRule="auto"/>
        <w:rPr>
          <w:rFonts w:cstheme="minorHAnsi"/>
        </w:rPr>
      </w:pPr>
    </w:p>
    <w:p w14:paraId="6DC576D8" w14:textId="5441B56B" w:rsidR="002907A0" w:rsidRPr="00922031" w:rsidRDefault="002907A0" w:rsidP="005808FC">
      <w:pPr>
        <w:spacing w:after="0"/>
      </w:pPr>
      <w:r w:rsidRPr="003E50D1">
        <w:t>Grafički prikaz potrošnje goriva te pripadajućih emisija CO</w:t>
      </w:r>
      <w:r w:rsidRPr="00291DF5">
        <w:rPr>
          <w:vertAlign w:val="subscript"/>
        </w:rPr>
        <w:t>2</w:t>
      </w:r>
      <w:r w:rsidR="000509A0">
        <w:t xml:space="preserve"> i </w:t>
      </w:r>
      <w:r w:rsidRPr="00291DF5">
        <w:t>ekvivalenta emisija CO</w:t>
      </w:r>
      <w:r w:rsidRPr="005808FC">
        <w:rPr>
          <w:vertAlign w:val="subscript"/>
        </w:rPr>
        <w:t>2</w:t>
      </w:r>
      <w:r w:rsidRPr="005808FC">
        <w:t xml:space="preserve"> dan je na </w:t>
      </w:r>
      <w:r w:rsidR="00FC154F" w:rsidRPr="005808FC">
        <w:t>S</w:t>
      </w:r>
      <w:r w:rsidRPr="005808FC">
        <w:t xml:space="preserve">likama </w:t>
      </w:r>
      <w:r w:rsidR="00FC154F" w:rsidRPr="005808FC">
        <w:t>4</w:t>
      </w:r>
      <w:r w:rsidRPr="005808FC">
        <w:t>.2</w:t>
      </w:r>
      <w:r w:rsidR="000509A0">
        <w:t xml:space="preserve"> i </w:t>
      </w:r>
      <w:r w:rsidR="00FC154F" w:rsidRPr="00291DF5">
        <w:t>4</w:t>
      </w:r>
      <w:r w:rsidRPr="005808FC">
        <w:t>.3.</w:t>
      </w:r>
    </w:p>
    <w:p w14:paraId="04CD3EEF" w14:textId="2C413C6F" w:rsidR="00B055DF" w:rsidRPr="00922031" w:rsidRDefault="00B055DF" w:rsidP="00B055DF">
      <w:pPr>
        <w:pStyle w:val="Heading6"/>
        <w:rPr>
          <w:rFonts w:cstheme="minorHAnsi"/>
        </w:rPr>
      </w:pPr>
      <w:r w:rsidRPr="00922031">
        <w:rPr>
          <w:rFonts w:cstheme="minorHAnsi"/>
          <w:noProof/>
          <w:lang w:eastAsia="hr-HR"/>
        </w:rPr>
        <w:drawing>
          <wp:inline distT="0" distB="0" distL="0" distR="0" wp14:anchorId="2C79BEB8" wp14:editId="2EAC7C3C">
            <wp:extent cx="5076825" cy="1981200"/>
            <wp:effectExtent l="0" t="0" r="0"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79" w:name="_Toc251923992"/>
    </w:p>
    <w:p w14:paraId="53F65723" w14:textId="6355DBDB" w:rsidR="00B055DF" w:rsidRPr="003E50D1" w:rsidRDefault="00244D74">
      <w:pPr>
        <w:pStyle w:val="Caption"/>
        <w:jc w:val="center"/>
        <w:rPr>
          <w:rFonts w:cstheme="minorBidi"/>
        </w:rPr>
      </w:pPr>
      <w:bookmarkStart w:id="80" w:name="_Toc4156023"/>
      <w:r>
        <w:t>Slika</w:t>
      </w:r>
      <w:r w:rsidRPr="0DFBE047">
        <w:t xml:space="preserve"> </w:t>
      </w:r>
      <w:r w:rsidR="0019556A">
        <w:fldChar w:fldCharType="begin"/>
      </w:r>
      <w:r w:rsidR="0019556A">
        <w:instrText xml:space="preserve"> STYLEREF 1 \s </w:instrText>
      </w:r>
      <w:r w:rsidR="0019556A">
        <w:fldChar w:fldCharType="separate"/>
      </w:r>
      <w:r w:rsidR="0019556A">
        <w:rPr>
          <w:noProof/>
        </w:rPr>
        <w:t>4</w:t>
      </w:r>
      <w:r w:rsidR="0019556A">
        <w:fldChar w:fldCharType="end"/>
      </w:r>
      <w:r w:rsidR="0019556A" w:rsidRPr="0DFBE047">
        <w:t>.</w:t>
      </w:r>
      <w:r w:rsidR="0019556A">
        <w:fldChar w:fldCharType="begin"/>
      </w:r>
      <w:r w:rsidR="0019556A">
        <w:instrText xml:space="preserve"> SEQ Slika \* ARABIC \s 1 </w:instrText>
      </w:r>
      <w:r w:rsidR="0019556A">
        <w:fldChar w:fldCharType="separate"/>
      </w:r>
      <w:r w:rsidR="0019556A">
        <w:rPr>
          <w:noProof/>
        </w:rPr>
        <w:t>2</w:t>
      </w:r>
      <w:r w:rsidR="0019556A">
        <w:fldChar w:fldCharType="end"/>
      </w:r>
      <w:r w:rsidRPr="0DFBE047">
        <w:t xml:space="preserve"> - </w:t>
      </w:r>
      <w:r w:rsidR="00B055DF" w:rsidRPr="003E50D1">
        <w:rPr>
          <w:rFonts w:cstheme="minorBidi"/>
        </w:rPr>
        <w:t>Potrošnja energenata prometnog sektora</w:t>
      </w:r>
      <w:bookmarkEnd w:id="79"/>
      <w:bookmarkEnd w:id="80"/>
    </w:p>
    <w:p w14:paraId="3AC24D4F" w14:textId="77777777" w:rsidR="002907A0" w:rsidRPr="00922031" w:rsidRDefault="002907A0" w:rsidP="002907A0">
      <w:pPr>
        <w:spacing w:line="240" w:lineRule="auto"/>
        <w:ind w:firstLine="426"/>
        <w:jc w:val="center"/>
        <w:rPr>
          <w:rFonts w:cstheme="minorHAnsi"/>
        </w:rPr>
      </w:pPr>
      <w:r w:rsidRPr="00922031">
        <w:rPr>
          <w:rFonts w:cstheme="minorHAnsi"/>
          <w:noProof/>
          <w:lang w:eastAsia="hr-HR"/>
        </w:rPr>
        <w:lastRenderedPageBreak/>
        <w:drawing>
          <wp:inline distT="0" distB="0" distL="0" distR="0" wp14:anchorId="3DDA4057" wp14:editId="0741218E">
            <wp:extent cx="5581650" cy="2095500"/>
            <wp:effectExtent l="0" t="0" r="0" b="0"/>
            <wp:docPr id="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1CAE09" w14:textId="1B070E22" w:rsidR="002907A0" w:rsidRPr="005808FC" w:rsidRDefault="00244D74">
      <w:pPr>
        <w:pStyle w:val="Heading6"/>
        <w:rPr>
          <w:rStyle w:val="slikeprave"/>
          <w:rFonts w:asciiTheme="minorHAnsi" w:hAnsiTheme="minorHAnsi"/>
          <w:i/>
        </w:rPr>
      </w:pPr>
      <w:bookmarkStart w:id="81" w:name="_Toc251923993"/>
      <w:bookmarkStart w:id="82" w:name="_Toc4156024"/>
      <w:r w:rsidRPr="003E50D1">
        <w:rPr>
          <w:rStyle w:val="slikeprave"/>
          <w:rFonts w:asciiTheme="minorHAnsi" w:hAnsiTheme="minorHAnsi"/>
          <w:i/>
        </w:rPr>
        <w:t xml:space="preserve">Slika </w:t>
      </w:r>
      <w:r w:rsidR="0019556A" w:rsidRPr="005808FC">
        <w:fldChar w:fldCharType="begin"/>
      </w:r>
      <w:r w:rsidR="0019556A">
        <w:rPr>
          <w:rStyle w:val="slikeprave"/>
          <w:rFonts w:asciiTheme="minorHAnsi" w:hAnsiTheme="minorHAnsi"/>
          <w:bCs w:val="0"/>
          <w:i/>
        </w:rPr>
        <w:instrText xml:space="preserve"> STYLEREF 1 \s </w:instrText>
      </w:r>
      <w:r w:rsidR="0019556A" w:rsidRPr="005808FC">
        <w:rPr>
          <w:rStyle w:val="slikeprave"/>
          <w:rFonts w:asciiTheme="minorHAnsi" w:hAnsiTheme="minorHAnsi"/>
          <w:bCs w:val="0"/>
          <w:i/>
        </w:rPr>
        <w:fldChar w:fldCharType="separate"/>
      </w:r>
      <w:r w:rsidR="0019556A" w:rsidRPr="005808FC">
        <w:rPr>
          <w:rStyle w:val="slikeprave"/>
          <w:rFonts w:asciiTheme="minorHAnsi" w:hAnsiTheme="minorHAnsi"/>
          <w:i/>
          <w:noProof/>
        </w:rPr>
        <w:t>4</w:t>
      </w:r>
      <w:r w:rsidR="0019556A" w:rsidRPr="005808FC">
        <w:fldChar w:fldCharType="end"/>
      </w:r>
      <w:r w:rsidR="0019556A" w:rsidRPr="003E50D1">
        <w:rPr>
          <w:rStyle w:val="slikeprave"/>
          <w:rFonts w:asciiTheme="minorHAnsi" w:hAnsiTheme="minorHAnsi"/>
          <w:i/>
        </w:rPr>
        <w:t>.</w:t>
      </w:r>
      <w:r w:rsidR="0019556A" w:rsidRPr="005808FC">
        <w:fldChar w:fldCharType="begin"/>
      </w:r>
      <w:r w:rsidR="0019556A">
        <w:rPr>
          <w:rStyle w:val="slikeprave"/>
          <w:rFonts w:asciiTheme="minorHAnsi" w:hAnsiTheme="minorHAnsi"/>
          <w:bCs w:val="0"/>
          <w:i/>
        </w:rPr>
        <w:instrText xml:space="preserve"> SEQ Slika \* ARABIC \s 1 </w:instrText>
      </w:r>
      <w:r w:rsidR="0019556A" w:rsidRPr="005808FC">
        <w:rPr>
          <w:rStyle w:val="slikeprave"/>
          <w:rFonts w:asciiTheme="minorHAnsi" w:hAnsiTheme="minorHAnsi"/>
          <w:bCs w:val="0"/>
          <w:i/>
        </w:rPr>
        <w:fldChar w:fldCharType="separate"/>
      </w:r>
      <w:r w:rsidR="0019556A" w:rsidRPr="005808FC">
        <w:rPr>
          <w:rStyle w:val="slikeprave"/>
          <w:rFonts w:asciiTheme="minorHAnsi" w:hAnsiTheme="minorHAnsi"/>
          <w:i/>
          <w:noProof/>
        </w:rPr>
        <w:t>3</w:t>
      </w:r>
      <w:r w:rsidR="0019556A" w:rsidRPr="005808FC">
        <w:fldChar w:fldCharType="end"/>
      </w:r>
      <w:r w:rsidRPr="003E50D1">
        <w:rPr>
          <w:rStyle w:val="slikeprave"/>
          <w:rFonts w:asciiTheme="minorHAnsi" w:hAnsiTheme="minorHAnsi"/>
          <w:i/>
        </w:rPr>
        <w:t xml:space="preserve"> - </w:t>
      </w:r>
      <w:r w:rsidR="002907A0" w:rsidRPr="00291DF5">
        <w:rPr>
          <w:rStyle w:val="slikeprave"/>
          <w:rFonts w:asciiTheme="minorHAnsi" w:hAnsiTheme="minorHAnsi"/>
          <w:i/>
        </w:rPr>
        <w:t>Emisije CO2 prometnog sektora Grada</w:t>
      </w:r>
      <w:bookmarkEnd w:id="81"/>
      <w:bookmarkEnd w:id="82"/>
    </w:p>
    <w:p w14:paraId="264D5D0C" w14:textId="77D9B491" w:rsidR="002907A0" w:rsidRPr="00922031" w:rsidRDefault="002907A0" w:rsidP="005808FC">
      <w:pPr>
        <w:spacing w:after="0" w:line="240" w:lineRule="auto"/>
      </w:pPr>
      <w:r w:rsidRPr="003E50D1">
        <w:t>Ukupna emisija CO</w:t>
      </w:r>
      <w:r w:rsidRPr="00291DF5">
        <w:rPr>
          <w:vertAlign w:val="subscript"/>
        </w:rPr>
        <w:t>2</w:t>
      </w:r>
      <w:r w:rsidRPr="005808FC">
        <w:t xml:space="preserve"> sektora prometa Grada Zagreba iznosi oko 1007 kt, od čega više od 94% otpada na podsektor osobnih</w:t>
      </w:r>
      <w:r w:rsidR="000509A0">
        <w:t xml:space="preserve"> i </w:t>
      </w:r>
      <w:r w:rsidRPr="00291DF5">
        <w:t xml:space="preserve">kombiniranih vozila. </w:t>
      </w:r>
    </w:p>
    <w:p w14:paraId="5D345107" w14:textId="77777777" w:rsidR="00B055DF" w:rsidRPr="00922031" w:rsidRDefault="00B055DF" w:rsidP="002907A0">
      <w:pPr>
        <w:spacing w:after="0" w:line="240" w:lineRule="auto"/>
        <w:rPr>
          <w:rFonts w:cstheme="minorHAnsi"/>
        </w:rPr>
      </w:pPr>
    </w:p>
    <w:p w14:paraId="00F75DAB" w14:textId="77777777" w:rsidR="002907A0" w:rsidRPr="00922031" w:rsidRDefault="002907A0" w:rsidP="00F5641B">
      <w:pPr>
        <w:pStyle w:val="Heading2"/>
      </w:pPr>
      <w:bookmarkStart w:id="83" w:name="_Toc251920772"/>
      <w:bookmarkStart w:id="84" w:name="_Toc4156081"/>
      <w:r w:rsidRPr="00922031">
        <w:t>Referentni inventar emisija CO</w:t>
      </w:r>
      <w:r w:rsidRPr="00922031">
        <w:rPr>
          <w:vertAlign w:val="subscript"/>
        </w:rPr>
        <w:t>2</w:t>
      </w:r>
      <w:r w:rsidRPr="00922031">
        <w:t xml:space="preserve"> iz sektora javne rasvjete Grada Zagreba</w:t>
      </w:r>
      <w:bookmarkEnd w:id="83"/>
      <w:bookmarkEnd w:id="84"/>
    </w:p>
    <w:p w14:paraId="2CD12777" w14:textId="3C40863F" w:rsidR="002907A0" w:rsidRPr="00922031" w:rsidRDefault="002907A0" w:rsidP="005808FC">
      <w:pPr>
        <w:spacing w:after="0" w:line="240" w:lineRule="auto"/>
      </w:pPr>
      <w:r w:rsidRPr="003E50D1">
        <w:t>Emisije CO</w:t>
      </w:r>
      <w:r w:rsidRPr="00291DF5">
        <w:rPr>
          <w:vertAlign w:val="subscript"/>
        </w:rPr>
        <w:t>2</w:t>
      </w:r>
      <w:r w:rsidRPr="005808FC">
        <w:t xml:space="preserve"> sektora javne rasvjete Grada Zagreba obuhvaćaju emisije iz električne</w:t>
      </w:r>
      <w:r w:rsidR="000509A0">
        <w:t xml:space="preserve"> i </w:t>
      </w:r>
      <w:r w:rsidRPr="00291DF5">
        <w:t>plinske mreže javne rasvjete. Udio plinske u ukupnoj mreži javne rasvjete Grada je gotovo zanemariv. Emisija CO2 obuhvaća izravnu</w:t>
      </w:r>
      <w:r w:rsidR="000509A0">
        <w:t xml:space="preserve"> i </w:t>
      </w:r>
      <w:r w:rsidRPr="00291DF5">
        <w:t>neizravnu emisiju CO</w:t>
      </w:r>
      <w:r w:rsidRPr="005808FC">
        <w:rPr>
          <w:vertAlign w:val="subscript"/>
        </w:rPr>
        <w:t>2</w:t>
      </w:r>
      <w:r w:rsidRPr="005808FC">
        <w:t>. Općenito izravna emisija CO</w:t>
      </w:r>
      <w:r w:rsidRPr="005808FC">
        <w:rPr>
          <w:vertAlign w:val="subscript"/>
        </w:rPr>
        <w:t>2</w:t>
      </w:r>
      <w:r w:rsidRPr="005808FC">
        <w:t xml:space="preserve"> nastaje zbog izgaranja goriva, dok neizravna emisija CO</w:t>
      </w:r>
      <w:r w:rsidRPr="005808FC">
        <w:rPr>
          <w:vertAlign w:val="subscript"/>
        </w:rPr>
        <w:t>2</w:t>
      </w:r>
      <w:r w:rsidRPr="005808FC">
        <w:t xml:space="preserve"> nastaje zbog potrošnje električne energije.</w:t>
      </w:r>
      <w:r w:rsidR="00B25B9E" w:rsidRPr="005808FC">
        <w:t xml:space="preserve"> </w:t>
      </w:r>
    </w:p>
    <w:p w14:paraId="6EE3B880" w14:textId="77777777" w:rsidR="002907A0" w:rsidRPr="00922031" w:rsidRDefault="002907A0" w:rsidP="001D03F0">
      <w:pPr>
        <w:spacing w:after="0" w:line="240" w:lineRule="auto"/>
        <w:rPr>
          <w:rFonts w:cstheme="minorHAnsi"/>
        </w:rPr>
      </w:pPr>
    </w:p>
    <w:p w14:paraId="3129FBA7" w14:textId="126AFBBA" w:rsidR="002907A0" w:rsidRPr="00922031" w:rsidRDefault="002907A0" w:rsidP="005808FC">
      <w:pPr>
        <w:spacing w:after="0" w:line="240" w:lineRule="auto"/>
      </w:pPr>
      <w:r w:rsidRPr="003E50D1">
        <w:t xml:space="preserve">U </w:t>
      </w:r>
      <w:r w:rsidR="00FC154F" w:rsidRPr="00291DF5">
        <w:t>T</w:t>
      </w:r>
      <w:r w:rsidRPr="005808FC">
        <w:t xml:space="preserve">ablici </w:t>
      </w:r>
      <w:r w:rsidR="00FC154F" w:rsidRPr="005808FC">
        <w:t>4</w:t>
      </w:r>
      <w:r w:rsidRPr="005808FC">
        <w:t>.11 dane su potrošnje električne energije</w:t>
      </w:r>
      <w:r w:rsidR="000509A0">
        <w:t xml:space="preserve"> i </w:t>
      </w:r>
      <w:r w:rsidRPr="00291DF5">
        <w:t>pripadajuće emisije CO</w:t>
      </w:r>
      <w:r w:rsidRPr="005808FC">
        <w:rPr>
          <w:vertAlign w:val="subscript"/>
        </w:rPr>
        <w:t>2</w:t>
      </w:r>
      <w:r w:rsidRPr="005808FC">
        <w:t xml:space="preserve"> za električnu mrežu javne rasvjete</w:t>
      </w:r>
      <w:r w:rsidR="00FC154F" w:rsidRPr="005808FC">
        <w:t xml:space="preserve">, </w:t>
      </w:r>
      <w:r w:rsidRPr="005808FC">
        <w:t xml:space="preserve">a u </w:t>
      </w:r>
      <w:r w:rsidR="00FC154F" w:rsidRPr="005808FC">
        <w:t>T</w:t>
      </w:r>
      <w:r w:rsidRPr="005808FC">
        <w:t xml:space="preserve">ablici </w:t>
      </w:r>
      <w:r w:rsidR="00FC154F" w:rsidRPr="005808FC">
        <w:t>4</w:t>
      </w:r>
      <w:r w:rsidRPr="005808FC">
        <w:t>.12 identični parametri za plinsku mrežu.</w:t>
      </w:r>
    </w:p>
    <w:p w14:paraId="32A7FC2D" w14:textId="77777777" w:rsidR="002907A0" w:rsidRPr="00922031" w:rsidRDefault="002907A0" w:rsidP="001D03F0">
      <w:pPr>
        <w:spacing w:after="0" w:line="240" w:lineRule="auto"/>
        <w:rPr>
          <w:rFonts w:cstheme="minorHAnsi"/>
        </w:rPr>
      </w:pPr>
    </w:p>
    <w:p w14:paraId="71822143" w14:textId="2D47C412" w:rsidR="002907A0" w:rsidRPr="005808FC" w:rsidRDefault="0082211F">
      <w:pPr>
        <w:pStyle w:val="Caption"/>
        <w:rPr>
          <w:rFonts w:asciiTheme="minorHAnsi" w:hAnsiTheme="minorHAnsi" w:cstheme="minorBidi"/>
          <w:lang w:val="hr-HR"/>
        </w:rPr>
      </w:pPr>
      <w:bookmarkStart w:id="85" w:name="_Toc248427236"/>
      <w:bookmarkStart w:id="86" w:name="_Toc251924026"/>
      <w:bookmarkStart w:id="87" w:name="_Toc4156001"/>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4</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11</w:t>
      </w:r>
      <w:r w:rsidR="0019556A">
        <w:fldChar w:fldCharType="end"/>
      </w:r>
      <w:r w:rsidRPr="005808FC">
        <w:rPr>
          <w:lang w:val="hr-HR"/>
        </w:rPr>
        <w:t xml:space="preserve"> - </w:t>
      </w:r>
      <w:r w:rsidR="002907A0" w:rsidRPr="005808FC">
        <w:rPr>
          <w:rFonts w:asciiTheme="minorHAnsi" w:hAnsiTheme="minorHAnsi" w:cstheme="minorBidi"/>
          <w:lang w:val="hr-HR"/>
        </w:rPr>
        <w:t>Potrošnja električne energije</w:t>
      </w:r>
      <w:r w:rsidR="000509A0">
        <w:rPr>
          <w:rFonts w:asciiTheme="minorHAnsi" w:hAnsiTheme="minorHAnsi" w:cstheme="minorBidi"/>
          <w:lang w:val="hr-HR"/>
        </w:rPr>
        <w:t xml:space="preserve"> i </w:t>
      </w:r>
      <w:r w:rsidR="002907A0" w:rsidRPr="005808FC">
        <w:rPr>
          <w:rFonts w:asciiTheme="minorHAnsi" w:hAnsiTheme="minorHAnsi" w:cstheme="minorBidi"/>
          <w:lang w:val="hr-HR"/>
        </w:rPr>
        <w:t>neizravna emisija CO</w:t>
      </w:r>
      <w:r w:rsidR="002907A0" w:rsidRPr="005808FC">
        <w:rPr>
          <w:rFonts w:asciiTheme="minorHAnsi" w:hAnsiTheme="minorHAnsi" w:cstheme="minorBidi"/>
          <w:vertAlign w:val="subscript"/>
          <w:lang w:val="hr-HR"/>
        </w:rPr>
        <w:t>2</w:t>
      </w:r>
      <w:bookmarkEnd w:id="85"/>
      <w:r w:rsidR="002907A0" w:rsidRPr="005808FC">
        <w:rPr>
          <w:rFonts w:asciiTheme="minorHAnsi" w:hAnsiTheme="minorHAnsi" w:cstheme="minorBidi"/>
          <w:lang w:val="hr-HR"/>
        </w:rPr>
        <w:t xml:space="preserve"> električne mreže javne rasvjete</w:t>
      </w:r>
      <w:bookmarkEnd w:id="86"/>
      <w:bookmarkEnd w:id="87"/>
    </w:p>
    <w:tbl>
      <w:tblPr>
        <w:tblW w:w="911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731"/>
        <w:gridCol w:w="2223"/>
        <w:gridCol w:w="1646"/>
        <w:gridCol w:w="1519"/>
      </w:tblGrid>
      <w:tr w:rsidR="002907A0" w:rsidRPr="00922031" w14:paraId="49C2D44B" w14:textId="77777777" w:rsidTr="005808FC">
        <w:trPr>
          <w:trHeight w:val="227"/>
        </w:trPr>
        <w:tc>
          <w:tcPr>
            <w:tcW w:w="3731" w:type="dxa"/>
            <w:vMerge w:val="restart"/>
            <w:shd w:val="clear" w:color="auto" w:fill="C6D9F1" w:themeFill="text2" w:themeFillTint="33"/>
            <w:vAlign w:val="center"/>
          </w:tcPr>
          <w:p w14:paraId="2842FC28" w14:textId="77777777" w:rsidR="002907A0" w:rsidRPr="00922031" w:rsidRDefault="002907A0" w:rsidP="001D03F0">
            <w:pPr>
              <w:spacing w:after="0" w:line="240" w:lineRule="auto"/>
              <w:rPr>
                <w:rFonts w:cstheme="minorHAnsi"/>
                <w:b/>
                <w:sz w:val="18"/>
                <w:szCs w:val="18"/>
                <w:lang w:eastAsia="hr-HR"/>
              </w:rPr>
            </w:pPr>
          </w:p>
        </w:tc>
        <w:tc>
          <w:tcPr>
            <w:tcW w:w="2223" w:type="dxa"/>
            <w:shd w:val="clear" w:color="auto" w:fill="C6D9F1" w:themeFill="text2" w:themeFillTint="33"/>
            <w:vAlign w:val="center"/>
          </w:tcPr>
          <w:p w14:paraId="2CD044E7"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Potrošnja el</w:t>
            </w:r>
            <w:r w:rsidRPr="00291DF5">
              <w:rPr>
                <w:b/>
                <w:bCs/>
                <w:sz w:val="20"/>
                <w:szCs w:val="20"/>
                <w:lang w:eastAsia="hr-HR"/>
              </w:rPr>
              <w:t>ektrične energije</w:t>
            </w:r>
          </w:p>
        </w:tc>
        <w:tc>
          <w:tcPr>
            <w:tcW w:w="1646" w:type="dxa"/>
            <w:shd w:val="clear" w:color="auto" w:fill="C6D9F1" w:themeFill="text2" w:themeFillTint="33"/>
            <w:vAlign w:val="center"/>
          </w:tcPr>
          <w:p w14:paraId="4CF01880"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Emisijski faktor</w:t>
            </w:r>
          </w:p>
        </w:tc>
        <w:tc>
          <w:tcPr>
            <w:tcW w:w="1519" w:type="dxa"/>
            <w:shd w:val="clear" w:color="auto" w:fill="C6D9F1" w:themeFill="text2" w:themeFillTint="33"/>
            <w:noWrap/>
            <w:vAlign w:val="center"/>
          </w:tcPr>
          <w:p w14:paraId="31E8C463"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Emisija</w:t>
            </w:r>
          </w:p>
        </w:tc>
      </w:tr>
      <w:tr w:rsidR="002907A0" w:rsidRPr="00922031" w14:paraId="5F6AE8F4" w14:textId="77777777" w:rsidTr="005808FC">
        <w:trPr>
          <w:trHeight w:val="227"/>
        </w:trPr>
        <w:tc>
          <w:tcPr>
            <w:tcW w:w="3731" w:type="dxa"/>
            <w:vMerge/>
            <w:shd w:val="clear" w:color="auto" w:fill="C6D9F1" w:themeFill="text2" w:themeFillTint="33"/>
            <w:vAlign w:val="center"/>
          </w:tcPr>
          <w:p w14:paraId="52572247" w14:textId="77777777" w:rsidR="002907A0" w:rsidRPr="00922031" w:rsidRDefault="002907A0" w:rsidP="001D03F0">
            <w:pPr>
              <w:spacing w:after="0" w:line="240" w:lineRule="auto"/>
              <w:rPr>
                <w:rFonts w:cstheme="minorHAnsi"/>
                <w:b/>
                <w:sz w:val="18"/>
                <w:szCs w:val="18"/>
                <w:lang w:eastAsia="hr-HR"/>
              </w:rPr>
            </w:pPr>
          </w:p>
        </w:tc>
        <w:tc>
          <w:tcPr>
            <w:tcW w:w="2223" w:type="dxa"/>
            <w:shd w:val="clear" w:color="auto" w:fill="C6D9F1" w:themeFill="text2" w:themeFillTint="33"/>
            <w:vAlign w:val="center"/>
          </w:tcPr>
          <w:p w14:paraId="73CAE03F"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MWh</w:t>
            </w:r>
          </w:p>
        </w:tc>
        <w:tc>
          <w:tcPr>
            <w:tcW w:w="1646" w:type="dxa"/>
            <w:shd w:val="clear" w:color="auto" w:fill="C6D9F1" w:themeFill="text2" w:themeFillTint="33"/>
            <w:noWrap/>
            <w:vAlign w:val="center"/>
          </w:tcPr>
          <w:p w14:paraId="4909C4A7"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t CO</w:t>
            </w:r>
            <w:r w:rsidRPr="00291DF5">
              <w:rPr>
                <w:b/>
                <w:bCs/>
                <w:sz w:val="20"/>
                <w:szCs w:val="20"/>
                <w:vertAlign w:val="subscript"/>
                <w:lang w:eastAsia="hr-HR"/>
              </w:rPr>
              <w:t>2</w:t>
            </w:r>
            <w:r w:rsidRPr="005808FC">
              <w:rPr>
                <w:b/>
                <w:bCs/>
                <w:sz w:val="20"/>
                <w:szCs w:val="20"/>
                <w:lang w:eastAsia="hr-HR"/>
              </w:rPr>
              <w:t>/MWh</w:t>
            </w:r>
          </w:p>
        </w:tc>
        <w:tc>
          <w:tcPr>
            <w:tcW w:w="1519" w:type="dxa"/>
            <w:shd w:val="clear" w:color="auto" w:fill="C6D9F1" w:themeFill="text2" w:themeFillTint="33"/>
            <w:noWrap/>
            <w:vAlign w:val="center"/>
          </w:tcPr>
          <w:p w14:paraId="16CA0693"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t CO</w:t>
            </w:r>
            <w:r w:rsidRPr="00291DF5">
              <w:rPr>
                <w:b/>
                <w:bCs/>
                <w:sz w:val="20"/>
                <w:szCs w:val="20"/>
                <w:vertAlign w:val="subscript"/>
                <w:lang w:eastAsia="hr-HR"/>
              </w:rPr>
              <w:t>2</w:t>
            </w:r>
          </w:p>
        </w:tc>
      </w:tr>
      <w:tr w:rsidR="002907A0" w:rsidRPr="00922031" w14:paraId="68AF0C36" w14:textId="77777777" w:rsidTr="005808FC">
        <w:trPr>
          <w:trHeight w:val="227"/>
        </w:trPr>
        <w:tc>
          <w:tcPr>
            <w:tcW w:w="3731" w:type="dxa"/>
            <w:shd w:val="clear" w:color="auto" w:fill="F2DBDB" w:themeFill="accent2" w:themeFillTint="33"/>
            <w:noWrap/>
            <w:vAlign w:val="bottom"/>
          </w:tcPr>
          <w:p w14:paraId="2377B148"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Javna rasvjeta - električna energija</w:t>
            </w:r>
          </w:p>
        </w:tc>
        <w:tc>
          <w:tcPr>
            <w:tcW w:w="2223" w:type="dxa"/>
            <w:shd w:val="clear" w:color="auto" w:fill="auto"/>
            <w:noWrap/>
            <w:vAlign w:val="bottom"/>
          </w:tcPr>
          <w:p w14:paraId="41D8EC6D" w14:textId="77777777" w:rsidR="002907A0" w:rsidRPr="005808FC" w:rsidRDefault="002907A0" w:rsidP="005808FC">
            <w:pPr>
              <w:spacing w:after="0" w:line="240" w:lineRule="auto"/>
              <w:rPr>
                <w:sz w:val="20"/>
                <w:szCs w:val="20"/>
              </w:rPr>
            </w:pPr>
            <w:r w:rsidRPr="003E50D1">
              <w:rPr>
                <w:sz w:val="20"/>
                <w:szCs w:val="20"/>
              </w:rPr>
              <w:t>90 100</w:t>
            </w:r>
          </w:p>
        </w:tc>
        <w:tc>
          <w:tcPr>
            <w:tcW w:w="1646" w:type="dxa"/>
            <w:shd w:val="clear" w:color="auto" w:fill="auto"/>
            <w:noWrap/>
            <w:vAlign w:val="center"/>
          </w:tcPr>
          <w:p w14:paraId="39F2E033" w14:textId="77777777" w:rsidR="002907A0" w:rsidRPr="005808FC" w:rsidRDefault="002907A0" w:rsidP="005808FC">
            <w:pPr>
              <w:spacing w:after="0" w:line="240" w:lineRule="auto"/>
              <w:rPr>
                <w:sz w:val="20"/>
                <w:szCs w:val="20"/>
              </w:rPr>
            </w:pPr>
            <w:r w:rsidRPr="003E50D1">
              <w:rPr>
                <w:sz w:val="20"/>
                <w:szCs w:val="20"/>
              </w:rPr>
              <w:t>0,323</w:t>
            </w:r>
          </w:p>
        </w:tc>
        <w:tc>
          <w:tcPr>
            <w:tcW w:w="1519" w:type="dxa"/>
            <w:shd w:val="clear" w:color="auto" w:fill="auto"/>
            <w:noWrap/>
            <w:vAlign w:val="bottom"/>
          </w:tcPr>
          <w:p w14:paraId="358FCCC2" w14:textId="77777777" w:rsidR="002907A0" w:rsidRPr="005808FC" w:rsidRDefault="002907A0" w:rsidP="005808FC">
            <w:pPr>
              <w:spacing w:after="0" w:line="240" w:lineRule="auto"/>
              <w:rPr>
                <w:sz w:val="20"/>
                <w:szCs w:val="20"/>
              </w:rPr>
            </w:pPr>
            <w:r w:rsidRPr="003E50D1">
              <w:rPr>
                <w:sz w:val="20"/>
                <w:szCs w:val="20"/>
              </w:rPr>
              <w:t>29 102,3</w:t>
            </w:r>
          </w:p>
        </w:tc>
      </w:tr>
    </w:tbl>
    <w:p w14:paraId="1E745660" w14:textId="77777777" w:rsidR="002907A0" w:rsidRPr="00922031" w:rsidRDefault="002907A0" w:rsidP="001D03F0">
      <w:pPr>
        <w:pStyle w:val="Caption"/>
        <w:spacing w:after="0"/>
        <w:rPr>
          <w:rFonts w:asciiTheme="minorHAnsi" w:hAnsiTheme="minorHAnsi" w:cstheme="minorHAnsi"/>
          <w:i w:val="0"/>
        </w:rPr>
      </w:pPr>
    </w:p>
    <w:p w14:paraId="702263C9" w14:textId="3539B48A" w:rsidR="002907A0" w:rsidRPr="005808FC" w:rsidRDefault="0082211F">
      <w:pPr>
        <w:pStyle w:val="Caption"/>
        <w:rPr>
          <w:rFonts w:asciiTheme="minorHAnsi" w:hAnsiTheme="minorHAnsi" w:cstheme="minorBidi"/>
          <w:lang w:val="it-IT"/>
        </w:rPr>
      </w:pPr>
      <w:bookmarkStart w:id="88" w:name="_Toc251924027"/>
      <w:bookmarkStart w:id="89" w:name="_Toc4156002"/>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12</w:t>
      </w:r>
      <w:r w:rsidR="0019556A">
        <w:fldChar w:fldCharType="end"/>
      </w:r>
      <w:r w:rsidRPr="005808FC">
        <w:rPr>
          <w:lang w:val="it-IT"/>
        </w:rPr>
        <w:t xml:space="preserve"> - </w:t>
      </w:r>
      <w:r w:rsidR="002907A0" w:rsidRPr="005808FC">
        <w:rPr>
          <w:rFonts w:asciiTheme="minorHAnsi" w:hAnsiTheme="minorHAnsi" w:cstheme="minorBidi"/>
          <w:lang w:val="it-IT"/>
        </w:rPr>
        <w:t>Potrošnja plina</w:t>
      </w:r>
      <w:r w:rsidR="000509A0">
        <w:rPr>
          <w:rFonts w:asciiTheme="minorHAnsi" w:hAnsiTheme="minorHAnsi" w:cstheme="minorBidi"/>
          <w:lang w:val="it-IT"/>
        </w:rPr>
        <w:t xml:space="preserve"> i </w:t>
      </w:r>
      <w:r w:rsidR="002907A0" w:rsidRPr="005808FC">
        <w:rPr>
          <w:rFonts w:asciiTheme="minorHAnsi" w:hAnsiTheme="minorHAnsi" w:cstheme="minorBidi"/>
          <w:lang w:val="it-IT"/>
        </w:rPr>
        <w:t>emisija CO</w:t>
      </w:r>
      <w:r w:rsidR="002907A0" w:rsidRPr="005808FC">
        <w:rPr>
          <w:rFonts w:asciiTheme="minorHAnsi" w:hAnsiTheme="minorHAnsi" w:cstheme="minorBidi"/>
          <w:vertAlign w:val="subscript"/>
          <w:lang w:val="it-IT"/>
        </w:rPr>
        <w:t>2</w:t>
      </w:r>
      <w:r w:rsidR="002907A0" w:rsidRPr="005808FC">
        <w:rPr>
          <w:rFonts w:asciiTheme="minorHAnsi" w:hAnsiTheme="minorHAnsi" w:cstheme="minorBidi"/>
          <w:lang w:val="it-IT"/>
        </w:rPr>
        <w:t xml:space="preserve"> plinske mreže</w:t>
      </w:r>
      <w:bookmarkEnd w:id="88"/>
      <w:bookmarkEnd w:id="89"/>
    </w:p>
    <w:tbl>
      <w:tblPr>
        <w:tblW w:w="916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679"/>
        <w:gridCol w:w="2256"/>
        <w:gridCol w:w="987"/>
        <w:gridCol w:w="987"/>
        <w:gridCol w:w="987"/>
        <w:gridCol w:w="1269"/>
      </w:tblGrid>
      <w:tr w:rsidR="002907A0" w:rsidRPr="00922031" w14:paraId="79FB900E" w14:textId="77777777" w:rsidTr="005808FC">
        <w:trPr>
          <w:trHeight w:val="73"/>
        </w:trPr>
        <w:tc>
          <w:tcPr>
            <w:tcW w:w="2679" w:type="dxa"/>
            <w:vMerge w:val="restart"/>
            <w:shd w:val="clear" w:color="auto" w:fill="C6D9F1" w:themeFill="text2" w:themeFillTint="33"/>
            <w:vAlign w:val="center"/>
          </w:tcPr>
          <w:p w14:paraId="725AF7B9" w14:textId="77777777" w:rsidR="002907A0" w:rsidRPr="00922031" w:rsidRDefault="002907A0" w:rsidP="001D03F0">
            <w:pPr>
              <w:spacing w:after="0" w:line="240" w:lineRule="auto"/>
              <w:rPr>
                <w:rFonts w:cstheme="minorHAnsi"/>
                <w:b/>
                <w:sz w:val="20"/>
                <w:lang w:eastAsia="hr-HR"/>
              </w:rPr>
            </w:pPr>
          </w:p>
        </w:tc>
        <w:tc>
          <w:tcPr>
            <w:tcW w:w="2256" w:type="dxa"/>
            <w:vMerge w:val="restart"/>
            <w:shd w:val="clear" w:color="auto" w:fill="C6D9F1" w:themeFill="text2" w:themeFillTint="33"/>
            <w:vAlign w:val="center"/>
          </w:tcPr>
          <w:p w14:paraId="26DE6F04"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 xml:space="preserve">Potrošnja prirodnog </w:t>
            </w:r>
            <w:r w:rsidRPr="00291DF5">
              <w:rPr>
                <w:b/>
                <w:bCs/>
                <w:sz w:val="20"/>
                <w:szCs w:val="20"/>
                <w:lang w:eastAsia="hr-HR"/>
              </w:rPr>
              <w:t>plina, TJ</w:t>
            </w:r>
          </w:p>
        </w:tc>
        <w:tc>
          <w:tcPr>
            <w:tcW w:w="4229" w:type="dxa"/>
            <w:gridSpan w:val="4"/>
            <w:shd w:val="clear" w:color="auto" w:fill="C6D9F1" w:themeFill="text2" w:themeFillTint="33"/>
            <w:noWrap/>
            <w:vAlign w:val="center"/>
          </w:tcPr>
          <w:p w14:paraId="3E55BB34"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Emisija, t</w:t>
            </w:r>
          </w:p>
        </w:tc>
      </w:tr>
      <w:tr w:rsidR="002907A0" w:rsidRPr="00922031" w14:paraId="3915EA2A" w14:textId="77777777" w:rsidTr="005808FC">
        <w:trPr>
          <w:trHeight w:val="107"/>
        </w:trPr>
        <w:tc>
          <w:tcPr>
            <w:tcW w:w="2679" w:type="dxa"/>
            <w:vMerge/>
            <w:shd w:val="clear" w:color="auto" w:fill="C6D9F1" w:themeFill="text2" w:themeFillTint="33"/>
            <w:vAlign w:val="center"/>
          </w:tcPr>
          <w:p w14:paraId="42D264F1" w14:textId="77777777" w:rsidR="002907A0" w:rsidRPr="00922031" w:rsidRDefault="002907A0" w:rsidP="001D03F0">
            <w:pPr>
              <w:spacing w:after="0" w:line="240" w:lineRule="auto"/>
              <w:rPr>
                <w:rFonts w:cstheme="minorHAnsi"/>
                <w:b/>
                <w:sz w:val="20"/>
                <w:lang w:eastAsia="hr-HR"/>
              </w:rPr>
            </w:pPr>
          </w:p>
        </w:tc>
        <w:tc>
          <w:tcPr>
            <w:tcW w:w="2256" w:type="dxa"/>
            <w:vMerge/>
            <w:shd w:val="clear" w:color="auto" w:fill="C6D9F1" w:themeFill="text2" w:themeFillTint="33"/>
            <w:vAlign w:val="center"/>
          </w:tcPr>
          <w:p w14:paraId="1C775522" w14:textId="77777777" w:rsidR="002907A0" w:rsidRPr="00922031" w:rsidRDefault="002907A0" w:rsidP="001D03F0">
            <w:pPr>
              <w:spacing w:after="0" w:line="240" w:lineRule="auto"/>
              <w:rPr>
                <w:rFonts w:cstheme="minorHAnsi"/>
                <w:b/>
                <w:sz w:val="20"/>
                <w:lang w:eastAsia="hr-HR"/>
              </w:rPr>
            </w:pPr>
          </w:p>
        </w:tc>
        <w:tc>
          <w:tcPr>
            <w:tcW w:w="987" w:type="dxa"/>
            <w:shd w:val="clear" w:color="auto" w:fill="C6D9F1" w:themeFill="text2" w:themeFillTint="33"/>
            <w:noWrap/>
            <w:vAlign w:val="center"/>
          </w:tcPr>
          <w:p w14:paraId="2909BC30"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CO</w:t>
            </w:r>
            <w:r w:rsidRPr="00291DF5">
              <w:rPr>
                <w:b/>
                <w:bCs/>
                <w:sz w:val="20"/>
                <w:szCs w:val="20"/>
                <w:vertAlign w:val="subscript"/>
                <w:lang w:eastAsia="hr-HR"/>
              </w:rPr>
              <w:t>2</w:t>
            </w:r>
          </w:p>
        </w:tc>
        <w:tc>
          <w:tcPr>
            <w:tcW w:w="987" w:type="dxa"/>
            <w:shd w:val="clear" w:color="auto" w:fill="C6D9F1" w:themeFill="text2" w:themeFillTint="33"/>
            <w:noWrap/>
            <w:vAlign w:val="center"/>
          </w:tcPr>
          <w:p w14:paraId="7585582C"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CH</w:t>
            </w:r>
            <w:r w:rsidRPr="00291DF5">
              <w:rPr>
                <w:b/>
                <w:bCs/>
                <w:sz w:val="20"/>
                <w:szCs w:val="20"/>
                <w:vertAlign w:val="subscript"/>
                <w:lang w:eastAsia="hr-HR"/>
              </w:rPr>
              <w:t>4</w:t>
            </w:r>
          </w:p>
        </w:tc>
        <w:tc>
          <w:tcPr>
            <w:tcW w:w="987" w:type="dxa"/>
            <w:shd w:val="clear" w:color="auto" w:fill="C6D9F1" w:themeFill="text2" w:themeFillTint="33"/>
            <w:noWrap/>
            <w:vAlign w:val="center"/>
          </w:tcPr>
          <w:p w14:paraId="17948EEA"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N</w:t>
            </w:r>
            <w:r w:rsidRPr="00291DF5">
              <w:rPr>
                <w:b/>
                <w:bCs/>
                <w:sz w:val="20"/>
                <w:szCs w:val="20"/>
                <w:vertAlign w:val="subscript"/>
                <w:lang w:eastAsia="hr-HR"/>
              </w:rPr>
              <w:t>2</w:t>
            </w:r>
            <w:r w:rsidRPr="005808FC">
              <w:rPr>
                <w:b/>
                <w:bCs/>
                <w:sz w:val="20"/>
                <w:szCs w:val="20"/>
                <w:lang w:eastAsia="hr-HR"/>
              </w:rPr>
              <w:t>O</w:t>
            </w:r>
          </w:p>
        </w:tc>
        <w:tc>
          <w:tcPr>
            <w:tcW w:w="1269" w:type="dxa"/>
            <w:shd w:val="clear" w:color="auto" w:fill="C6D9F1" w:themeFill="text2" w:themeFillTint="33"/>
            <w:noWrap/>
            <w:vAlign w:val="center"/>
          </w:tcPr>
          <w:p w14:paraId="393B7575"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CO</w:t>
            </w:r>
            <w:r w:rsidRPr="00291DF5">
              <w:rPr>
                <w:b/>
                <w:bCs/>
                <w:sz w:val="20"/>
                <w:szCs w:val="20"/>
                <w:vertAlign w:val="subscript"/>
                <w:lang w:eastAsia="hr-HR"/>
              </w:rPr>
              <w:t>2</w:t>
            </w:r>
            <w:r w:rsidRPr="005808FC">
              <w:rPr>
                <w:b/>
                <w:bCs/>
                <w:sz w:val="20"/>
                <w:szCs w:val="20"/>
                <w:lang w:eastAsia="hr-HR"/>
              </w:rPr>
              <w:t>-ekv</w:t>
            </w:r>
          </w:p>
        </w:tc>
      </w:tr>
      <w:tr w:rsidR="002907A0" w:rsidRPr="00922031" w14:paraId="3C7673A1" w14:textId="77777777" w:rsidTr="005808FC">
        <w:trPr>
          <w:trHeight w:val="157"/>
        </w:trPr>
        <w:tc>
          <w:tcPr>
            <w:tcW w:w="2679" w:type="dxa"/>
            <w:shd w:val="clear" w:color="auto" w:fill="F2DBDB" w:themeFill="accent2" w:themeFillTint="33"/>
            <w:noWrap/>
            <w:vAlign w:val="center"/>
          </w:tcPr>
          <w:p w14:paraId="18C50CE0" w14:textId="77777777" w:rsidR="002907A0" w:rsidRPr="005808FC" w:rsidRDefault="002907A0" w:rsidP="005808FC">
            <w:pPr>
              <w:spacing w:after="0" w:line="240" w:lineRule="auto"/>
              <w:rPr>
                <w:b/>
                <w:bCs/>
                <w:sz w:val="20"/>
                <w:szCs w:val="20"/>
                <w:lang w:eastAsia="hr-HR"/>
              </w:rPr>
            </w:pPr>
            <w:r w:rsidRPr="003E50D1">
              <w:rPr>
                <w:b/>
                <w:bCs/>
                <w:sz w:val="20"/>
                <w:szCs w:val="20"/>
                <w:lang w:eastAsia="hr-HR"/>
              </w:rPr>
              <w:t>Javna rasvjeta-prirodni plin</w:t>
            </w:r>
          </w:p>
        </w:tc>
        <w:tc>
          <w:tcPr>
            <w:tcW w:w="2256" w:type="dxa"/>
            <w:shd w:val="clear" w:color="auto" w:fill="auto"/>
            <w:vAlign w:val="center"/>
          </w:tcPr>
          <w:p w14:paraId="5A8BA904" w14:textId="77777777" w:rsidR="002907A0" w:rsidRPr="005808FC" w:rsidRDefault="002907A0" w:rsidP="005808FC">
            <w:pPr>
              <w:spacing w:after="0" w:line="240" w:lineRule="auto"/>
              <w:rPr>
                <w:sz w:val="20"/>
                <w:szCs w:val="20"/>
                <w:lang w:eastAsia="hr-HR"/>
              </w:rPr>
            </w:pPr>
            <w:r w:rsidRPr="003E50D1">
              <w:rPr>
                <w:sz w:val="20"/>
                <w:szCs w:val="20"/>
                <w:lang w:eastAsia="hr-HR"/>
              </w:rPr>
              <w:t>1,31</w:t>
            </w:r>
          </w:p>
        </w:tc>
        <w:tc>
          <w:tcPr>
            <w:tcW w:w="987" w:type="dxa"/>
            <w:shd w:val="clear" w:color="auto" w:fill="auto"/>
            <w:noWrap/>
            <w:vAlign w:val="center"/>
          </w:tcPr>
          <w:p w14:paraId="3ADFEEC5" w14:textId="77777777" w:rsidR="002907A0" w:rsidRPr="005808FC" w:rsidRDefault="002907A0" w:rsidP="005808FC">
            <w:pPr>
              <w:spacing w:after="0" w:line="240" w:lineRule="auto"/>
              <w:rPr>
                <w:sz w:val="20"/>
                <w:szCs w:val="20"/>
                <w:lang w:eastAsia="hr-HR"/>
              </w:rPr>
            </w:pPr>
            <w:r w:rsidRPr="003E50D1">
              <w:rPr>
                <w:sz w:val="20"/>
                <w:szCs w:val="20"/>
                <w:lang w:eastAsia="hr-HR"/>
              </w:rPr>
              <w:t>73,26</w:t>
            </w:r>
          </w:p>
        </w:tc>
        <w:tc>
          <w:tcPr>
            <w:tcW w:w="987" w:type="dxa"/>
            <w:shd w:val="clear" w:color="auto" w:fill="auto"/>
            <w:noWrap/>
            <w:vAlign w:val="center"/>
          </w:tcPr>
          <w:p w14:paraId="3BD7E01F" w14:textId="77777777" w:rsidR="002907A0" w:rsidRPr="005808FC" w:rsidRDefault="002907A0" w:rsidP="005808FC">
            <w:pPr>
              <w:spacing w:after="0" w:line="240" w:lineRule="auto"/>
              <w:rPr>
                <w:sz w:val="20"/>
                <w:szCs w:val="20"/>
                <w:lang w:eastAsia="hr-HR"/>
              </w:rPr>
            </w:pPr>
            <w:r w:rsidRPr="003E50D1">
              <w:rPr>
                <w:sz w:val="20"/>
                <w:szCs w:val="20"/>
                <w:lang w:eastAsia="hr-HR"/>
              </w:rPr>
              <w:t>0,0066</w:t>
            </w:r>
          </w:p>
        </w:tc>
        <w:tc>
          <w:tcPr>
            <w:tcW w:w="987" w:type="dxa"/>
            <w:shd w:val="clear" w:color="auto" w:fill="auto"/>
            <w:noWrap/>
            <w:vAlign w:val="center"/>
          </w:tcPr>
          <w:p w14:paraId="63BDD5F5" w14:textId="77777777" w:rsidR="002907A0" w:rsidRPr="005808FC" w:rsidRDefault="002907A0" w:rsidP="005808FC">
            <w:pPr>
              <w:spacing w:after="0" w:line="240" w:lineRule="auto"/>
              <w:rPr>
                <w:sz w:val="20"/>
                <w:szCs w:val="20"/>
                <w:lang w:eastAsia="hr-HR"/>
              </w:rPr>
            </w:pPr>
            <w:r w:rsidRPr="003E50D1">
              <w:rPr>
                <w:sz w:val="20"/>
                <w:szCs w:val="20"/>
                <w:lang w:eastAsia="hr-HR"/>
              </w:rPr>
              <w:t>0,0001</w:t>
            </w:r>
          </w:p>
        </w:tc>
        <w:tc>
          <w:tcPr>
            <w:tcW w:w="1269" w:type="dxa"/>
            <w:shd w:val="clear" w:color="auto" w:fill="auto"/>
            <w:noWrap/>
            <w:vAlign w:val="center"/>
          </w:tcPr>
          <w:p w14:paraId="04C609E6" w14:textId="77777777" w:rsidR="002907A0" w:rsidRPr="005808FC" w:rsidRDefault="002907A0" w:rsidP="005808FC">
            <w:pPr>
              <w:spacing w:after="0" w:line="240" w:lineRule="auto"/>
              <w:rPr>
                <w:sz w:val="20"/>
                <w:szCs w:val="20"/>
                <w:lang w:eastAsia="hr-HR"/>
              </w:rPr>
            </w:pPr>
            <w:r w:rsidRPr="003E50D1">
              <w:rPr>
                <w:sz w:val="20"/>
                <w:szCs w:val="20"/>
                <w:lang w:eastAsia="hr-HR"/>
              </w:rPr>
              <w:t>73,44</w:t>
            </w:r>
          </w:p>
        </w:tc>
      </w:tr>
    </w:tbl>
    <w:p w14:paraId="273EAE5F" w14:textId="77777777" w:rsidR="002907A0" w:rsidRPr="00922031" w:rsidRDefault="002907A0" w:rsidP="001D03F0">
      <w:pPr>
        <w:spacing w:after="0" w:line="240" w:lineRule="auto"/>
        <w:rPr>
          <w:rFonts w:cstheme="minorHAnsi"/>
        </w:rPr>
      </w:pPr>
    </w:p>
    <w:p w14:paraId="2AB445E9" w14:textId="7431531E" w:rsidR="002907A0" w:rsidRPr="005808FC" w:rsidRDefault="002907A0">
      <w:pPr>
        <w:pStyle w:val="NoSpacing"/>
        <w:rPr>
          <w:rFonts w:asciiTheme="minorHAnsi" w:hAnsiTheme="minorHAnsi" w:cstheme="minorBidi"/>
        </w:rPr>
      </w:pPr>
      <w:r w:rsidRPr="003E50D1">
        <w:rPr>
          <w:rFonts w:asciiTheme="minorHAnsi" w:hAnsiTheme="minorHAnsi" w:cstheme="minorBidi"/>
        </w:rPr>
        <w:t xml:space="preserve">Ukupna emisija sektora javna rasvjeta iznosi </w:t>
      </w:r>
      <w:r w:rsidRPr="00291DF5">
        <w:rPr>
          <w:rFonts w:asciiTheme="minorHAnsi" w:hAnsiTheme="minorHAnsi" w:cstheme="minorBidi"/>
          <w:color w:val="000000"/>
          <w:lang w:eastAsia="hr-HR"/>
        </w:rPr>
        <w:t xml:space="preserve">29.175,56 </w:t>
      </w:r>
      <w:r w:rsidRPr="005808FC">
        <w:rPr>
          <w:rFonts w:asciiTheme="minorHAnsi" w:hAnsiTheme="minorHAnsi" w:cstheme="minorBidi"/>
        </w:rPr>
        <w:t>t CO</w:t>
      </w:r>
      <w:r w:rsidRPr="005808FC">
        <w:rPr>
          <w:rFonts w:asciiTheme="minorHAnsi" w:hAnsiTheme="minorHAnsi" w:cstheme="minorBidi"/>
          <w:vertAlign w:val="subscript"/>
        </w:rPr>
        <w:t>2</w:t>
      </w:r>
      <w:r w:rsidRPr="005808FC">
        <w:rPr>
          <w:rFonts w:asciiTheme="minorHAnsi" w:hAnsiTheme="minorHAnsi" w:cstheme="minorBidi"/>
        </w:rPr>
        <w:t>, od čega udio emisija plinske rasvjete iznosi 0,4%.</w:t>
      </w:r>
      <w:r w:rsidR="00B25B9E" w:rsidRPr="005808FC">
        <w:rPr>
          <w:rFonts w:asciiTheme="minorHAnsi" w:hAnsiTheme="minorHAnsi" w:cstheme="minorBidi"/>
        </w:rPr>
        <w:t xml:space="preserve"> </w:t>
      </w:r>
    </w:p>
    <w:p w14:paraId="60EAB57D" w14:textId="77777777" w:rsidR="002907A0" w:rsidRPr="00922031" w:rsidRDefault="002907A0" w:rsidP="002907A0">
      <w:pPr>
        <w:pStyle w:val="NoSpacing"/>
        <w:rPr>
          <w:rFonts w:asciiTheme="minorHAnsi" w:hAnsiTheme="minorHAnsi" w:cstheme="minorHAnsi"/>
        </w:rPr>
      </w:pPr>
    </w:p>
    <w:p w14:paraId="2F9EC568" w14:textId="77777777" w:rsidR="00B055DF" w:rsidRPr="00922031" w:rsidRDefault="00B055DF">
      <w:pPr>
        <w:rPr>
          <w:rFonts w:eastAsiaTheme="majorEastAsia" w:cstheme="minorHAnsi"/>
          <w:b/>
          <w:bCs/>
          <w:sz w:val="26"/>
          <w:szCs w:val="26"/>
        </w:rPr>
      </w:pPr>
      <w:bookmarkStart w:id="90" w:name="_Toc251052169"/>
      <w:bookmarkStart w:id="91" w:name="_Toc251052170"/>
      <w:bookmarkStart w:id="92" w:name="_Toc251052171"/>
      <w:bookmarkStart w:id="93" w:name="_Toc251052172"/>
      <w:bookmarkEnd w:id="90"/>
      <w:bookmarkEnd w:id="91"/>
      <w:bookmarkEnd w:id="92"/>
      <w:bookmarkEnd w:id="93"/>
      <w:r w:rsidRPr="00922031">
        <w:rPr>
          <w:rFonts w:cstheme="minorHAnsi"/>
        </w:rPr>
        <w:br w:type="page"/>
      </w:r>
    </w:p>
    <w:p w14:paraId="27415EF1" w14:textId="2A26DAA5" w:rsidR="002907A0" w:rsidRPr="005808FC" w:rsidRDefault="002907A0">
      <w:pPr>
        <w:pStyle w:val="Heading2"/>
        <w:rPr>
          <w:sz w:val="32"/>
          <w:szCs w:val="32"/>
        </w:rPr>
      </w:pPr>
      <w:bookmarkStart w:id="94" w:name="_Toc4156082"/>
      <w:r w:rsidRPr="003E50D1">
        <w:rPr>
          <w:sz w:val="32"/>
          <w:szCs w:val="32"/>
        </w:rPr>
        <w:lastRenderedPageBreak/>
        <w:t xml:space="preserve">Ukupni referentni inventar </w:t>
      </w:r>
      <w:r w:rsidRPr="00291DF5">
        <w:rPr>
          <w:sz w:val="32"/>
          <w:szCs w:val="32"/>
        </w:rPr>
        <w:t>emisija CO</w:t>
      </w:r>
      <w:r w:rsidRPr="005808FC">
        <w:rPr>
          <w:sz w:val="32"/>
          <w:szCs w:val="32"/>
          <w:vertAlign w:val="subscript"/>
        </w:rPr>
        <w:t>2</w:t>
      </w:r>
      <w:r w:rsidRPr="005808FC">
        <w:rPr>
          <w:sz w:val="32"/>
          <w:szCs w:val="32"/>
        </w:rPr>
        <w:t xml:space="preserve"> Grada Zagreba</w:t>
      </w:r>
      <w:bookmarkEnd w:id="94"/>
    </w:p>
    <w:p w14:paraId="11E417EC" w14:textId="64B79ACA" w:rsidR="002907A0" w:rsidRPr="007053EB" w:rsidRDefault="002907A0" w:rsidP="007053EB">
      <w:pPr>
        <w:pStyle w:val="Heading3"/>
      </w:pPr>
      <w:bookmarkStart w:id="95" w:name="_Toc251920774"/>
      <w:bookmarkStart w:id="96" w:name="_Toc4156083"/>
      <w:r w:rsidRPr="007053EB">
        <w:t>Energetsk</w:t>
      </w:r>
      <w:r w:rsidR="007053EB">
        <w:t>a</w:t>
      </w:r>
      <w:r w:rsidRPr="007053EB">
        <w:t xml:space="preserve"> potrošnj</w:t>
      </w:r>
      <w:r w:rsidR="007053EB">
        <w:t>a</w:t>
      </w:r>
      <w:r w:rsidRPr="007053EB">
        <w:t xml:space="preserve"> Grada Zagreba</w:t>
      </w:r>
      <w:bookmarkEnd w:id="95"/>
      <w:r w:rsidR="007053EB">
        <w:t xml:space="preserve"> – Referentni inventar</w:t>
      </w:r>
      <w:bookmarkEnd w:id="96"/>
    </w:p>
    <w:p w14:paraId="76768070" w14:textId="211DDB50" w:rsidR="002907A0" w:rsidRPr="00922031" w:rsidRDefault="002907A0" w:rsidP="005808FC">
      <w:pPr>
        <w:spacing w:after="0" w:line="240" w:lineRule="auto"/>
      </w:pPr>
      <w:r w:rsidRPr="003E50D1">
        <w:t>Referentni inventar emisija CO</w:t>
      </w:r>
      <w:r w:rsidRPr="00291DF5">
        <w:rPr>
          <w:vertAlign w:val="subscript"/>
        </w:rPr>
        <w:t>2</w:t>
      </w:r>
      <w:r w:rsidRPr="005808FC">
        <w:t xml:space="preserve"> Grada Zagreba za 2008. godinu obuhvaća emisije CO</w:t>
      </w:r>
      <w:r w:rsidRPr="005808FC">
        <w:rPr>
          <w:vertAlign w:val="subscript"/>
        </w:rPr>
        <w:t>2</w:t>
      </w:r>
      <w:r w:rsidRPr="005808FC">
        <w:t xml:space="preserve"> iz sektora zgradarstva, prometa</w:t>
      </w:r>
      <w:r w:rsidR="000509A0">
        <w:t xml:space="preserve"> i </w:t>
      </w:r>
      <w:r w:rsidRPr="00291DF5">
        <w:t>javne rasvjete bazirane na energetskim potrošnjama pojedinih sektora (</w:t>
      </w:r>
      <w:r w:rsidR="00FC154F" w:rsidRPr="005808FC">
        <w:t>T</w:t>
      </w:r>
      <w:r w:rsidRPr="005808FC">
        <w:t xml:space="preserve">ablica </w:t>
      </w:r>
      <w:r w:rsidR="00FC154F" w:rsidRPr="005808FC">
        <w:t>4</w:t>
      </w:r>
      <w:r w:rsidRPr="005808FC">
        <w:t>.13</w:t>
      </w:r>
      <w:r w:rsidR="000509A0">
        <w:t xml:space="preserve"> i </w:t>
      </w:r>
      <w:r w:rsidR="00FC154F" w:rsidRPr="00291DF5">
        <w:t>S</w:t>
      </w:r>
      <w:r w:rsidRPr="005808FC">
        <w:t xml:space="preserve">lika </w:t>
      </w:r>
      <w:r w:rsidR="00FC154F" w:rsidRPr="005808FC">
        <w:t>4</w:t>
      </w:r>
      <w:r w:rsidRPr="005808FC">
        <w:t>.14).</w:t>
      </w:r>
    </w:p>
    <w:p w14:paraId="3B2A425F" w14:textId="77777777" w:rsidR="002907A0" w:rsidRPr="00922031" w:rsidRDefault="002907A0" w:rsidP="002907A0">
      <w:pPr>
        <w:spacing w:after="0" w:line="240" w:lineRule="auto"/>
        <w:rPr>
          <w:rFonts w:cstheme="minorHAnsi"/>
        </w:rPr>
      </w:pPr>
    </w:p>
    <w:p w14:paraId="5F410FC0" w14:textId="225E4BAD" w:rsidR="002907A0" w:rsidRPr="005808FC" w:rsidRDefault="0082211F" w:rsidP="0082211F">
      <w:pPr>
        <w:pStyle w:val="Caption"/>
        <w:keepNext/>
        <w:rPr>
          <w:lang w:val="it-IT"/>
        </w:rPr>
      </w:pPr>
      <w:bookmarkStart w:id="97" w:name="_Toc4156003"/>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13</w:t>
      </w:r>
      <w:r w:rsidR="0019556A">
        <w:fldChar w:fldCharType="end"/>
      </w:r>
      <w:r w:rsidRPr="005808FC">
        <w:rPr>
          <w:lang w:val="it-IT"/>
        </w:rPr>
        <w:t xml:space="preserve"> - </w:t>
      </w:r>
      <w:r w:rsidR="002907A0" w:rsidRPr="005808FC">
        <w:rPr>
          <w:rFonts w:asciiTheme="minorHAnsi" w:hAnsiTheme="minorHAnsi" w:cstheme="minorBidi"/>
          <w:lang w:val="it-IT"/>
        </w:rPr>
        <w:t>Podjela energetske potrošnje pojedinih sektora po energentima</w:t>
      </w:r>
      <w:bookmarkEnd w:id="97"/>
    </w:p>
    <w:tbl>
      <w:tblPr>
        <w:tblW w:w="9084" w:type="dxa"/>
        <w:tblInd w:w="96"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Look w:val="00A0" w:firstRow="1" w:lastRow="0" w:firstColumn="1" w:lastColumn="0" w:noHBand="0" w:noVBand="0"/>
      </w:tblPr>
      <w:tblGrid>
        <w:gridCol w:w="2097"/>
        <w:gridCol w:w="1389"/>
        <w:gridCol w:w="1390"/>
        <w:gridCol w:w="1389"/>
        <w:gridCol w:w="1528"/>
        <w:gridCol w:w="1291"/>
      </w:tblGrid>
      <w:tr w:rsidR="002907A0" w:rsidRPr="00922031" w14:paraId="0540233A" w14:textId="77777777" w:rsidTr="005808FC">
        <w:trPr>
          <w:trHeight w:val="227"/>
        </w:trPr>
        <w:tc>
          <w:tcPr>
            <w:tcW w:w="2097" w:type="dxa"/>
            <w:vMerge w:val="restart"/>
            <w:tcBorders>
              <w:top w:val="single" w:sz="8" w:space="0" w:color="auto"/>
              <w:bottom w:val="single" w:sz="6" w:space="0" w:color="auto"/>
            </w:tcBorders>
            <w:shd w:val="clear" w:color="auto" w:fill="C6D9F1" w:themeFill="text2" w:themeFillTint="33"/>
            <w:noWrap/>
            <w:vAlign w:val="center"/>
          </w:tcPr>
          <w:p w14:paraId="5E061F66"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Energent</w:t>
            </w:r>
          </w:p>
        </w:tc>
        <w:tc>
          <w:tcPr>
            <w:tcW w:w="5696" w:type="dxa"/>
            <w:gridSpan w:val="4"/>
            <w:tcBorders>
              <w:top w:val="single" w:sz="8" w:space="0" w:color="auto"/>
              <w:bottom w:val="single" w:sz="6" w:space="0" w:color="auto"/>
            </w:tcBorders>
            <w:shd w:val="clear" w:color="auto" w:fill="C6D9F1" w:themeFill="text2" w:themeFillTint="33"/>
            <w:noWrap/>
            <w:vAlign w:val="bottom"/>
          </w:tcPr>
          <w:p w14:paraId="2BEF866A"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Potrošnja goriva MWh</w:t>
            </w:r>
          </w:p>
        </w:tc>
        <w:tc>
          <w:tcPr>
            <w:tcW w:w="1291" w:type="dxa"/>
            <w:tcBorders>
              <w:top w:val="single" w:sz="8" w:space="0" w:color="auto"/>
              <w:bottom w:val="single" w:sz="6" w:space="0" w:color="auto"/>
            </w:tcBorders>
            <w:shd w:val="clear" w:color="auto" w:fill="C6D9F1" w:themeFill="text2" w:themeFillTint="33"/>
            <w:vAlign w:val="bottom"/>
          </w:tcPr>
          <w:p w14:paraId="1F045BBD"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w:t>
            </w:r>
          </w:p>
        </w:tc>
      </w:tr>
      <w:tr w:rsidR="002907A0" w:rsidRPr="00922031" w14:paraId="49011DB6" w14:textId="77777777" w:rsidTr="005808FC">
        <w:trPr>
          <w:trHeight w:val="227"/>
        </w:trPr>
        <w:tc>
          <w:tcPr>
            <w:tcW w:w="2097" w:type="dxa"/>
            <w:vMerge/>
            <w:tcBorders>
              <w:top w:val="single" w:sz="6" w:space="0" w:color="auto"/>
              <w:bottom w:val="single" w:sz="8" w:space="0" w:color="auto"/>
            </w:tcBorders>
            <w:shd w:val="clear" w:color="auto" w:fill="C6D9F1" w:themeFill="text2" w:themeFillTint="33"/>
            <w:vAlign w:val="center"/>
          </w:tcPr>
          <w:p w14:paraId="08941914" w14:textId="77777777" w:rsidR="002907A0" w:rsidRPr="00922031" w:rsidRDefault="002907A0" w:rsidP="002907A0">
            <w:pPr>
              <w:spacing w:after="0" w:line="240" w:lineRule="auto"/>
              <w:rPr>
                <w:rFonts w:cstheme="minorHAnsi"/>
                <w:b/>
                <w:sz w:val="20"/>
                <w:lang w:eastAsia="hr-HR"/>
              </w:rPr>
            </w:pPr>
          </w:p>
        </w:tc>
        <w:tc>
          <w:tcPr>
            <w:tcW w:w="1389" w:type="dxa"/>
            <w:tcBorders>
              <w:top w:val="single" w:sz="6" w:space="0" w:color="auto"/>
              <w:bottom w:val="single" w:sz="8" w:space="0" w:color="auto"/>
            </w:tcBorders>
            <w:shd w:val="clear" w:color="auto" w:fill="C6D9F1" w:themeFill="text2" w:themeFillTint="33"/>
            <w:vAlign w:val="center"/>
          </w:tcPr>
          <w:p w14:paraId="3492BFCD" w14:textId="77777777" w:rsidR="002907A0" w:rsidRPr="005808FC" w:rsidRDefault="002907A0" w:rsidP="005808FC">
            <w:pPr>
              <w:spacing w:after="0" w:line="240" w:lineRule="auto"/>
              <w:jc w:val="center"/>
              <w:rPr>
                <w:b/>
                <w:bCs/>
                <w:sz w:val="20"/>
                <w:szCs w:val="20"/>
              </w:rPr>
            </w:pPr>
            <w:r w:rsidRPr="003E50D1">
              <w:rPr>
                <w:b/>
                <w:bCs/>
                <w:sz w:val="20"/>
                <w:szCs w:val="20"/>
              </w:rPr>
              <w:t>Promet</w:t>
            </w:r>
          </w:p>
        </w:tc>
        <w:tc>
          <w:tcPr>
            <w:tcW w:w="1390" w:type="dxa"/>
            <w:tcBorders>
              <w:top w:val="single" w:sz="6" w:space="0" w:color="auto"/>
              <w:bottom w:val="single" w:sz="8" w:space="0" w:color="auto"/>
            </w:tcBorders>
            <w:shd w:val="clear" w:color="auto" w:fill="C6D9F1" w:themeFill="text2" w:themeFillTint="33"/>
            <w:vAlign w:val="center"/>
          </w:tcPr>
          <w:p w14:paraId="7CD4E367" w14:textId="77777777" w:rsidR="002907A0" w:rsidRPr="005808FC" w:rsidRDefault="002907A0" w:rsidP="005808FC">
            <w:pPr>
              <w:spacing w:after="0" w:line="240" w:lineRule="auto"/>
              <w:jc w:val="center"/>
              <w:rPr>
                <w:b/>
                <w:bCs/>
                <w:sz w:val="20"/>
                <w:szCs w:val="20"/>
              </w:rPr>
            </w:pPr>
            <w:r w:rsidRPr="003E50D1">
              <w:rPr>
                <w:b/>
                <w:bCs/>
                <w:sz w:val="20"/>
                <w:szCs w:val="20"/>
              </w:rPr>
              <w:t>Javna rasvjeta</w:t>
            </w:r>
          </w:p>
        </w:tc>
        <w:tc>
          <w:tcPr>
            <w:tcW w:w="1389" w:type="dxa"/>
            <w:tcBorders>
              <w:top w:val="single" w:sz="6" w:space="0" w:color="auto"/>
              <w:bottom w:val="single" w:sz="8" w:space="0" w:color="auto"/>
            </w:tcBorders>
            <w:shd w:val="clear" w:color="auto" w:fill="C6D9F1" w:themeFill="text2" w:themeFillTint="33"/>
            <w:noWrap/>
            <w:vAlign w:val="center"/>
          </w:tcPr>
          <w:p w14:paraId="0E24CEA6" w14:textId="77777777" w:rsidR="002907A0" w:rsidRPr="005808FC" w:rsidRDefault="002907A0" w:rsidP="005808FC">
            <w:pPr>
              <w:spacing w:after="0" w:line="240" w:lineRule="auto"/>
              <w:jc w:val="center"/>
              <w:rPr>
                <w:b/>
                <w:bCs/>
                <w:sz w:val="20"/>
                <w:szCs w:val="20"/>
              </w:rPr>
            </w:pPr>
            <w:r w:rsidRPr="003E50D1">
              <w:rPr>
                <w:b/>
                <w:bCs/>
                <w:sz w:val="20"/>
                <w:szCs w:val="20"/>
              </w:rPr>
              <w:t>Zgradarstvo</w:t>
            </w:r>
          </w:p>
        </w:tc>
        <w:tc>
          <w:tcPr>
            <w:tcW w:w="1528" w:type="dxa"/>
            <w:tcBorders>
              <w:top w:val="single" w:sz="6" w:space="0" w:color="auto"/>
              <w:bottom w:val="single" w:sz="8" w:space="0" w:color="auto"/>
            </w:tcBorders>
            <w:shd w:val="clear" w:color="auto" w:fill="C6D9F1" w:themeFill="text2" w:themeFillTint="33"/>
            <w:noWrap/>
            <w:vAlign w:val="center"/>
          </w:tcPr>
          <w:p w14:paraId="35185CE5" w14:textId="77777777" w:rsidR="002907A0" w:rsidRPr="005808FC" w:rsidRDefault="002907A0" w:rsidP="005808FC">
            <w:pPr>
              <w:spacing w:after="0" w:line="240" w:lineRule="auto"/>
              <w:jc w:val="center"/>
              <w:rPr>
                <w:b/>
                <w:bCs/>
                <w:sz w:val="20"/>
                <w:szCs w:val="20"/>
              </w:rPr>
            </w:pPr>
            <w:r w:rsidRPr="003E50D1">
              <w:rPr>
                <w:b/>
                <w:bCs/>
                <w:sz w:val="20"/>
                <w:szCs w:val="20"/>
              </w:rPr>
              <w:t xml:space="preserve">Ukupno po </w:t>
            </w:r>
            <w:r w:rsidRPr="00291DF5">
              <w:rPr>
                <w:b/>
                <w:bCs/>
                <w:sz w:val="20"/>
                <w:szCs w:val="20"/>
              </w:rPr>
              <w:t>energentima</w:t>
            </w:r>
          </w:p>
        </w:tc>
        <w:tc>
          <w:tcPr>
            <w:tcW w:w="1291" w:type="dxa"/>
            <w:tcBorders>
              <w:top w:val="single" w:sz="6" w:space="0" w:color="auto"/>
              <w:bottom w:val="single" w:sz="8" w:space="0" w:color="auto"/>
            </w:tcBorders>
            <w:shd w:val="clear" w:color="auto" w:fill="C6D9F1" w:themeFill="text2" w:themeFillTint="33"/>
            <w:vAlign w:val="center"/>
          </w:tcPr>
          <w:p w14:paraId="02B08594" w14:textId="77777777" w:rsidR="002907A0" w:rsidRPr="005808FC" w:rsidRDefault="002907A0" w:rsidP="005808FC">
            <w:pPr>
              <w:spacing w:after="0" w:line="240" w:lineRule="auto"/>
              <w:jc w:val="center"/>
              <w:rPr>
                <w:b/>
                <w:bCs/>
                <w:sz w:val="20"/>
                <w:szCs w:val="20"/>
              </w:rPr>
            </w:pPr>
            <w:r w:rsidRPr="003E50D1">
              <w:rPr>
                <w:b/>
                <w:bCs/>
                <w:sz w:val="20"/>
                <w:szCs w:val="20"/>
              </w:rPr>
              <w:t>Udio po energentima</w:t>
            </w:r>
          </w:p>
        </w:tc>
      </w:tr>
      <w:tr w:rsidR="002907A0" w:rsidRPr="00922031" w14:paraId="3E6595D7" w14:textId="77777777" w:rsidTr="005808FC">
        <w:trPr>
          <w:trHeight w:val="227"/>
        </w:trPr>
        <w:tc>
          <w:tcPr>
            <w:tcW w:w="2097" w:type="dxa"/>
            <w:tcBorders>
              <w:top w:val="single" w:sz="8" w:space="0" w:color="auto"/>
            </w:tcBorders>
            <w:shd w:val="clear" w:color="auto" w:fill="F2DBDB" w:themeFill="accent2" w:themeFillTint="33"/>
            <w:noWrap/>
            <w:vAlign w:val="center"/>
          </w:tcPr>
          <w:p w14:paraId="4ADDA9A2" w14:textId="77777777" w:rsidR="002907A0" w:rsidRPr="005808FC" w:rsidRDefault="002907A0" w:rsidP="005808FC">
            <w:pPr>
              <w:spacing w:after="0" w:line="240" w:lineRule="auto"/>
              <w:rPr>
                <w:b/>
                <w:bCs/>
                <w:sz w:val="20"/>
                <w:szCs w:val="20"/>
              </w:rPr>
            </w:pPr>
            <w:r w:rsidRPr="003E50D1">
              <w:rPr>
                <w:b/>
                <w:bCs/>
                <w:sz w:val="20"/>
                <w:szCs w:val="20"/>
              </w:rPr>
              <w:t>Dizel</w:t>
            </w:r>
          </w:p>
        </w:tc>
        <w:tc>
          <w:tcPr>
            <w:tcW w:w="1389" w:type="dxa"/>
            <w:tcBorders>
              <w:top w:val="single" w:sz="8" w:space="0" w:color="auto"/>
            </w:tcBorders>
            <w:shd w:val="clear" w:color="auto" w:fill="auto"/>
            <w:noWrap/>
            <w:vAlign w:val="bottom"/>
          </w:tcPr>
          <w:p w14:paraId="34C18684" w14:textId="77777777" w:rsidR="002907A0" w:rsidRPr="005808FC" w:rsidRDefault="002907A0" w:rsidP="005808FC">
            <w:pPr>
              <w:spacing w:after="0" w:line="240" w:lineRule="auto"/>
              <w:jc w:val="right"/>
              <w:rPr>
                <w:sz w:val="20"/>
                <w:szCs w:val="20"/>
              </w:rPr>
            </w:pPr>
            <w:r w:rsidRPr="003E50D1">
              <w:rPr>
                <w:sz w:val="20"/>
                <w:szCs w:val="20"/>
              </w:rPr>
              <w:t>2 061 493,1</w:t>
            </w:r>
          </w:p>
        </w:tc>
        <w:tc>
          <w:tcPr>
            <w:tcW w:w="1390" w:type="dxa"/>
            <w:tcBorders>
              <w:top w:val="single" w:sz="8" w:space="0" w:color="auto"/>
            </w:tcBorders>
            <w:shd w:val="clear" w:color="auto" w:fill="auto"/>
            <w:noWrap/>
            <w:vAlign w:val="bottom"/>
          </w:tcPr>
          <w:p w14:paraId="7F52478C" w14:textId="77777777" w:rsidR="002907A0" w:rsidRPr="00922031" w:rsidRDefault="002907A0" w:rsidP="002907A0">
            <w:pPr>
              <w:spacing w:after="0" w:line="240" w:lineRule="auto"/>
              <w:jc w:val="right"/>
              <w:rPr>
                <w:rFonts w:cstheme="minorHAnsi"/>
                <w:sz w:val="20"/>
              </w:rPr>
            </w:pPr>
          </w:p>
        </w:tc>
        <w:tc>
          <w:tcPr>
            <w:tcW w:w="1389" w:type="dxa"/>
            <w:tcBorders>
              <w:top w:val="single" w:sz="8" w:space="0" w:color="auto"/>
            </w:tcBorders>
            <w:shd w:val="clear" w:color="auto" w:fill="auto"/>
            <w:noWrap/>
            <w:vAlign w:val="bottom"/>
          </w:tcPr>
          <w:p w14:paraId="128FBEA6" w14:textId="77777777" w:rsidR="002907A0" w:rsidRPr="00922031" w:rsidRDefault="002907A0" w:rsidP="002907A0">
            <w:pPr>
              <w:spacing w:after="0" w:line="240" w:lineRule="auto"/>
              <w:jc w:val="right"/>
              <w:rPr>
                <w:rFonts w:cstheme="minorHAnsi"/>
                <w:sz w:val="20"/>
              </w:rPr>
            </w:pPr>
          </w:p>
        </w:tc>
        <w:tc>
          <w:tcPr>
            <w:tcW w:w="1528" w:type="dxa"/>
            <w:tcBorders>
              <w:top w:val="single" w:sz="8" w:space="0" w:color="auto"/>
            </w:tcBorders>
            <w:shd w:val="clear" w:color="auto" w:fill="auto"/>
            <w:noWrap/>
            <w:vAlign w:val="bottom"/>
          </w:tcPr>
          <w:p w14:paraId="2F91924A" w14:textId="77777777" w:rsidR="002907A0" w:rsidRPr="005808FC" w:rsidRDefault="002907A0" w:rsidP="005808FC">
            <w:pPr>
              <w:spacing w:after="0" w:line="240" w:lineRule="auto"/>
              <w:jc w:val="right"/>
              <w:rPr>
                <w:sz w:val="20"/>
                <w:szCs w:val="20"/>
              </w:rPr>
            </w:pPr>
            <w:r w:rsidRPr="003E50D1">
              <w:rPr>
                <w:sz w:val="20"/>
                <w:szCs w:val="20"/>
              </w:rPr>
              <w:t>2 061 493,1</w:t>
            </w:r>
          </w:p>
        </w:tc>
        <w:tc>
          <w:tcPr>
            <w:tcW w:w="1291" w:type="dxa"/>
            <w:tcBorders>
              <w:top w:val="single" w:sz="8" w:space="0" w:color="auto"/>
            </w:tcBorders>
            <w:shd w:val="clear" w:color="auto" w:fill="auto"/>
            <w:vAlign w:val="bottom"/>
          </w:tcPr>
          <w:p w14:paraId="7EA5EC42" w14:textId="77777777" w:rsidR="002907A0" w:rsidRPr="005808FC" w:rsidRDefault="002907A0" w:rsidP="005808FC">
            <w:pPr>
              <w:spacing w:after="0" w:line="240" w:lineRule="auto"/>
              <w:jc w:val="right"/>
              <w:rPr>
                <w:sz w:val="20"/>
                <w:szCs w:val="20"/>
              </w:rPr>
            </w:pPr>
            <w:r w:rsidRPr="003E50D1">
              <w:rPr>
                <w:sz w:val="20"/>
                <w:szCs w:val="20"/>
              </w:rPr>
              <w:t>18,23</w:t>
            </w:r>
          </w:p>
        </w:tc>
      </w:tr>
      <w:tr w:rsidR="002907A0" w:rsidRPr="00922031" w14:paraId="4E560BF2" w14:textId="77777777" w:rsidTr="005808FC">
        <w:trPr>
          <w:trHeight w:val="227"/>
        </w:trPr>
        <w:tc>
          <w:tcPr>
            <w:tcW w:w="2097" w:type="dxa"/>
            <w:shd w:val="clear" w:color="auto" w:fill="F2DBDB" w:themeFill="accent2" w:themeFillTint="33"/>
            <w:noWrap/>
            <w:vAlign w:val="center"/>
          </w:tcPr>
          <w:p w14:paraId="5A32284E" w14:textId="77777777" w:rsidR="002907A0" w:rsidRPr="005808FC" w:rsidRDefault="002907A0" w:rsidP="005808FC">
            <w:pPr>
              <w:spacing w:after="0" w:line="240" w:lineRule="auto"/>
              <w:rPr>
                <w:b/>
                <w:bCs/>
                <w:sz w:val="20"/>
                <w:szCs w:val="20"/>
              </w:rPr>
            </w:pPr>
            <w:r w:rsidRPr="003E50D1">
              <w:rPr>
                <w:b/>
                <w:bCs/>
                <w:sz w:val="20"/>
                <w:szCs w:val="20"/>
              </w:rPr>
              <w:t>Loživo ulje</w:t>
            </w:r>
          </w:p>
        </w:tc>
        <w:tc>
          <w:tcPr>
            <w:tcW w:w="1389" w:type="dxa"/>
            <w:shd w:val="clear" w:color="auto" w:fill="auto"/>
            <w:noWrap/>
            <w:vAlign w:val="bottom"/>
          </w:tcPr>
          <w:p w14:paraId="514111F3" w14:textId="77777777" w:rsidR="002907A0" w:rsidRPr="00922031" w:rsidRDefault="002907A0" w:rsidP="002907A0">
            <w:pPr>
              <w:spacing w:after="0" w:line="240" w:lineRule="auto"/>
              <w:jc w:val="right"/>
              <w:rPr>
                <w:rFonts w:cstheme="minorHAnsi"/>
                <w:sz w:val="20"/>
              </w:rPr>
            </w:pPr>
          </w:p>
        </w:tc>
        <w:tc>
          <w:tcPr>
            <w:tcW w:w="1390" w:type="dxa"/>
            <w:shd w:val="clear" w:color="auto" w:fill="auto"/>
            <w:noWrap/>
            <w:vAlign w:val="bottom"/>
          </w:tcPr>
          <w:p w14:paraId="485A7A68"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5216CD88" w14:textId="77777777" w:rsidR="002907A0" w:rsidRPr="005808FC" w:rsidRDefault="002907A0" w:rsidP="005808FC">
            <w:pPr>
              <w:spacing w:after="0" w:line="240" w:lineRule="auto"/>
              <w:jc w:val="right"/>
              <w:rPr>
                <w:sz w:val="20"/>
                <w:szCs w:val="20"/>
              </w:rPr>
            </w:pPr>
            <w:r w:rsidRPr="003E50D1">
              <w:rPr>
                <w:sz w:val="20"/>
                <w:szCs w:val="20"/>
              </w:rPr>
              <w:t>362 668,0</w:t>
            </w:r>
          </w:p>
        </w:tc>
        <w:tc>
          <w:tcPr>
            <w:tcW w:w="1528" w:type="dxa"/>
            <w:shd w:val="clear" w:color="auto" w:fill="auto"/>
            <w:noWrap/>
            <w:vAlign w:val="bottom"/>
          </w:tcPr>
          <w:p w14:paraId="4FD7CDDF" w14:textId="77777777" w:rsidR="002907A0" w:rsidRPr="005808FC" w:rsidRDefault="002907A0" w:rsidP="005808FC">
            <w:pPr>
              <w:spacing w:after="0" w:line="240" w:lineRule="auto"/>
              <w:jc w:val="right"/>
              <w:rPr>
                <w:sz w:val="20"/>
                <w:szCs w:val="20"/>
              </w:rPr>
            </w:pPr>
            <w:r w:rsidRPr="003E50D1">
              <w:rPr>
                <w:sz w:val="20"/>
                <w:szCs w:val="20"/>
              </w:rPr>
              <w:t>362 668,0</w:t>
            </w:r>
          </w:p>
        </w:tc>
        <w:tc>
          <w:tcPr>
            <w:tcW w:w="1291" w:type="dxa"/>
            <w:shd w:val="clear" w:color="auto" w:fill="auto"/>
            <w:vAlign w:val="bottom"/>
          </w:tcPr>
          <w:p w14:paraId="2501BA55" w14:textId="77777777" w:rsidR="002907A0" w:rsidRPr="005808FC" w:rsidRDefault="002907A0" w:rsidP="005808FC">
            <w:pPr>
              <w:spacing w:after="0" w:line="240" w:lineRule="auto"/>
              <w:jc w:val="right"/>
              <w:rPr>
                <w:sz w:val="20"/>
                <w:szCs w:val="20"/>
              </w:rPr>
            </w:pPr>
            <w:r w:rsidRPr="003E50D1">
              <w:rPr>
                <w:sz w:val="20"/>
                <w:szCs w:val="20"/>
              </w:rPr>
              <w:t>3,21</w:t>
            </w:r>
          </w:p>
        </w:tc>
      </w:tr>
      <w:tr w:rsidR="002907A0" w:rsidRPr="00922031" w14:paraId="587FF200" w14:textId="77777777" w:rsidTr="005808FC">
        <w:trPr>
          <w:trHeight w:val="227"/>
        </w:trPr>
        <w:tc>
          <w:tcPr>
            <w:tcW w:w="2097" w:type="dxa"/>
            <w:shd w:val="clear" w:color="auto" w:fill="F2DBDB" w:themeFill="accent2" w:themeFillTint="33"/>
            <w:noWrap/>
            <w:vAlign w:val="center"/>
          </w:tcPr>
          <w:p w14:paraId="56151E2D" w14:textId="77777777" w:rsidR="002907A0" w:rsidRPr="005808FC" w:rsidRDefault="002907A0" w:rsidP="005808FC">
            <w:pPr>
              <w:spacing w:after="0" w:line="240" w:lineRule="auto"/>
              <w:rPr>
                <w:b/>
                <w:bCs/>
                <w:sz w:val="20"/>
                <w:szCs w:val="20"/>
              </w:rPr>
            </w:pPr>
            <w:r w:rsidRPr="003E50D1">
              <w:rPr>
                <w:b/>
                <w:bCs/>
                <w:sz w:val="20"/>
                <w:szCs w:val="20"/>
              </w:rPr>
              <w:t>Motorni benzin</w:t>
            </w:r>
          </w:p>
        </w:tc>
        <w:tc>
          <w:tcPr>
            <w:tcW w:w="1389" w:type="dxa"/>
            <w:shd w:val="clear" w:color="auto" w:fill="auto"/>
            <w:noWrap/>
            <w:vAlign w:val="bottom"/>
          </w:tcPr>
          <w:p w14:paraId="03338755" w14:textId="77777777" w:rsidR="002907A0" w:rsidRPr="005808FC" w:rsidRDefault="002907A0" w:rsidP="005808FC">
            <w:pPr>
              <w:spacing w:after="0" w:line="240" w:lineRule="auto"/>
              <w:jc w:val="right"/>
              <w:rPr>
                <w:sz w:val="20"/>
                <w:szCs w:val="20"/>
              </w:rPr>
            </w:pPr>
            <w:r w:rsidRPr="003E50D1">
              <w:rPr>
                <w:sz w:val="20"/>
                <w:szCs w:val="20"/>
              </w:rPr>
              <w:t>1 686 583,7</w:t>
            </w:r>
          </w:p>
        </w:tc>
        <w:tc>
          <w:tcPr>
            <w:tcW w:w="1390" w:type="dxa"/>
            <w:shd w:val="clear" w:color="auto" w:fill="auto"/>
            <w:noWrap/>
            <w:vAlign w:val="bottom"/>
          </w:tcPr>
          <w:p w14:paraId="6ADB7954"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00CA873B" w14:textId="77777777" w:rsidR="002907A0" w:rsidRPr="00922031" w:rsidRDefault="002907A0" w:rsidP="002907A0">
            <w:pPr>
              <w:spacing w:after="0" w:line="240" w:lineRule="auto"/>
              <w:jc w:val="right"/>
              <w:rPr>
                <w:rFonts w:cstheme="minorHAnsi"/>
                <w:sz w:val="20"/>
              </w:rPr>
            </w:pPr>
          </w:p>
        </w:tc>
        <w:tc>
          <w:tcPr>
            <w:tcW w:w="1528" w:type="dxa"/>
            <w:shd w:val="clear" w:color="auto" w:fill="auto"/>
            <w:noWrap/>
            <w:vAlign w:val="bottom"/>
          </w:tcPr>
          <w:p w14:paraId="74B28246" w14:textId="77777777" w:rsidR="002907A0" w:rsidRPr="005808FC" w:rsidRDefault="002907A0" w:rsidP="005808FC">
            <w:pPr>
              <w:spacing w:after="0" w:line="240" w:lineRule="auto"/>
              <w:jc w:val="right"/>
              <w:rPr>
                <w:sz w:val="20"/>
                <w:szCs w:val="20"/>
              </w:rPr>
            </w:pPr>
            <w:r w:rsidRPr="003E50D1">
              <w:rPr>
                <w:sz w:val="20"/>
                <w:szCs w:val="20"/>
              </w:rPr>
              <w:t>1 686 583,7</w:t>
            </w:r>
          </w:p>
        </w:tc>
        <w:tc>
          <w:tcPr>
            <w:tcW w:w="1291" w:type="dxa"/>
            <w:shd w:val="clear" w:color="auto" w:fill="auto"/>
            <w:vAlign w:val="bottom"/>
          </w:tcPr>
          <w:p w14:paraId="7F3CBF33" w14:textId="77777777" w:rsidR="002907A0" w:rsidRPr="005808FC" w:rsidRDefault="002907A0" w:rsidP="005808FC">
            <w:pPr>
              <w:spacing w:after="0" w:line="240" w:lineRule="auto"/>
              <w:jc w:val="right"/>
              <w:rPr>
                <w:sz w:val="20"/>
                <w:szCs w:val="20"/>
              </w:rPr>
            </w:pPr>
            <w:r w:rsidRPr="003E50D1">
              <w:rPr>
                <w:sz w:val="20"/>
                <w:szCs w:val="20"/>
              </w:rPr>
              <w:t>14,91</w:t>
            </w:r>
          </w:p>
        </w:tc>
      </w:tr>
      <w:tr w:rsidR="002907A0" w:rsidRPr="00922031" w14:paraId="3F3334FB" w14:textId="77777777" w:rsidTr="005808FC">
        <w:trPr>
          <w:trHeight w:val="227"/>
        </w:trPr>
        <w:tc>
          <w:tcPr>
            <w:tcW w:w="2097" w:type="dxa"/>
            <w:shd w:val="clear" w:color="auto" w:fill="F2DBDB" w:themeFill="accent2" w:themeFillTint="33"/>
            <w:noWrap/>
            <w:vAlign w:val="center"/>
          </w:tcPr>
          <w:p w14:paraId="3F73C82F" w14:textId="77777777" w:rsidR="002907A0" w:rsidRPr="005808FC" w:rsidRDefault="002907A0" w:rsidP="005808FC">
            <w:pPr>
              <w:spacing w:after="0" w:line="240" w:lineRule="auto"/>
              <w:rPr>
                <w:b/>
                <w:bCs/>
                <w:sz w:val="20"/>
                <w:szCs w:val="20"/>
              </w:rPr>
            </w:pPr>
            <w:r w:rsidRPr="003E50D1">
              <w:rPr>
                <w:b/>
                <w:bCs/>
                <w:sz w:val="20"/>
                <w:szCs w:val="20"/>
              </w:rPr>
              <w:t>Biodizel</w:t>
            </w:r>
          </w:p>
        </w:tc>
        <w:tc>
          <w:tcPr>
            <w:tcW w:w="1389" w:type="dxa"/>
            <w:shd w:val="clear" w:color="auto" w:fill="auto"/>
            <w:noWrap/>
            <w:vAlign w:val="bottom"/>
          </w:tcPr>
          <w:p w14:paraId="57D39946" w14:textId="77777777" w:rsidR="002907A0" w:rsidRPr="005808FC" w:rsidRDefault="002907A0" w:rsidP="005808FC">
            <w:pPr>
              <w:spacing w:after="0" w:line="240" w:lineRule="auto"/>
              <w:jc w:val="right"/>
              <w:rPr>
                <w:sz w:val="20"/>
                <w:szCs w:val="20"/>
              </w:rPr>
            </w:pPr>
            <w:r w:rsidRPr="003E50D1">
              <w:rPr>
                <w:sz w:val="20"/>
                <w:szCs w:val="20"/>
              </w:rPr>
              <w:t>2 739,4</w:t>
            </w:r>
          </w:p>
        </w:tc>
        <w:tc>
          <w:tcPr>
            <w:tcW w:w="1390" w:type="dxa"/>
            <w:shd w:val="clear" w:color="auto" w:fill="auto"/>
            <w:noWrap/>
            <w:vAlign w:val="bottom"/>
          </w:tcPr>
          <w:p w14:paraId="6BAC0957"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41EF328F" w14:textId="77777777" w:rsidR="002907A0" w:rsidRPr="00922031" w:rsidRDefault="002907A0" w:rsidP="002907A0">
            <w:pPr>
              <w:spacing w:after="0" w:line="240" w:lineRule="auto"/>
              <w:jc w:val="right"/>
              <w:rPr>
                <w:rFonts w:cstheme="minorHAnsi"/>
                <w:sz w:val="20"/>
              </w:rPr>
            </w:pPr>
          </w:p>
        </w:tc>
        <w:tc>
          <w:tcPr>
            <w:tcW w:w="1528" w:type="dxa"/>
            <w:shd w:val="clear" w:color="auto" w:fill="auto"/>
            <w:noWrap/>
            <w:vAlign w:val="bottom"/>
          </w:tcPr>
          <w:p w14:paraId="10737DC8" w14:textId="77777777" w:rsidR="002907A0" w:rsidRPr="005808FC" w:rsidRDefault="002907A0" w:rsidP="005808FC">
            <w:pPr>
              <w:spacing w:after="0" w:line="240" w:lineRule="auto"/>
              <w:jc w:val="right"/>
              <w:rPr>
                <w:sz w:val="20"/>
                <w:szCs w:val="20"/>
              </w:rPr>
            </w:pPr>
            <w:r w:rsidRPr="003E50D1">
              <w:rPr>
                <w:sz w:val="20"/>
                <w:szCs w:val="20"/>
              </w:rPr>
              <w:t>2 739,4</w:t>
            </w:r>
          </w:p>
        </w:tc>
        <w:tc>
          <w:tcPr>
            <w:tcW w:w="1291" w:type="dxa"/>
            <w:shd w:val="clear" w:color="auto" w:fill="auto"/>
            <w:vAlign w:val="bottom"/>
          </w:tcPr>
          <w:p w14:paraId="39AD0F5D" w14:textId="77777777" w:rsidR="002907A0" w:rsidRPr="005808FC" w:rsidRDefault="002907A0" w:rsidP="005808FC">
            <w:pPr>
              <w:spacing w:after="0" w:line="240" w:lineRule="auto"/>
              <w:jc w:val="right"/>
              <w:rPr>
                <w:sz w:val="20"/>
                <w:szCs w:val="20"/>
              </w:rPr>
            </w:pPr>
            <w:r w:rsidRPr="003E50D1">
              <w:rPr>
                <w:sz w:val="20"/>
                <w:szCs w:val="20"/>
              </w:rPr>
              <w:t>0,02</w:t>
            </w:r>
          </w:p>
        </w:tc>
      </w:tr>
      <w:tr w:rsidR="002907A0" w:rsidRPr="00922031" w14:paraId="609AA073" w14:textId="77777777" w:rsidTr="005808FC">
        <w:trPr>
          <w:trHeight w:val="227"/>
        </w:trPr>
        <w:tc>
          <w:tcPr>
            <w:tcW w:w="2097" w:type="dxa"/>
            <w:shd w:val="clear" w:color="auto" w:fill="F2DBDB" w:themeFill="accent2" w:themeFillTint="33"/>
            <w:noWrap/>
            <w:vAlign w:val="center"/>
          </w:tcPr>
          <w:p w14:paraId="2A8464FD" w14:textId="77777777" w:rsidR="002907A0" w:rsidRPr="005808FC" w:rsidRDefault="002907A0" w:rsidP="005808FC">
            <w:pPr>
              <w:spacing w:after="0" w:line="240" w:lineRule="auto"/>
              <w:rPr>
                <w:b/>
                <w:bCs/>
                <w:sz w:val="20"/>
                <w:szCs w:val="20"/>
              </w:rPr>
            </w:pPr>
            <w:r w:rsidRPr="003E50D1">
              <w:rPr>
                <w:b/>
                <w:bCs/>
                <w:sz w:val="20"/>
                <w:szCs w:val="20"/>
              </w:rPr>
              <w:t>UNP</w:t>
            </w:r>
          </w:p>
        </w:tc>
        <w:tc>
          <w:tcPr>
            <w:tcW w:w="1389" w:type="dxa"/>
            <w:shd w:val="clear" w:color="auto" w:fill="auto"/>
            <w:noWrap/>
            <w:vAlign w:val="bottom"/>
          </w:tcPr>
          <w:p w14:paraId="342315A7" w14:textId="77777777" w:rsidR="002907A0" w:rsidRPr="005808FC" w:rsidRDefault="002907A0" w:rsidP="005808FC">
            <w:pPr>
              <w:spacing w:after="0" w:line="240" w:lineRule="auto"/>
              <w:jc w:val="right"/>
              <w:rPr>
                <w:sz w:val="20"/>
                <w:szCs w:val="20"/>
              </w:rPr>
            </w:pPr>
            <w:r w:rsidRPr="003E50D1">
              <w:rPr>
                <w:sz w:val="20"/>
                <w:szCs w:val="20"/>
              </w:rPr>
              <w:t>29 738,5</w:t>
            </w:r>
          </w:p>
        </w:tc>
        <w:tc>
          <w:tcPr>
            <w:tcW w:w="1390" w:type="dxa"/>
            <w:shd w:val="clear" w:color="auto" w:fill="auto"/>
            <w:noWrap/>
            <w:vAlign w:val="bottom"/>
          </w:tcPr>
          <w:p w14:paraId="4102760B"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16775DB0" w14:textId="77777777" w:rsidR="002907A0" w:rsidRPr="005808FC" w:rsidRDefault="002907A0" w:rsidP="005808FC">
            <w:pPr>
              <w:spacing w:after="0" w:line="240" w:lineRule="auto"/>
              <w:jc w:val="right"/>
              <w:rPr>
                <w:sz w:val="20"/>
                <w:szCs w:val="20"/>
              </w:rPr>
            </w:pPr>
            <w:r w:rsidRPr="003E50D1">
              <w:rPr>
                <w:sz w:val="20"/>
                <w:szCs w:val="20"/>
              </w:rPr>
              <w:t>257,9</w:t>
            </w:r>
          </w:p>
        </w:tc>
        <w:tc>
          <w:tcPr>
            <w:tcW w:w="1528" w:type="dxa"/>
            <w:shd w:val="clear" w:color="auto" w:fill="auto"/>
            <w:noWrap/>
            <w:vAlign w:val="bottom"/>
          </w:tcPr>
          <w:p w14:paraId="7C51ECAB" w14:textId="77777777" w:rsidR="002907A0" w:rsidRPr="005808FC" w:rsidRDefault="002907A0" w:rsidP="005808FC">
            <w:pPr>
              <w:spacing w:after="0" w:line="240" w:lineRule="auto"/>
              <w:jc w:val="right"/>
              <w:rPr>
                <w:sz w:val="20"/>
                <w:szCs w:val="20"/>
              </w:rPr>
            </w:pPr>
            <w:r w:rsidRPr="003E50D1">
              <w:rPr>
                <w:sz w:val="20"/>
                <w:szCs w:val="20"/>
              </w:rPr>
              <w:t>29 996,4</w:t>
            </w:r>
          </w:p>
        </w:tc>
        <w:tc>
          <w:tcPr>
            <w:tcW w:w="1291" w:type="dxa"/>
            <w:shd w:val="clear" w:color="auto" w:fill="auto"/>
            <w:vAlign w:val="bottom"/>
          </w:tcPr>
          <w:p w14:paraId="6DF1641D" w14:textId="77777777" w:rsidR="002907A0" w:rsidRPr="005808FC" w:rsidRDefault="002907A0" w:rsidP="005808FC">
            <w:pPr>
              <w:spacing w:after="0" w:line="240" w:lineRule="auto"/>
              <w:jc w:val="right"/>
              <w:rPr>
                <w:sz w:val="20"/>
                <w:szCs w:val="20"/>
              </w:rPr>
            </w:pPr>
            <w:r w:rsidRPr="003E50D1">
              <w:rPr>
                <w:sz w:val="20"/>
                <w:szCs w:val="20"/>
              </w:rPr>
              <w:t>0,27</w:t>
            </w:r>
          </w:p>
        </w:tc>
      </w:tr>
      <w:tr w:rsidR="002907A0" w:rsidRPr="00922031" w14:paraId="0A78A4D4" w14:textId="77777777" w:rsidTr="005808FC">
        <w:trPr>
          <w:trHeight w:val="227"/>
        </w:trPr>
        <w:tc>
          <w:tcPr>
            <w:tcW w:w="2097" w:type="dxa"/>
            <w:shd w:val="clear" w:color="auto" w:fill="F2DBDB" w:themeFill="accent2" w:themeFillTint="33"/>
            <w:noWrap/>
            <w:vAlign w:val="center"/>
          </w:tcPr>
          <w:p w14:paraId="270A359E" w14:textId="77777777" w:rsidR="002907A0" w:rsidRPr="005808FC" w:rsidRDefault="002907A0" w:rsidP="005808FC">
            <w:pPr>
              <w:spacing w:after="0" w:line="240" w:lineRule="auto"/>
              <w:rPr>
                <w:b/>
                <w:bCs/>
                <w:sz w:val="20"/>
                <w:szCs w:val="20"/>
              </w:rPr>
            </w:pPr>
            <w:r w:rsidRPr="003E50D1">
              <w:rPr>
                <w:b/>
                <w:bCs/>
                <w:sz w:val="20"/>
                <w:szCs w:val="20"/>
              </w:rPr>
              <w:t>Prirodni plin</w:t>
            </w:r>
          </w:p>
        </w:tc>
        <w:tc>
          <w:tcPr>
            <w:tcW w:w="1389" w:type="dxa"/>
            <w:shd w:val="clear" w:color="auto" w:fill="auto"/>
            <w:noWrap/>
            <w:vAlign w:val="bottom"/>
          </w:tcPr>
          <w:p w14:paraId="4DB7C012" w14:textId="77777777" w:rsidR="002907A0" w:rsidRPr="005808FC" w:rsidRDefault="002907A0" w:rsidP="005808FC">
            <w:pPr>
              <w:spacing w:after="0" w:line="240" w:lineRule="auto"/>
              <w:jc w:val="right"/>
              <w:rPr>
                <w:sz w:val="20"/>
                <w:szCs w:val="20"/>
              </w:rPr>
            </w:pPr>
            <w:r w:rsidRPr="003E50D1">
              <w:rPr>
                <w:sz w:val="20"/>
                <w:szCs w:val="20"/>
              </w:rPr>
              <w:t>313,8</w:t>
            </w:r>
          </w:p>
        </w:tc>
        <w:tc>
          <w:tcPr>
            <w:tcW w:w="1390" w:type="dxa"/>
            <w:shd w:val="clear" w:color="auto" w:fill="auto"/>
            <w:noWrap/>
            <w:vAlign w:val="bottom"/>
          </w:tcPr>
          <w:p w14:paraId="1D504BEE" w14:textId="77777777" w:rsidR="002907A0" w:rsidRPr="005808FC" w:rsidRDefault="002907A0" w:rsidP="005808FC">
            <w:pPr>
              <w:spacing w:after="0" w:line="240" w:lineRule="auto"/>
              <w:jc w:val="right"/>
              <w:rPr>
                <w:sz w:val="20"/>
                <w:szCs w:val="20"/>
              </w:rPr>
            </w:pPr>
            <w:r w:rsidRPr="003E50D1">
              <w:rPr>
                <w:sz w:val="20"/>
                <w:szCs w:val="20"/>
              </w:rPr>
              <w:t>363,9</w:t>
            </w:r>
          </w:p>
        </w:tc>
        <w:tc>
          <w:tcPr>
            <w:tcW w:w="1389" w:type="dxa"/>
            <w:shd w:val="clear" w:color="auto" w:fill="auto"/>
            <w:noWrap/>
            <w:vAlign w:val="bottom"/>
          </w:tcPr>
          <w:p w14:paraId="2C7DB7B0" w14:textId="77777777" w:rsidR="002907A0" w:rsidRPr="005808FC" w:rsidRDefault="002907A0" w:rsidP="005808FC">
            <w:pPr>
              <w:spacing w:after="0" w:line="240" w:lineRule="auto"/>
              <w:jc w:val="right"/>
              <w:rPr>
                <w:sz w:val="20"/>
                <w:szCs w:val="20"/>
              </w:rPr>
            </w:pPr>
            <w:r w:rsidRPr="003E50D1">
              <w:rPr>
                <w:sz w:val="20"/>
                <w:szCs w:val="20"/>
              </w:rPr>
              <w:t xml:space="preserve">3 </w:t>
            </w:r>
            <w:r w:rsidRPr="00291DF5">
              <w:rPr>
                <w:sz w:val="20"/>
                <w:szCs w:val="20"/>
              </w:rPr>
              <w:t>156 357,9</w:t>
            </w:r>
          </w:p>
        </w:tc>
        <w:tc>
          <w:tcPr>
            <w:tcW w:w="1528" w:type="dxa"/>
            <w:shd w:val="clear" w:color="auto" w:fill="auto"/>
            <w:noWrap/>
            <w:vAlign w:val="bottom"/>
          </w:tcPr>
          <w:p w14:paraId="6DFCA6B0" w14:textId="77777777" w:rsidR="002907A0" w:rsidRPr="005808FC" w:rsidRDefault="002907A0" w:rsidP="005808FC">
            <w:pPr>
              <w:spacing w:after="0" w:line="240" w:lineRule="auto"/>
              <w:jc w:val="right"/>
              <w:rPr>
                <w:sz w:val="20"/>
                <w:szCs w:val="20"/>
              </w:rPr>
            </w:pPr>
            <w:r w:rsidRPr="003E50D1">
              <w:rPr>
                <w:sz w:val="20"/>
                <w:szCs w:val="20"/>
              </w:rPr>
              <w:t>3 157 035,6</w:t>
            </w:r>
          </w:p>
        </w:tc>
        <w:tc>
          <w:tcPr>
            <w:tcW w:w="1291" w:type="dxa"/>
            <w:shd w:val="clear" w:color="auto" w:fill="auto"/>
            <w:vAlign w:val="bottom"/>
          </w:tcPr>
          <w:p w14:paraId="1093A048" w14:textId="77777777" w:rsidR="002907A0" w:rsidRPr="005808FC" w:rsidRDefault="002907A0" w:rsidP="005808FC">
            <w:pPr>
              <w:spacing w:after="0" w:line="240" w:lineRule="auto"/>
              <w:jc w:val="right"/>
              <w:rPr>
                <w:sz w:val="20"/>
                <w:szCs w:val="20"/>
              </w:rPr>
            </w:pPr>
            <w:r w:rsidRPr="003E50D1">
              <w:rPr>
                <w:sz w:val="20"/>
                <w:szCs w:val="20"/>
              </w:rPr>
              <w:t>27,92</w:t>
            </w:r>
          </w:p>
        </w:tc>
      </w:tr>
      <w:tr w:rsidR="002907A0" w:rsidRPr="00922031" w14:paraId="575AF250" w14:textId="77777777" w:rsidTr="005808FC">
        <w:trPr>
          <w:trHeight w:val="227"/>
        </w:trPr>
        <w:tc>
          <w:tcPr>
            <w:tcW w:w="2097" w:type="dxa"/>
            <w:shd w:val="clear" w:color="auto" w:fill="F2DBDB" w:themeFill="accent2" w:themeFillTint="33"/>
            <w:noWrap/>
            <w:vAlign w:val="center"/>
          </w:tcPr>
          <w:p w14:paraId="5158151B" w14:textId="77777777" w:rsidR="002907A0" w:rsidRPr="005808FC" w:rsidRDefault="002907A0" w:rsidP="005808FC">
            <w:pPr>
              <w:spacing w:after="0" w:line="240" w:lineRule="auto"/>
              <w:rPr>
                <w:b/>
                <w:bCs/>
                <w:sz w:val="20"/>
                <w:szCs w:val="20"/>
              </w:rPr>
            </w:pPr>
            <w:r w:rsidRPr="003E50D1">
              <w:rPr>
                <w:b/>
                <w:bCs/>
                <w:sz w:val="20"/>
                <w:szCs w:val="20"/>
              </w:rPr>
              <w:t>Ogrjevno drvo</w:t>
            </w:r>
          </w:p>
        </w:tc>
        <w:tc>
          <w:tcPr>
            <w:tcW w:w="1389" w:type="dxa"/>
            <w:shd w:val="clear" w:color="auto" w:fill="auto"/>
            <w:noWrap/>
            <w:vAlign w:val="bottom"/>
          </w:tcPr>
          <w:p w14:paraId="3B2EA093" w14:textId="77777777" w:rsidR="002907A0" w:rsidRPr="00922031" w:rsidRDefault="002907A0" w:rsidP="002907A0">
            <w:pPr>
              <w:spacing w:after="0" w:line="240" w:lineRule="auto"/>
              <w:jc w:val="right"/>
              <w:rPr>
                <w:rFonts w:cstheme="minorHAnsi"/>
                <w:sz w:val="20"/>
              </w:rPr>
            </w:pPr>
          </w:p>
        </w:tc>
        <w:tc>
          <w:tcPr>
            <w:tcW w:w="1390" w:type="dxa"/>
            <w:shd w:val="clear" w:color="auto" w:fill="auto"/>
            <w:noWrap/>
            <w:vAlign w:val="bottom"/>
          </w:tcPr>
          <w:p w14:paraId="06D2F33C"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65C9F161" w14:textId="77777777" w:rsidR="002907A0" w:rsidRPr="005808FC" w:rsidRDefault="002907A0" w:rsidP="005808FC">
            <w:pPr>
              <w:spacing w:after="0" w:line="240" w:lineRule="auto"/>
              <w:jc w:val="right"/>
              <w:rPr>
                <w:sz w:val="20"/>
                <w:szCs w:val="20"/>
              </w:rPr>
            </w:pPr>
            <w:r w:rsidRPr="003E50D1">
              <w:rPr>
                <w:sz w:val="20"/>
                <w:szCs w:val="20"/>
              </w:rPr>
              <w:t>275 269,9,0</w:t>
            </w:r>
          </w:p>
        </w:tc>
        <w:tc>
          <w:tcPr>
            <w:tcW w:w="1528" w:type="dxa"/>
            <w:shd w:val="clear" w:color="auto" w:fill="auto"/>
            <w:noWrap/>
            <w:vAlign w:val="bottom"/>
          </w:tcPr>
          <w:p w14:paraId="0F3DF301" w14:textId="77777777" w:rsidR="002907A0" w:rsidRPr="005808FC" w:rsidRDefault="002907A0" w:rsidP="005808FC">
            <w:pPr>
              <w:spacing w:after="0" w:line="240" w:lineRule="auto"/>
              <w:jc w:val="right"/>
              <w:rPr>
                <w:sz w:val="20"/>
                <w:szCs w:val="20"/>
              </w:rPr>
            </w:pPr>
            <w:r w:rsidRPr="003E50D1">
              <w:rPr>
                <w:sz w:val="20"/>
                <w:szCs w:val="20"/>
              </w:rPr>
              <w:t>187 201,0</w:t>
            </w:r>
          </w:p>
        </w:tc>
        <w:tc>
          <w:tcPr>
            <w:tcW w:w="1291" w:type="dxa"/>
            <w:shd w:val="clear" w:color="auto" w:fill="auto"/>
            <w:vAlign w:val="bottom"/>
          </w:tcPr>
          <w:p w14:paraId="56A01BE5" w14:textId="77777777" w:rsidR="002907A0" w:rsidRPr="005808FC" w:rsidRDefault="002907A0" w:rsidP="005808FC">
            <w:pPr>
              <w:spacing w:after="0" w:line="240" w:lineRule="auto"/>
              <w:jc w:val="right"/>
              <w:rPr>
                <w:sz w:val="20"/>
                <w:szCs w:val="20"/>
              </w:rPr>
            </w:pPr>
            <w:r w:rsidRPr="003E50D1">
              <w:rPr>
                <w:sz w:val="20"/>
                <w:szCs w:val="20"/>
              </w:rPr>
              <w:t>2,43</w:t>
            </w:r>
          </w:p>
        </w:tc>
      </w:tr>
      <w:tr w:rsidR="002907A0" w:rsidRPr="00922031" w14:paraId="338CE530" w14:textId="77777777" w:rsidTr="005808FC">
        <w:trPr>
          <w:trHeight w:val="227"/>
        </w:trPr>
        <w:tc>
          <w:tcPr>
            <w:tcW w:w="2097" w:type="dxa"/>
            <w:shd w:val="clear" w:color="auto" w:fill="F2DBDB" w:themeFill="accent2" w:themeFillTint="33"/>
            <w:noWrap/>
            <w:vAlign w:val="center"/>
          </w:tcPr>
          <w:p w14:paraId="570EC3E6" w14:textId="77777777" w:rsidR="002907A0" w:rsidRPr="005808FC" w:rsidRDefault="002907A0" w:rsidP="005808FC">
            <w:pPr>
              <w:spacing w:after="0" w:line="240" w:lineRule="auto"/>
              <w:rPr>
                <w:b/>
                <w:bCs/>
                <w:sz w:val="20"/>
                <w:szCs w:val="20"/>
              </w:rPr>
            </w:pPr>
            <w:r w:rsidRPr="003E50D1">
              <w:rPr>
                <w:b/>
                <w:bCs/>
                <w:sz w:val="20"/>
                <w:szCs w:val="20"/>
              </w:rPr>
              <w:t>Električna energija</w:t>
            </w:r>
          </w:p>
        </w:tc>
        <w:tc>
          <w:tcPr>
            <w:tcW w:w="1389" w:type="dxa"/>
            <w:shd w:val="clear" w:color="auto" w:fill="auto"/>
            <w:noWrap/>
            <w:vAlign w:val="bottom"/>
          </w:tcPr>
          <w:p w14:paraId="6C7E2A6A" w14:textId="25782862" w:rsidR="002907A0" w:rsidRPr="005808FC" w:rsidRDefault="002907A0" w:rsidP="005808FC">
            <w:pPr>
              <w:spacing w:after="0" w:line="240" w:lineRule="auto"/>
              <w:jc w:val="right"/>
              <w:rPr>
                <w:sz w:val="20"/>
                <w:szCs w:val="20"/>
              </w:rPr>
            </w:pPr>
            <w:r w:rsidRPr="003E50D1">
              <w:rPr>
                <w:sz w:val="20"/>
                <w:szCs w:val="20"/>
              </w:rPr>
              <w:t>61</w:t>
            </w:r>
            <w:r w:rsidR="000C2396">
              <w:rPr>
                <w:sz w:val="20"/>
                <w:szCs w:val="20"/>
              </w:rPr>
              <w:t xml:space="preserve"> 500</w:t>
            </w:r>
          </w:p>
        </w:tc>
        <w:tc>
          <w:tcPr>
            <w:tcW w:w="1390" w:type="dxa"/>
            <w:shd w:val="clear" w:color="auto" w:fill="auto"/>
            <w:noWrap/>
            <w:vAlign w:val="bottom"/>
          </w:tcPr>
          <w:p w14:paraId="3F2E18DF" w14:textId="77777777" w:rsidR="002907A0" w:rsidRPr="005808FC" w:rsidRDefault="002907A0" w:rsidP="005808FC">
            <w:pPr>
              <w:spacing w:after="0" w:line="240" w:lineRule="auto"/>
              <w:jc w:val="right"/>
              <w:rPr>
                <w:sz w:val="20"/>
                <w:szCs w:val="20"/>
              </w:rPr>
            </w:pPr>
            <w:r w:rsidRPr="003E50D1">
              <w:rPr>
                <w:sz w:val="20"/>
                <w:szCs w:val="20"/>
              </w:rPr>
              <w:t>90 100,0</w:t>
            </w:r>
          </w:p>
        </w:tc>
        <w:tc>
          <w:tcPr>
            <w:tcW w:w="1389" w:type="dxa"/>
            <w:shd w:val="clear" w:color="auto" w:fill="auto"/>
            <w:noWrap/>
            <w:vAlign w:val="bottom"/>
          </w:tcPr>
          <w:p w14:paraId="667D004C" w14:textId="77777777" w:rsidR="002907A0" w:rsidRPr="005808FC" w:rsidRDefault="002907A0" w:rsidP="005808FC">
            <w:pPr>
              <w:spacing w:after="0" w:line="240" w:lineRule="auto"/>
              <w:jc w:val="right"/>
              <w:rPr>
                <w:sz w:val="20"/>
                <w:szCs w:val="20"/>
              </w:rPr>
            </w:pPr>
            <w:r w:rsidRPr="003E50D1">
              <w:rPr>
                <w:sz w:val="20"/>
                <w:szCs w:val="20"/>
              </w:rPr>
              <w:t>1 732 630,8</w:t>
            </w:r>
          </w:p>
        </w:tc>
        <w:tc>
          <w:tcPr>
            <w:tcW w:w="1528" w:type="dxa"/>
            <w:shd w:val="clear" w:color="auto" w:fill="auto"/>
            <w:noWrap/>
            <w:vAlign w:val="bottom"/>
          </w:tcPr>
          <w:p w14:paraId="648142EB" w14:textId="77777777" w:rsidR="002907A0" w:rsidRPr="005808FC" w:rsidRDefault="002907A0" w:rsidP="005808FC">
            <w:pPr>
              <w:spacing w:after="0" w:line="240" w:lineRule="auto"/>
              <w:jc w:val="right"/>
              <w:rPr>
                <w:sz w:val="20"/>
                <w:szCs w:val="20"/>
              </w:rPr>
            </w:pPr>
            <w:r w:rsidRPr="003E50D1">
              <w:rPr>
                <w:sz w:val="20"/>
                <w:szCs w:val="20"/>
              </w:rPr>
              <w:t>1 822 792,2</w:t>
            </w:r>
          </w:p>
        </w:tc>
        <w:tc>
          <w:tcPr>
            <w:tcW w:w="1291" w:type="dxa"/>
            <w:shd w:val="clear" w:color="auto" w:fill="auto"/>
            <w:vAlign w:val="bottom"/>
          </w:tcPr>
          <w:p w14:paraId="4DF10D02" w14:textId="77777777" w:rsidR="002907A0" w:rsidRPr="005808FC" w:rsidRDefault="002907A0" w:rsidP="005808FC">
            <w:pPr>
              <w:spacing w:after="0" w:line="240" w:lineRule="auto"/>
              <w:jc w:val="right"/>
              <w:rPr>
                <w:sz w:val="20"/>
                <w:szCs w:val="20"/>
              </w:rPr>
            </w:pPr>
            <w:r w:rsidRPr="003E50D1">
              <w:rPr>
                <w:sz w:val="20"/>
                <w:szCs w:val="20"/>
              </w:rPr>
              <w:t>16,12</w:t>
            </w:r>
          </w:p>
        </w:tc>
      </w:tr>
      <w:tr w:rsidR="002907A0" w:rsidRPr="00922031" w14:paraId="6920C050" w14:textId="77777777" w:rsidTr="005808FC">
        <w:trPr>
          <w:trHeight w:val="227"/>
        </w:trPr>
        <w:tc>
          <w:tcPr>
            <w:tcW w:w="2097" w:type="dxa"/>
            <w:shd w:val="clear" w:color="auto" w:fill="F2DBDB" w:themeFill="accent2" w:themeFillTint="33"/>
            <w:noWrap/>
            <w:vAlign w:val="center"/>
          </w:tcPr>
          <w:p w14:paraId="3F4125A6" w14:textId="77777777" w:rsidR="002907A0" w:rsidRPr="005808FC" w:rsidRDefault="002907A0" w:rsidP="005808FC">
            <w:pPr>
              <w:spacing w:after="0" w:line="240" w:lineRule="auto"/>
              <w:rPr>
                <w:b/>
                <w:bCs/>
                <w:sz w:val="20"/>
                <w:szCs w:val="20"/>
              </w:rPr>
            </w:pPr>
            <w:r w:rsidRPr="003E50D1">
              <w:rPr>
                <w:b/>
                <w:bCs/>
                <w:sz w:val="20"/>
                <w:szCs w:val="20"/>
              </w:rPr>
              <w:t>Toplina</w:t>
            </w:r>
          </w:p>
        </w:tc>
        <w:tc>
          <w:tcPr>
            <w:tcW w:w="1389" w:type="dxa"/>
            <w:shd w:val="clear" w:color="auto" w:fill="auto"/>
            <w:noWrap/>
            <w:vAlign w:val="bottom"/>
          </w:tcPr>
          <w:p w14:paraId="414E2885" w14:textId="77777777" w:rsidR="002907A0" w:rsidRPr="00922031" w:rsidRDefault="002907A0" w:rsidP="002907A0">
            <w:pPr>
              <w:spacing w:after="0" w:line="240" w:lineRule="auto"/>
              <w:jc w:val="right"/>
              <w:rPr>
                <w:rFonts w:cstheme="minorHAnsi"/>
                <w:sz w:val="20"/>
              </w:rPr>
            </w:pPr>
          </w:p>
        </w:tc>
        <w:tc>
          <w:tcPr>
            <w:tcW w:w="1390" w:type="dxa"/>
            <w:shd w:val="clear" w:color="auto" w:fill="auto"/>
            <w:noWrap/>
            <w:vAlign w:val="bottom"/>
          </w:tcPr>
          <w:p w14:paraId="6E7560A3" w14:textId="77777777" w:rsidR="002907A0" w:rsidRPr="00922031" w:rsidRDefault="002907A0" w:rsidP="002907A0">
            <w:pPr>
              <w:spacing w:after="0" w:line="240" w:lineRule="auto"/>
              <w:jc w:val="right"/>
              <w:rPr>
                <w:rFonts w:cstheme="minorHAnsi"/>
                <w:sz w:val="20"/>
              </w:rPr>
            </w:pPr>
          </w:p>
        </w:tc>
        <w:tc>
          <w:tcPr>
            <w:tcW w:w="1389" w:type="dxa"/>
            <w:shd w:val="clear" w:color="auto" w:fill="auto"/>
            <w:noWrap/>
            <w:vAlign w:val="bottom"/>
          </w:tcPr>
          <w:p w14:paraId="280943C1" w14:textId="77777777" w:rsidR="002907A0" w:rsidRPr="005808FC" w:rsidRDefault="002907A0" w:rsidP="005808FC">
            <w:pPr>
              <w:spacing w:after="0" w:line="240" w:lineRule="auto"/>
              <w:jc w:val="right"/>
              <w:rPr>
                <w:sz w:val="20"/>
                <w:szCs w:val="20"/>
              </w:rPr>
            </w:pPr>
            <w:r w:rsidRPr="003E50D1">
              <w:rPr>
                <w:sz w:val="20"/>
                <w:szCs w:val="20"/>
              </w:rPr>
              <w:t>1 909 679,6</w:t>
            </w:r>
          </w:p>
        </w:tc>
        <w:tc>
          <w:tcPr>
            <w:tcW w:w="1528" w:type="dxa"/>
            <w:shd w:val="clear" w:color="auto" w:fill="auto"/>
            <w:noWrap/>
            <w:vAlign w:val="bottom"/>
          </w:tcPr>
          <w:p w14:paraId="06790461" w14:textId="77777777" w:rsidR="002907A0" w:rsidRPr="005808FC" w:rsidRDefault="002907A0" w:rsidP="005808FC">
            <w:pPr>
              <w:spacing w:after="0" w:line="240" w:lineRule="auto"/>
              <w:jc w:val="right"/>
              <w:rPr>
                <w:sz w:val="20"/>
                <w:szCs w:val="20"/>
              </w:rPr>
            </w:pPr>
            <w:r w:rsidRPr="003E50D1">
              <w:rPr>
                <w:sz w:val="20"/>
                <w:szCs w:val="20"/>
              </w:rPr>
              <w:t>1 909 679,6</w:t>
            </w:r>
          </w:p>
        </w:tc>
        <w:tc>
          <w:tcPr>
            <w:tcW w:w="1291" w:type="dxa"/>
            <w:shd w:val="clear" w:color="auto" w:fill="auto"/>
            <w:vAlign w:val="bottom"/>
          </w:tcPr>
          <w:p w14:paraId="6BA9B8BB" w14:textId="77777777" w:rsidR="002907A0" w:rsidRPr="005808FC" w:rsidRDefault="002907A0" w:rsidP="005808FC">
            <w:pPr>
              <w:spacing w:after="0" w:line="240" w:lineRule="auto"/>
              <w:jc w:val="right"/>
              <w:rPr>
                <w:sz w:val="20"/>
                <w:szCs w:val="20"/>
              </w:rPr>
            </w:pPr>
            <w:r w:rsidRPr="003E50D1">
              <w:rPr>
                <w:sz w:val="20"/>
                <w:szCs w:val="20"/>
              </w:rPr>
              <w:t>16,89</w:t>
            </w:r>
          </w:p>
        </w:tc>
      </w:tr>
      <w:tr w:rsidR="002907A0" w:rsidRPr="00922031" w14:paraId="1365278A" w14:textId="77777777" w:rsidTr="005808FC">
        <w:trPr>
          <w:trHeight w:val="227"/>
        </w:trPr>
        <w:tc>
          <w:tcPr>
            <w:tcW w:w="2097" w:type="dxa"/>
            <w:tcBorders>
              <w:bottom w:val="single" w:sz="8" w:space="0" w:color="auto"/>
            </w:tcBorders>
            <w:shd w:val="clear" w:color="auto" w:fill="F2DBDB" w:themeFill="accent2" w:themeFillTint="33"/>
            <w:noWrap/>
            <w:vAlign w:val="center"/>
          </w:tcPr>
          <w:p w14:paraId="287EA9EF" w14:textId="77777777" w:rsidR="002907A0" w:rsidRPr="005808FC" w:rsidRDefault="002907A0" w:rsidP="005808FC">
            <w:pPr>
              <w:spacing w:after="0" w:line="240" w:lineRule="auto"/>
              <w:jc w:val="center"/>
              <w:rPr>
                <w:b/>
                <w:bCs/>
                <w:sz w:val="20"/>
                <w:szCs w:val="20"/>
              </w:rPr>
            </w:pPr>
            <w:r w:rsidRPr="003E50D1">
              <w:rPr>
                <w:b/>
                <w:bCs/>
                <w:sz w:val="20"/>
                <w:szCs w:val="20"/>
              </w:rPr>
              <w:t>UKUPNO</w:t>
            </w:r>
          </w:p>
        </w:tc>
        <w:tc>
          <w:tcPr>
            <w:tcW w:w="1389" w:type="dxa"/>
            <w:tcBorders>
              <w:bottom w:val="single" w:sz="8" w:space="0" w:color="auto"/>
            </w:tcBorders>
            <w:shd w:val="clear" w:color="auto" w:fill="auto"/>
            <w:noWrap/>
            <w:vAlign w:val="bottom"/>
          </w:tcPr>
          <w:p w14:paraId="1E4A0CBE" w14:textId="77777777" w:rsidR="002907A0" w:rsidRPr="005808FC" w:rsidRDefault="002907A0" w:rsidP="005808FC">
            <w:pPr>
              <w:spacing w:after="0" w:line="240" w:lineRule="auto"/>
              <w:jc w:val="right"/>
              <w:rPr>
                <w:b/>
                <w:bCs/>
                <w:sz w:val="20"/>
                <w:szCs w:val="20"/>
              </w:rPr>
            </w:pPr>
            <w:r w:rsidRPr="003E50D1">
              <w:rPr>
                <w:b/>
                <w:bCs/>
                <w:sz w:val="20"/>
                <w:szCs w:val="20"/>
              </w:rPr>
              <w:t>3 780 930,0</w:t>
            </w:r>
          </w:p>
        </w:tc>
        <w:tc>
          <w:tcPr>
            <w:tcW w:w="1390" w:type="dxa"/>
            <w:tcBorders>
              <w:bottom w:val="single" w:sz="8" w:space="0" w:color="auto"/>
            </w:tcBorders>
            <w:shd w:val="clear" w:color="auto" w:fill="auto"/>
            <w:noWrap/>
            <w:vAlign w:val="bottom"/>
          </w:tcPr>
          <w:p w14:paraId="19D7A37A" w14:textId="77777777" w:rsidR="002907A0" w:rsidRPr="005808FC" w:rsidRDefault="002907A0" w:rsidP="005808FC">
            <w:pPr>
              <w:spacing w:after="0" w:line="240" w:lineRule="auto"/>
              <w:jc w:val="right"/>
              <w:rPr>
                <w:b/>
                <w:bCs/>
                <w:sz w:val="20"/>
                <w:szCs w:val="20"/>
              </w:rPr>
            </w:pPr>
            <w:r w:rsidRPr="003E50D1">
              <w:rPr>
                <w:b/>
                <w:bCs/>
                <w:sz w:val="20"/>
                <w:szCs w:val="20"/>
              </w:rPr>
              <w:t>90 463,9</w:t>
            </w:r>
          </w:p>
        </w:tc>
        <w:tc>
          <w:tcPr>
            <w:tcW w:w="1389" w:type="dxa"/>
            <w:tcBorders>
              <w:bottom w:val="single" w:sz="8" w:space="0" w:color="auto"/>
            </w:tcBorders>
            <w:shd w:val="clear" w:color="auto" w:fill="auto"/>
            <w:noWrap/>
            <w:vAlign w:val="bottom"/>
          </w:tcPr>
          <w:p w14:paraId="00A7399E" w14:textId="77777777" w:rsidR="002907A0" w:rsidRPr="005808FC" w:rsidRDefault="002907A0" w:rsidP="005808FC">
            <w:pPr>
              <w:spacing w:after="0" w:line="240" w:lineRule="auto"/>
              <w:jc w:val="right"/>
              <w:rPr>
                <w:b/>
                <w:bCs/>
                <w:sz w:val="20"/>
                <w:szCs w:val="20"/>
              </w:rPr>
            </w:pPr>
            <w:r w:rsidRPr="003E50D1">
              <w:rPr>
                <w:b/>
                <w:bCs/>
                <w:sz w:val="20"/>
                <w:szCs w:val="20"/>
              </w:rPr>
              <w:t>7 436 864,1</w:t>
            </w:r>
          </w:p>
        </w:tc>
        <w:tc>
          <w:tcPr>
            <w:tcW w:w="1528" w:type="dxa"/>
            <w:tcBorders>
              <w:bottom w:val="single" w:sz="8" w:space="0" w:color="auto"/>
            </w:tcBorders>
            <w:shd w:val="clear" w:color="auto" w:fill="auto"/>
            <w:noWrap/>
            <w:vAlign w:val="bottom"/>
          </w:tcPr>
          <w:p w14:paraId="2A5A2204" w14:textId="77777777" w:rsidR="002907A0" w:rsidRPr="005808FC" w:rsidRDefault="002907A0" w:rsidP="005808FC">
            <w:pPr>
              <w:spacing w:after="0" w:line="240" w:lineRule="auto"/>
              <w:jc w:val="right"/>
              <w:rPr>
                <w:b/>
                <w:bCs/>
                <w:sz w:val="20"/>
                <w:szCs w:val="20"/>
              </w:rPr>
            </w:pPr>
            <w:r w:rsidRPr="003E50D1">
              <w:rPr>
                <w:b/>
                <w:bCs/>
                <w:sz w:val="20"/>
                <w:szCs w:val="20"/>
              </w:rPr>
              <w:t>11 308 258,0</w:t>
            </w:r>
          </w:p>
        </w:tc>
        <w:tc>
          <w:tcPr>
            <w:tcW w:w="1291" w:type="dxa"/>
            <w:tcBorders>
              <w:bottom w:val="single" w:sz="8" w:space="0" w:color="auto"/>
            </w:tcBorders>
            <w:shd w:val="clear" w:color="auto" w:fill="auto"/>
            <w:vAlign w:val="bottom"/>
          </w:tcPr>
          <w:p w14:paraId="5ED7AF18" w14:textId="77777777" w:rsidR="002907A0" w:rsidRPr="005808FC" w:rsidRDefault="002907A0" w:rsidP="005808FC">
            <w:pPr>
              <w:spacing w:after="0" w:line="240" w:lineRule="auto"/>
              <w:jc w:val="right"/>
              <w:rPr>
                <w:b/>
                <w:bCs/>
                <w:sz w:val="20"/>
                <w:szCs w:val="20"/>
              </w:rPr>
            </w:pPr>
            <w:r w:rsidRPr="003E50D1">
              <w:rPr>
                <w:b/>
                <w:bCs/>
                <w:sz w:val="20"/>
                <w:szCs w:val="20"/>
              </w:rPr>
              <w:t>100,0</w:t>
            </w:r>
          </w:p>
        </w:tc>
      </w:tr>
      <w:tr w:rsidR="002907A0" w:rsidRPr="00922031" w14:paraId="4245B795" w14:textId="77777777" w:rsidTr="005808FC">
        <w:trPr>
          <w:trHeight w:val="227"/>
        </w:trPr>
        <w:tc>
          <w:tcPr>
            <w:tcW w:w="2097" w:type="dxa"/>
            <w:tcBorders>
              <w:top w:val="single" w:sz="8" w:space="0" w:color="auto"/>
              <w:bottom w:val="single" w:sz="8" w:space="0" w:color="auto"/>
            </w:tcBorders>
            <w:shd w:val="clear" w:color="auto" w:fill="F2DBDB" w:themeFill="accent2" w:themeFillTint="33"/>
            <w:noWrap/>
            <w:vAlign w:val="center"/>
          </w:tcPr>
          <w:p w14:paraId="2AAAA603" w14:textId="11734577" w:rsidR="002907A0" w:rsidRPr="005808FC" w:rsidRDefault="002907A0" w:rsidP="005808FC">
            <w:pPr>
              <w:spacing w:after="0" w:line="240" w:lineRule="auto"/>
              <w:jc w:val="center"/>
              <w:rPr>
                <w:b/>
                <w:bCs/>
                <w:sz w:val="20"/>
                <w:szCs w:val="20"/>
              </w:rPr>
            </w:pPr>
            <w:r w:rsidRPr="003E50D1">
              <w:rPr>
                <w:b/>
                <w:bCs/>
                <w:sz w:val="20"/>
                <w:szCs w:val="20"/>
              </w:rPr>
              <w:t xml:space="preserve">Udio pojedinog </w:t>
            </w:r>
            <w:r w:rsidRPr="00291DF5">
              <w:rPr>
                <w:b/>
                <w:bCs/>
                <w:sz w:val="20"/>
                <w:szCs w:val="20"/>
              </w:rPr>
              <w:t>sektora,</w:t>
            </w:r>
            <w:r w:rsidR="000509A0">
              <w:rPr>
                <w:b/>
                <w:bCs/>
                <w:sz w:val="20"/>
                <w:szCs w:val="20"/>
              </w:rPr>
              <w:t>%</w:t>
            </w:r>
          </w:p>
        </w:tc>
        <w:tc>
          <w:tcPr>
            <w:tcW w:w="1389" w:type="dxa"/>
            <w:tcBorders>
              <w:top w:val="single" w:sz="8" w:space="0" w:color="auto"/>
              <w:bottom w:val="single" w:sz="8" w:space="0" w:color="auto"/>
            </w:tcBorders>
            <w:shd w:val="clear" w:color="auto" w:fill="auto"/>
            <w:noWrap/>
            <w:vAlign w:val="center"/>
          </w:tcPr>
          <w:p w14:paraId="6FAF8280" w14:textId="77777777" w:rsidR="002907A0" w:rsidRPr="005808FC" w:rsidRDefault="002907A0" w:rsidP="005808FC">
            <w:pPr>
              <w:spacing w:after="0" w:line="240" w:lineRule="auto"/>
              <w:jc w:val="right"/>
              <w:rPr>
                <w:b/>
                <w:bCs/>
                <w:sz w:val="20"/>
                <w:szCs w:val="20"/>
              </w:rPr>
            </w:pPr>
            <w:r w:rsidRPr="003E50D1">
              <w:rPr>
                <w:b/>
                <w:bCs/>
                <w:sz w:val="20"/>
                <w:szCs w:val="20"/>
              </w:rPr>
              <w:t>33,44</w:t>
            </w:r>
          </w:p>
        </w:tc>
        <w:tc>
          <w:tcPr>
            <w:tcW w:w="1390" w:type="dxa"/>
            <w:tcBorders>
              <w:top w:val="single" w:sz="8" w:space="0" w:color="auto"/>
              <w:bottom w:val="single" w:sz="8" w:space="0" w:color="auto"/>
            </w:tcBorders>
            <w:shd w:val="clear" w:color="auto" w:fill="auto"/>
            <w:noWrap/>
            <w:vAlign w:val="center"/>
          </w:tcPr>
          <w:p w14:paraId="3B2E584B" w14:textId="77777777" w:rsidR="002907A0" w:rsidRPr="005808FC" w:rsidRDefault="002907A0" w:rsidP="005808FC">
            <w:pPr>
              <w:spacing w:after="0" w:line="240" w:lineRule="auto"/>
              <w:jc w:val="right"/>
              <w:rPr>
                <w:b/>
                <w:bCs/>
                <w:sz w:val="20"/>
                <w:szCs w:val="20"/>
              </w:rPr>
            </w:pPr>
            <w:r w:rsidRPr="003E50D1">
              <w:rPr>
                <w:b/>
                <w:bCs/>
                <w:sz w:val="20"/>
                <w:szCs w:val="20"/>
              </w:rPr>
              <w:t>0,80</w:t>
            </w:r>
          </w:p>
        </w:tc>
        <w:tc>
          <w:tcPr>
            <w:tcW w:w="1389" w:type="dxa"/>
            <w:tcBorders>
              <w:top w:val="single" w:sz="8" w:space="0" w:color="auto"/>
              <w:bottom w:val="single" w:sz="8" w:space="0" w:color="auto"/>
            </w:tcBorders>
            <w:shd w:val="clear" w:color="auto" w:fill="auto"/>
            <w:noWrap/>
            <w:vAlign w:val="center"/>
          </w:tcPr>
          <w:p w14:paraId="7BFE0F62" w14:textId="77777777" w:rsidR="002907A0" w:rsidRPr="005808FC" w:rsidRDefault="002907A0" w:rsidP="005808FC">
            <w:pPr>
              <w:spacing w:after="0" w:line="240" w:lineRule="auto"/>
              <w:jc w:val="right"/>
              <w:rPr>
                <w:b/>
                <w:bCs/>
                <w:sz w:val="20"/>
                <w:szCs w:val="20"/>
              </w:rPr>
            </w:pPr>
            <w:r w:rsidRPr="003E50D1">
              <w:rPr>
                <w:b/>
                <w:bCs/>
                <w:sz w:val="20"/>
                <w:szCs w:val="20"/>
              </w:rPr>
              <w:t>65,76</w:t>
            </w:r>
          </w:p>
        </w:tc>
        <w:tc>
          <w:tcPr>
            <w:tcW w:w="1528" w:type="dxa"/>
            <w:tcBorders>
              <w:top w:val="single" w:sz="8" w:space="0" w:color="auto"/>
              <w:bottom w:val="single" w:sz="8" w:space="0" w:color="auto"/>
            </w:tcBorders>
            <w:shd w:val="clear" w:color="auto" w:fill="auto"/>
            <w:noWrap/>
            <w:vAlign w:val="center"/>
          </w:tcPr>
          <w:p w14:paraId="5CA11025" w14:textId="77777777" w:rsidR="002907A0" w:rsidRPr="005808FC" w:rsidRDefault="002907A0" w:rsidP="005808FC">
            <w:pPr>
              <w:spacing w:after="0" w:line="240" w:lineRule="auto"/>
              <w:jc w:val="right"/>
              <w:rPr>
                <w:b/>
                <w:bCs/>
                <w:sz w:val="20"/>
                <w:szCs w:val="20"/>
              </w:rPr>
            </w:pPr>
            <w:r w:rsidRPr="003E50D1">
              <w:rPr>
                <w:b/>
                <w:bCs/>
                <w:sz w:val="20"/>
                <w:szCs w:val="20"/>
              </w:rPr>
              <w:t>100,0</w:t>
            </w:r>
          </w:p>
        </w:tc>
        <w:tc>
          <w:tcPr>
            <w:tcW w:w="1291" w:type="dxa"/>
            <w:tcBorders>
              <w:top w:val="single" w:sz="8" w:space="0" w:color="auto"/>
              <w:bottom w:val="single" w:sz="8" w:space="0" w:color="auto"/>
            </w:tcBorders>
            <w:shd w:val="clear" w:color="auto" w:fill="auto"/>
            <w:vAlign w:val="center"/>
          </w:tcPr>
          <w:p w14:paraId="29F54ADD" w14:textId="77777777" w:rsidR="002907A0" w:rsidRPr="005808FC" w:rsidRDefault="002907A0" w:rsidP="005808FC">
            <w:pPr>
              <w:spacing w:after="0" w:line="240" w:lineRule="auto"/>
              <w:jc w:val="right"/>
              <w:rPr>
                <w:b/>
                <w:bCs/>
                <w:sz w:val="20"/>
                <w:szCs w:val="20"/>
              </w:rPr>
            </w:pPr>
            <w:r w:rsidRPr="003E50D1">
              <w:rPr>
                <w:b/>
                <w:bCs/>
                <w:sz w:val="20"/>
                <w:szCs w:val="20"/>
              </w:rPr>
              <w:t>100,0</w:t>
            </w:r>
          </w:p>
        </w:tc>
      </w:tr>
    </w:tbl>
    <w:p w14:paraId="07A0AAEB" w14:textId="77777777" w:rsidR="002907A0" w:rsidRPr="00922031" w:rsidRDefault="002907A0" w:rsidP="002907A0">
      <w:pPr>
        <w:spacing w:after="0" w:line="240" w:lineRule="auto"/>
        <w:rPr>
          <w:rFonts w:cstheme="minorHAnsi"/>
        </w:rPr>
      </w:pPr>
    </w:p>
    <w:p w14:paraId="3A7A6DB7" w14:textId="77777777" w:rsidR="002907A0" w:rsidRPr="00922031" w:rsidRDefault="002907A0" w:rsidP="001D03F0">
      <w:pPr>
        <w:pStyle w:val="Heading6"/>
        <w:spacing w:line="240" w:lineRule="auto"/>
        <w:rPr>
          <w:rFonts w:cstheme="minorHAnsi"/>
          <w:lang w:eastAsia="hr-HR"/>
        </w:rPr>
      </w:pPr>
      <w:r w:rsidRPr="00922031">
        <w:rPr>
          <w:rFonts w:cstheme="minorHAnsi"/>
          <w:noProof/>
          <w:lang w:eastAsia="hr-HR"/>
        </w:rPr>
        <w:drawing>
          <wp:inline distT="0" distB="0" distL="0" distR="0" wp14:anchorId="39446715" wp14:editId="10336C1F">
            <wp:extent cx="5760720" cy="3075120"/>
            <wp:effectExtent l="0" t="0" r="0" b="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CFE8C4" w14:textId="19B1B781" w:rsidR="002907A0" w:rsidRPr="005808FC" w:rsidRDefault="00244D74">
      <w:pPr>
        <w:pStyle w:val="Heading6"/>
        <w:rPr>
          <w:rFonts w:cstheme="minorBidi"/>
          <w:lang w:eastAsia="hr-HR"/>
        </w:rPr>
      </w:pPr>
      <w:bookmarkStart w:id="98" w:name="_Toc4156025"/>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4</w:t>
      </w:r>
      <w:r w:rsidR="00CA6C6C" w:rsidRPr="005808FC">
        <w:fldChar w:fldCharType="end"/>
      </w:r>
      <w:r w:rsidRPr="5886DDC2">
        <w:t xml:space="preserve"> -</w:t>
      </w:r>
      <w:r w:rsidR="00B25B9E" w:rsidRPr="5886DDC2">
        <w:t xml:space="preserve"> </w:t>
      </w:r>
      <w:r w:rsidR="002907A0" w:rsidRPr="003E50D1">
        <w:rPr>
          <w:rFonts w:cstheme="minorBidi"/>
        </w:rPr>
        <w:t>Energetska potrošnja po energentu u 2008. godini</w:t>
      </w:r>
      <w:bookmarkEnd w:id="98"/>
    </w:p>
    <w:p w14:paraId="14214E2B" w14:textId="77777777" w:rsidR="002907A0" w:rsidRPr="00922031" w:rsidRDefault="002907A0" w:rsidP="002907A0">
      <w:pPr>
        <w:tabs>
          <w:tab w:val="left" w:pos="990"/>
        </w:tabs>
        <w:spacing w:after="0" w:line="240" w:lineRule="auto"/>
        <w:rPr>
          <w:rFonts w:cstheme="minorHAnsi"/>
          <w:lang w:eastAsia="hr-HR"/>
        </w:rPr>
      </w:pPr>
    </w:p>
    <w:p w14:paraId="5CC08C7B" w14:textId="445D77E3" w:rsidR="002907A0" w:rsidRPr="005808FC" w:rsidRDefault="002907A0" w:rsidP="005808FC">
      <w:pPr>
        <w:tabs>
          <w:tab w:val="left" w:pos="990"/>
        </w:tabs>
        <w:spacing w:after="0" w:line="240" w:lineRule="auto"/>
        <w:rPr>
          <w:lang w:eastAsia="hr-HR"/>
        </w:rPr>
      </w:pPr>
      <w:r w:rsidRPr="003E50D1">
        <w:rPr>
          <w:lang w:eastAsia="hr-HR"/>
        </w:rPr>
        <w:t xml:space="preserve">Iz </w:t>
      </w:r>
      <w:r w:rsidR="00FC154F" w:rsidRPr="00291DF5">
        <w:rPr>
          <w:lang w:eastAsia="hr-HR"/>
        </w:rPr>
        <w:t>S</w:t>
      </w:r>
      <w:r w:rsidRPr="005808FC">
        <w:rPr>
          <w:lang w:eastAsia="hr-HR"/>
        </w:rPr>
        <w:t xml:space="preserve">like </w:t>
      </w:r>
      <w:r w:rsidR="00FC154F" w:rsidRPr="005808FC">
        <w:rPr>
          <w:lang w:eastAsia="hr-HR"/>
        </w:rPr>
        <w:t>4</w:t>
      </w:r>
      <w:r w:rsidRPr="005808FC">
        <w:rPr>
          <w:lang w:eastAsia="hr-HR"/>
        </w:rPr>
        <w:t xml:space="preserve">.4 proizlazi da je prirodni plin, energent s najvećim udjelom u ukupnoj potrošnji energije. Potrošnja prirodnog plina u 2008. godini iznosila je 3157 GWh, što čini 28,4% od ukupne potrošnje </w:t>
      </w:r>
      <w:r w:rsidRPr="005808FC">
        <w:rPr>
          <w:lang w:eastAsia="hr-HR"/>
        </w:rPr>
        <w:lastRenderedPageBreak/>
        <w:t>energije. Dominantni energenti, osim prirodnog plina su još</w:t>
      </w:r>
      <w:r w:rsidR="000509A0">
        <w:rPr>
          <w:lang w:eastAsia="hr-HR"/>
        </w:rPr>
        <w:t xml:space="preserve"> i </w:t>
      </w:r>
      <w:r w:rsidRPr="00291DF5">
        <w:rPr>
          <w:lang w:eastAsia="hr-HR"/>
        </w:rPr>
        <w:t>električna energija, dizel, toplina iz CTS-a te motorni benzin s potrošnjama od 2061 GWh, 1910 GWh, 1823 GWh</w:t>
      </w:r>
      <w:r w:rsidR="000509A0">
        <w:rPr>
          <w:lang w:eastAsia="hr-HR"/>
        </w:rPr>
        <w:t xml:space="preserve"> i </w:t>
      </w:r>
      <w:r w:rsidRPr="00291DF5">
        <w:rPr>
          <w:lang w:eastAsia="hr-HR"/>
        </w:rPr>
        <w:t xml:space="preserve">1687 GWh, čiji udio </w:t>
      </w:r>
      <w:r w:rsidRPr="005808FC">
        <w:rPr>
          <w:lang w:eastAsia="hr-HR"/>
        </w:rPr>
        <w:t>u ukupnoj energetskoj potrošnji Grada Zagreba iznosi preko 95%.</w:t>
      </w:r>
      <w:r w:rsidR="00B25B9E" w:rsidRPr="005808FC">
        <w:rPr>
          <w:lang w:eastAsia="hr-HR"/>
        </w:rPr>
        <w:t xml:space="preserve"> </w:t>
      </w:r>
    </w:p>
    <w:p w14:paraId="61DA21C0" w14:textId="77777777" w:rsidR="002907A0" w:rsidRPr="00922031" w:rsidRDefault="002907A0" w:rsidP="001D03F0">
      <w:pPr>
        <w:tabs>
          <w:tab w:val="left" w:pos="990"/>
        </w:tabs>
        <w:spacing w:after="0" w:line="240" w:lineRule="auto"/>
        <w:rPr>
          <w:rFonts w:cstheme="minorHAnsi"/>
          <w:lang w:eastAsia="hr-HR"/>
        </w:rPr>
      </w:pPr>
    </w:p>
    <w:p w14:paraId="084D9F24" w14:textId="41262014" w:rsidR="002907A0" w:rsidRPr="005808FC" w:rsidRDefault="002907A0" w:rsidP="005808FC">
      <w:pPr>
        <w:spacing w:after="0" w:line="240" w:lineRule="auto"/>
        <w:rPr>
          <w:lang w:eastAsia="hr-HR"/>
        </w:rPr>
      </w:pPr>
      <w:r w:rsidRPr="003E50D1">
        <w:rPr>
          <w:lang w:eastAsia="hr-HR"/>
        </w:rPr>
        <w:t xml:space="preserve">Ukupna potrošnja energije promatranih sektora Grada Zagreba iznosi 11 308 GWh, od čega se 7 437 GWh troši u zgradarstvu, a slijedi sektor prometa s </w:t>
      </w:r>
      <w:r w:rsidRPr="00291DF5">
        <w:rPr>
          <w:lang w:eastAsia="hr-HR"/>
        </w:rPr>
        <w:t>potrošnjom od 3</w:t>
      </w:r>
      <w:r w:rsidR="001837FE" w:rsidRPr="005808FC">
        <w:rPr>
          <w:lang w:eastAsia="hr-HR"/>
        </w:rPr>
        <w:t xml:space="preserve"> </w:t>
      </w:r>
      <w:r w:rsidRPr="005808FC">
        <w:rPr>
          <w:lang w:eastAsia="hr-HR"/>
        </w:rPr>
        <w:t>781 GWh (</w:t>
      </w:r>
      <w:r w:rsidR="00FC154F" w:rsidRPr="005808FC">
        <w:rPr>
          <w:lang w:eastAsia="hr-HR"/>
        </w:rPr>
        <w:t>S</w:t>
      </w:r>
      <w:r w:rsidRPr="005808FC">
        <w:rPr>
          <w:lang w:eastAsia="hr-HR"/>
        </w:rPr>
        <w:t xml:space="preserve">lika </w:t>
      </w:r>
      <w:r w:rsidR="00FC154F" w:rsidRPr="005808FC">
        <w:rPr>
          <w:lang w:eastAsia="hr-HR"/>
        </w:rPr>
        <w:t>4</w:t>
      </w:r>
      <w:r w:rsidRPr="005808FC">
        <w:rPr>
          <w:lang w:eastAsia="hr-HR"/>
        </w:rPr>
        <w:t xml:space="preserve">.5). </w:t>
      </w:r>
    </w:p>
    <w:p w14:paraId="24DEDA22" w14:textId="77777777" w:rsidR="002907A0" w:rsidRPr="00922031" w:rsidRDefault="002907A0" w:rsidP="002907A0">
      <w:pPr>
        <w:spacing w:after="0" w:line="240" w:lineRule="auto"/>
        <w:rPr>
          <w:rFonts w:cstheme="minorHAnsi"/>
          <w:lang w:eastAsia="hr-HR"/>
        </w:rPr>
      </w:pPr>
    </w:p>
    <w:p w14:paraId="14630AB8" w14:textId="77777777" w:rsidR="002907A0" w:rsidRPr="00922031" w:rsidRDefault="002907A0" w:rsidP="001D03F0">
      <w:pPr>
        <w:pStyle w:val="Heading6"/>
        <w:spacing w:line="240" w:lineRule="auto"/>
        <w:rPr>
          <w:rFonts w:cstheme="minorHAnsi"/>
          <w:lang w:eastAsia="hr-HR"/>
        </w:rPr>
      </w:pPr>
      <w:r w:rsidRPr="00922031">
        <w:rPr>
          <w:rFonts w:cstheme="minorHAnsi"/>
          <w:noProof/>
          <w:lang w:eastAsia="hr-HR"/>
        </w:rPr>
        <w:drawing>
          <wp:inline distT="0" distB="0" distL="0" distR="0" wp14:anchorId="1FC78C6C" wp14:editId="4562D6B0">
            <wp:extent cx="4485736" cy="2501660"/>
            <wp:effectExtent l="0" t="0" r="0"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346741" w14:textId="5845B773" w:rsidR="001D03F0" w:rsidRPr="00291DF5" w:rsidRDefault="00244D74">
      <w:pPr>
        <w:pStyle w:val="Heading6"/>
        <w:rPr>
          <w:rFonts w:cstheme="minorBidi"/>
        </w:rPr>
      </w:pPr>
      <w:bookmarkStart w:id="99" w:name="_Toc4156026"/>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5</w:t>
      </w:r>
      <w:r w:rsidR="00CA6C6C" w:rsidRPr="005808FC">
        <w:fldChar w:fldCharType="end"/>
      </w:r>
      <w:r w:rsidRPr="5886DDC2">
        <w:t xml:space="preserve"> - </w:t>
      </w:r>
      <w:r w:rsidR="002907A0" w:rsidRPr="003E50D1">
        <w:rPr>
          <w:rFonts w:cstheme="minorBidi"/>
        </w:rPr>
        <w:t>Energetska potrošnja po sektorima u 2008. godini</w:t>
      </w:r>
      <w:bookmarkEnd w:id="99"/>
    </w:p>
    <w:p w14:paraId="4295D14E" w14:textId="77777777" w:rsidR="001D03F0" w:rsidRPr="00922031" w:rsidRDefault="001D03F0" w:rsidP="001D03F0">
      <w:pPr>
        <w:spacing w:after="0" w:line="240" w:lineRule="auto"/>
        <w:rPr>
          <w:rFonts w:cstheme="minorHAnsi"/>
          <w:lang w:eastAsia="hr-HR"/>
        </w:rPr>
      </w:pPr>
    </w:p>
    <w:p w14:paraId="6F6BB39D" w14:textId="50CD05BF" w:rsidR="002907A0" w:rsidRPr="005808FC" w:rsidRDefault="002907A0" w:rsidP="005808FC">
      <w:pPr>
        <w:spacing w:after="0" w:line="240" w:lineRule="auto"/>
        <w:rPr>
          <w:lang w:eastAsia="hr-HR"/>
        </w:rPr>
      </w:pPr>
      <w:r w:rsidRPr="003E50D1">
        <w:rPr>
          <w:lang w:eastAsia="hr-HR"/>
        </w:rPr>
        <w:t xml:space="preserve">Na </w:t>
      </w:r>
      <w:r w:rsidR="00FC154F" w:rsidRPr="00291DF5">
        <w:rPr>
          <w:lang w:eastAsia="hr-HR"/>
        </w:rPr>
        <w:t>S</w:t>
      </w:r>
      <w:r w:rsidRPr="005808FC">
        <w:rPr>
          <w:lang w:eastAsia="hr-HR"/>
        </w:rPr>
        <w:t xml:space="preserve">lici </w:t>
      </w:r>
      <w:r w:rsidR="00FC154F" w:rsidRPr="005808FC">
        <w:rPr>
          <w:lang w:eastAsia="hr-HR"/>
        </w:rPr>
        <w:t>4</w:t>
      </w:r>
      <w:r w:rsidRPr="005808FC">
        <w:rPr>
          <w:lang w:eastAsia="hr-HR"/>
        </w:rPr>
        <w:t>.6 dana je raspodjela ukupne energetske potrošnje Grada Zagreba po sektorima</w:t>
      </w:r>
      <w:r w:rsidR="000509A0">
        <w:rPr>
          <w:lang w:eastAsia="hr-HR"/>
        </w:rPr>
        <w:t xml:space="preserve"> i </w:t>
      </w:r>
      <w:r w:rsidRPr="00291DF5">
        <w:rPr>
          <w:lang w:eastAsia="hr-HR"/>
        </w:rPr>
        <w:t xml:space="preserve">energentima. </w:t>
      </w:r>
    </w:p>
    <w:p w14:paraId="11D6883F" w14:textId="77777777" w:rsidR="002907A0" w:rsidRPr="00922031" w:rsidRDefault="002907A0" w:rsidP="002907A0">
      <w:pPr>
        <w:tabs>
          <w:tab w:val="left" w:pos="990"/>
        </w:tabs>
        <w:spacing w:line="240" w:lineRule="auto"/>
        <w:jc w:val="center"/>
        <w:rPr>
          <w:rFonts w:cstheme="minorHAnsi"/>
        </w:rPr>
      </w:pPr>
      <w:r w:rsidRPr="00922031">
        <w:rPr>
          <w:rFonts w:cstheme="minorHAnsi"/>
          <w:noProof/>
          <w:lang w:eastAsia="hr-HR"/>
        </w:rPr>
        <w:t xml:space="preserve"> </w:t>
      </w:r>
      <w:r w:rsidRPr="00922031">
        <w:rPr>
          <w:rFonts w:cstheme="minorHAnsi"/>
          <w:noProof/>
          <w:lang w:eastAsia="hr-HR"/>
        </w:rPr>
        <w:drawing>
          <wp:inline distT="0" distB="0" distL="0" distR="0" wp14:anchorId="7BD2F467" wp14:editId="66F704C8">
            <wp:extent cx="5253487" cy="2898475"/>
            <wp:effectExtent l="0" t="0" r="0" b="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359640" w14:textId="646258C3" w:rsidR="002907A0" w:rsidRPr="00922031" w:rsidRDefault="00244D74" w:rsidP="00244D74">
      <w:pPr>
        <w:pStyle w:val="Heading6"/>
      </w:pPr>
      <w:bookmarkStart w:id="100" w:name="_Toc4156027"/>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6</w:t>
      </w:r>
      <w:r w:rsidR="00CA6C6C" w:rsidRPr="005808FC">
        <w:fldChar w:fldCharType="end"/>
      </w:r>
      <w:r w:rsidRPr="5886DDC2">
        <w:t xml:space="preserve"> - </w:t>
      </w:r>
      <w:r w:rsidR="002907A0" w:rsidRPr="00922031">
        <w:t>Raspodjela ukupne potrošnje energije po sektorima</w:t>
      </w:r>
      <w:r w:rsidR="000509A0">
        <w:t xml:space="preserve"> i </w:t>
      </w:r>
      <w:r w:rsidR="002907A0" w:rsidRPr="00922031">
        <w:t>energentima</w:t>
      </w:r>
      <w:bookmarkEnd w:id="100"/>
    </w:p>
    <w:p w14:paraId="18D20C64" w14:textId="77777777" w:rsidR="002907A0" w:rsidRPr="00922031" w:rsidRDefault="002907A0" w:rsidP="002907A0">
      <w:pPr>
        <w:spacing w:after="0" w:line="240" w:lineRule="auto"/>
        <w:rPr>
          <w:rFonts w:cstheme="minorHAnsi"/>
          <w:lang w:eastAsia="hr-HR"/>
        </w:rPr>
      </w:pPr>
    </w:p>
    <w:p w14:paraId="4D32049C" w14:textId="4C6FE533" w:rsidR="002907A0" w:rsidRPr="005808FC" w:rsidRDefault="002907A0" w:rsidP="005808FC">
      <w:pPr>
        <w:spacing w:after="0" w:line="240" w:lineRule="auto"/>
        <w:rPr>
          <w:lang w:eastAsia="hr-HR"/>
        </w:rPr>
      </w:pPr>
      <w:r w:rsidRPr="003E50D1">
        <w:rPr>
          <w:lang w:eastAsia="hr-HR"/>
        </w:rPr>
        <w:lastRenderedPageBreak/>
        <w:t>Najveći udio (66%) u ukupnoj potrošnji energije ima sektor zgradarstva, nakon kojeg slijedi sektor prometa s 33,4%. Prirodni plin (3</w:t>
      </w:r>
      <w:r w:rsidRPr="00291DF5">
        <w:rPr>
          <w:lang w:eastAsia="hr-HR"/>
        </w:rPr>
        <w:t>157 GWh)</w:t>
      </w:r>
      <w:r w:rsidR="000509A0">
        <w:rPr>
          <w:lang w:eastAsia="hr-HR"/>
        </w:rPr>
        <w:t xml:space="preserve"> i </w:t>
      </w:r>
      <w:r w:rsidRPr="00291DF5">
        <w:rPr>
          <w:lang w:eastAsia="hr-HR"/>
        </w:rPr>
        <w:t>toplinska energija (1910 GWh) su najzastup</w:t>
      </w:r>
      <w:r w:rsidRPr="005808FC">
        <w:rPr>
          <w:lang w:eastAsia="hr-HR"/>
        </w:rPr>
        <w:t>ljeniji energenti sektora zgradarstva, dok se u sektoru prometa najviše troše dizel (2061 GWh)</w:t>
      </w:r>
      <w:r w:rsidR="000509A0">
        <w:rPr>
          <w:lang w:eastAsia="hr-HR"/>
        </w:rPr>
        <w:t xml:space="preserve"> i </w:t>
      </w:r>
      <w:r w:rsidRPr="00291DF5">
        <w:rPr>
          <w:lang w:eastAsia="hr-HR"/>
        </w:rPr>
        <w:t>benzin</w:t>
      </w:r>
      <w:r w:rsidR="00B25B9E" w:rsidRPr="005808FC">
        <w:rPr>
          <w:lang w:eastAsia="hr-HR"/>
        </w:rPr>
        <w:t xml:space="preserve"> </w:t>
      </w:r>
      <w:r w:rsidRPr="005808FC">
        <w:rPr>
          <w:lang w:eastAsia="hr-HR"/>
        </w:rPr>
        <w:t>(1687 GWh).</w:t>
      </w:r>
    </w:p>
    <w:p w14:paraId="5F21321C" w14:textId="47FD1550" w:rsidR="002907A0" w:rsidRPr="007053EB" w:rsidRDefault="002907A0" w:rsidP="007053EB">
      <w:pPr>
        <w:pStyle w:val="Heading3"/>
      </w:pPr>
      <w:bookmarkStart w:id="101" w:name="_Toc4156084"/>
      <w:r w:rsidRPr="007053EB">
        <w:t>Emisije CO</w:t>
      </w:r>
      <w:r w:rsidRPr="007D5E3F">
        <w:rPr>
          <w:vertAlign w:val="subscript"/>
        </w:rPr>
        <w:t>2</w:t>
      </w:r>
      <w:r w:rsidRPr="007053EB">
        <w:t xml:space="preserve"> Grada Zagreba </w:t>
      </w:r>
      <w:r w:rsidR="007053EB">
        <w:t>- Referentni inventar</w:t>
      </w:r>
      <w:bookmarkEnd w:id="101"/>
    </w:p>
    <w:p w14:paraId="018B80B0" w14:textId="6399E5D1" w:rsidR="002907A0" w:rsidRPr="00922031" w:rsidRDefault="002907A0" w:rsidP="005808FC">
      <w:pPr>
        <w:spacing w:after="0" w:line="240" w:lineRule="auto"/>
      </w:pPr>
      <w:r w:rsidRPr="003E50D1">
        <w:t>Referenti inventar emisija CO</w:t>
      </w:r>
      <w:r w:rsidRPr="00291DF5">
        <w:rPr>
          <w:vertAlign w:val="subscript"/>
        </w:rPr>
        <w:t>2</w:t>
      </w:r>
      <w:r w:rsidRPr="005808FC">
        <w:t xml:space="preserve"> Grada Zagreba obuhvaća izravne emisije CO</w:t>
      </w:r>
      <w:r w:rsidRPr="005808FC">
        <w:rPr>
          <w:vertAlign w:val="subscript"/>
        </w:rPr>
        <w:t>2</w:t>
      </w:r>
      <w:r w:rsidRPr="005808FC">
        <w:t xml:space="preserve"> nastale izgaranjem goriva</w:t>
      </w:r>
      <w:r w:rsidR="000509A0">
        <w:t xml:space="preserve"> i </w:t>
      </w:r>
      <w:r w:rsidRPr="00291DF5">
        <w:t>neizravne emisije CO</w:t>
      </w:r>
      <w:r w:rsidRPr="005808FC">
        <w:rPr>
          <w:vertAlign w:val="subscript"/>
        </w:rPr>
        <w:t>2</w:t>
      </w:r>
      <w:r w:rsidRPr="005808FC">
        <w:t xml:space="preserve"> iz potrošnje električne</w:t>
      </w:r>
      <w:r w:rsidR="000509A0">
        <w:t xml:space="preserve"> i </w:t>
      </w:r>
      <w:r w:rsidRPr="00291DF5">
        <w:t>toplinske energije za sektore zgradarstva, prometa</w:t>
      </w:r>
      <w:r w:rsidR="000509A0">
        <w:t xml:space="preserve"> i </w:t>
      </w:r>
      <w:r w:rsidRPr="00291DF5">
        <w:t xml:space="preserve">javne rasvjete. U </w:t>
      </w:r>
      <w:r w:rsidR="00FC154F" w:rsidRPr="005808FC">
        <w:t>T</w:t>
      </w:r>
      <w:r w:rsidRPr="005808FC">
        <w:t xml:space="preserve">ablici </w:t>
      </w:r>
      <w:r w:rsidR="0082211F" w:rsidRPr="005808FC">
        <w:t>4</w:t>
      </w:r>
      <w:r w:rsidRPr="005808FC">
        <w:t>.14 prikazane su emisije CO</w:t>
      </w:r>
      <w:r w:rsidRPr="005808FC">
        <w:rPr>
          <w:vertAlign w:val="subscript"/>
        </w:rPr>
        <w:t xml:space="preserve">2 </w:t>
      </w:r>
      <w:r w:rsidRPr="005808FC">
        <w:t>po sektorima</w:t>
      </w:r>
      <w:r w:rsidR="000509A0">
        <w:t xml:space="preserve"> i </w:t>
      </w:r>
      <w:r w:rsidRPr="00291DF5">
        <w:t xml:space="preserve">energentima. </w:t>
      </w:r>
    </w:p>
    <w:p w14:paraId="6082D09A" w14:textId="77777777" w:rsidR="001D03F0" w:rsidRPr="00922031" w:rsidRDefault="001D03F0" w:rsidP="002907A0">
      <w:pPr>
        <w:spacing w:after="0" w:line="240" w:lineRule="auto"/>
        <w:rPr>
          <w:rFonts w:cstheme="minorHAnsi"/>
          <w:lang w:eastAsia="hr-HR"/>
        </w:rPr>
      </w:pPr>
    </w:p>
    <w:p w14:paraId="5FD49E6D" w14:textId="22127F02" w:rsidR="002907A0" w:rsidRPr="005808FC" w:rsidRDefault="0082211F">
      <w:pPr>
        <w:pStyle w:val="Caption"/>
        <w:rPr>
          <w:rFonts w:asciiTheme="minorHAnsi" w:hAnsiTheme="minorHAnsi" w:cstheme="minorBidi"/>
          <w:lang w:val="it-IT"/>
        </w:rPr>
      </w:pPr>
      <w:bookmarkStart w:id="102" w:name="_Toc4156004"/>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4</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14</w:t>
      </w:r>
      <w:r w:rsidR="0019556A">
        <w:fldChar w:fldCharType="end"/>
      </w:r>
      <w:r w:rsidRPr="005808FC">
        <w:rPr>
          <w:lang w:val="it-IT"/>
        </w:rPr>
        <w:t xml:space="preserve"> - </w:t>
      </w:r>
      <w:r w:rsidR="002907A0" w:rsidRPr="005808FC">
        <w:rPr>
          <w:rFonts w:asciiTheme="minorHAnsi" w:hAnsiTheme="minorHAnsi" w:cstheme="minorBidi"/>
          <w:lang w:val="it-IT"/>
        </w:rPr>
        <w:t>Emisija CO</w:t>
      </w:r>
      <w:r w:rsidR="002907A0" w:rsidRPr="005808FC">
        <w:rPr>
          <w:rFonts w:asciiTheme="minorHAnsi" w:hAnsiTheme="minorHAnsi" w:cstheme="minorBidi"/>
          <w:vertAlign w:val="subscript"/>
          <w:lang w:val="it-IT"/>
        </w:rPr>
        <w:t>2</w:t>
      </w:r>
      <w:r w:rsidR="002907A0" w:rsidRPr="005808FC">
        <w:rPr>
          <w:rFonts w:asciiTheme="minorHAnsi" w:hAnsiTheme="minorHAnsi" w:cstheme="minorBidi"/>
          <w:lang w:val="it-IT"/>
        </w:rPr>
        <w:t xml:space="preserve"> po sektorima</w:t>
      </w:r>
      <w:r w:rsidR="000509A0">
        <w:rPr>
          <w:rFonts w:asciiTheme="minorHAnsi" w:hAnsiTheme="minorHAnsi" w:cstheme="minorBidi"/>
          <w:lang w:val="it-IT"/>
        </w:rPr>
        <w:t xml:space="preserve"> i </w:t>
      </w:r>
      <w:r w:rsidR="002907A0" w:rsidRPr="005808FC">
        <w:rPr>
          <w:rFonts w:asciiTheme="minorHAnsi" w:hAnsiTheme="minorHAnsi" w:cstheme="minorBidi"/>
          <w:lang w:val="it-IT"/>
        </w:rPr>
        <w:t>energentima</w:t>
      </w:r>
      <w:bookmarkEnd w:id="102"/>
    </w:p>
    <w:tbl>
      <w:tblPr>
        <w:tblW w:w="9084" w:type="dxa"/>
        <w:tblInd w:w="96" w:type="dxa"/>
        <w:tblBorders>
          <w:top w:val="single" w:sz="6" w:space="0" w:color="4BACC6"/>
          <w:left w:val="single" w:sz="6" w:space="0" w:color="4BACC6"/>
          <w:bottom w:val="single" w:sz="6" w:space="0" w:color="4BACC6"/>
          <w:right w:val="single" w:sz="6" w:space="0" w:color="4BACC6"/>
          <w:insideH w:val="single" w:sz="6" w:space="0" w:color="4BACC6"/>
          <w:insideV w:val="single" w:sz="6" w:space="0" w:color="4BACC6"/>
        </w:tblBorders>
        <w:tblLayout w:type="fixed"/>
        <w:tblLook w:val="00A0" w:firstRow="1" w:lastRow="0" w:firstColumn="1" w:lastColumn="0" w:noHBand="0" w:noVBand="0"/>
      </w:tblPr>
      <w:tblGrid>
        <w:gridCol w:w="2139"/>
        <w:gridCol w:w="1417"/>
        <w:gridCol w:w="1418"/>
        <w:gridCol w:w="1417"/>
        <w:gridCol w:w="1559"/>
        <w:gridCol w:w="1134"/>
      </w:tblGrid>
      <w:tr w:rsidR="002907A0" w:rsidRPr="00922031" w14:paraId="2CE4229F" w14:textId="77777777" w:rsidTr="005808FC">
        <w:trPr>
          <w:trHeight w:val="227"/>
        </w:trPr>
        <w:tc>
          <w:tcPr>
            <w:tcW w:w="2139" w:type="dxa"/>
            <w:vMerge w:val="restart"/>
            <w:tcBorders>
              <w:top w:val="single" w:sz="8" w:space="0" w:color="auto"/>
              <w:left w:val="single" w:sz="8" w:space="0" w:color="auto"/>
              <w:bottom w:val="single" w:sz="6" w:space="0" w:color="FFFFFF" w:themeColor="background1"/>
              <w:right w:val="single" w:sz="8" w:space="0" w:color="auto"/>
            </w:tcBorders>
            <w:shd w:val="clear" w:color="auto" w:fill="C6D9F1" w:themeFill="text2" w:themeFillTint="33"/>
            <w:noWrap/>
            <w:vAlign w:val="center"/>
          </w:tcPr>
          <w:p w14:paraId="7ACEA82B"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Energent</w:t>
            </w:r>
          </w:p>
        </w:tc>
        <w:tc>
          <w:tcPr>
            <w:tcW w:w="5811" w:type="dxa"/>
            <w:gridSpan w:val="4"/>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bottom"/>
          </w:tcPr>
          <w:p w14:paraId="6516667D"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Emisija t CO</w:t>
            </w:r>
            <w:r w:rsidRPr="00291DF5">
              <w:rPr>
                <w:b/>
                <w:bCs/>
                <w:sz w:val="20"/>
                <w:szCs w:val="20"/>
                <w:vertAlign w:val="subscript"/>
                <w:lang w:eastAsia="hr-HR"/>
              </w:rPr>
              <w:t>2</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bottom"/>
          </w:tcPr>
          <w:p w14:paraId="2766C6C4" w14:textId="77777777" w:rsidR="002907A0" w:rsidRPr="005808FC" w:rsidRDefault="002907A0" w:rsidP="005808FC">
            <w:pPr>
              <w:spacing w:after="0" w:line="240" w:lineRule="auto"/>
              <w:jc w:val="center"/>
              <w:rPr>
                <w:b/>
                <w:bCs/>
                <w:sz w:val="20"/>
                <w:szCs w:val="20"/>
                <w:lang w:eastAsia="hr-HR"/>
              </w:rPr>
            </w:pPr>
            <w:r w:rsidRPr="003E50D1">
              <w:rPr>
                <w:b/>
                <w:bCs/>
                <w:sz w:val="20"/>
                <w:szCs w:val="20"/>
                <w:lang w:eastAsia="hr-HR"/>
              </w:rPr>
              <w:t>%</w:t>
            </w:r>
          </w:p>
        </w:tc>
      </w:tr>
      <w:tr w:rsidR="005808FC" w:rsidRPr="00922031" w14:paraId="6FE33C0C" w14:textId="77777777" w:rsidTr="005808FC">
        <w:trPr>
          <w:trHeight w:val="227"/>
        </w:trPr>
        <w:tc>
          <w:tcPr>
            <w:tcW w:w="2139" w:type="dxa"/>
            <w:vMerge/>
            <w:tcBorders>
              <w:top w:val="single" w:sz="6" w:space="0" w:color="FFFFFF"/>
              <w:left w:val="single" w:sz="8" w:space="0" w:color="auto"/>
              <w:bottom w:val="single" w:sz="8" w:space="0" w:color="auto"/>
              <w:right w:val="single" w:sz="8" w:space="0" w:color="auto"/>
            </w:tcBorders>
            <w:shd w:val="clear" w:color="auto" w:fill="C6D9F1" w:themeFill="text2" w:themeFillTint="33"/>
            <w:vAlign w:val="center"/>
          </w:tcPr>
          <w:p w14:paraId="47110A4C" w14:textId="77777777" w:rsidR="002907A0" w:rsidRPr="00922031" w:rsidRDefault="002907A0" w:rsidP="002907A0">
            <w:pPr>
              <w:spacing w:after="0" w:line="240" w:lineRule="auto"/>
              <w:rPr>
                <w:rFonts w:cstheme="minorHAnsi"/>
                <w:b/>
                <w:sz w:val="20"/>
                <w:lang w:eastAsia="hr-HR"/>
              </w:rPr>
            </w:pPr>
          </w:p>
        </w:tc>
        <w:tc>
          <w:tcPr>
            <w:tcW w:w="1417"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73C4EBF5" w14:textId="77777777" w:rsidR="002907A0" w:rsidRPr="005808FC" w:rsidRDefault="002907A0" w:rsidP="005808FC">
            <w:pPr>
              <w:spacing w:after="0" w:line="240" w:lineRule="auto"/>
              <w:jc w:val="center"/>
              <w:rPr>
                <w:b/>
                <w:bCs/>
                <w:sz w:val="20"/>
                <w:szCs w:val="20"/>
              </w:rPr>
            </w:pPr>
            <w:r w:rsidRPr="003E50D1">
              <w:rPr>
                <w:b/>
                <w:bCs/>
                <w:sz w:val="20"/>
                <w:szCs w:val="20"/>
              </w:rPr>
              <w:t>Promet</w:t>
            </w:r>
          </w:p>
        </w:tc>
        <w:tc>
          <w:tcPr>
            <w:tcW w:w="141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649D1ADA" w14:textId="77777777" w:rsidR="002907A0" w:rsidRPr="005808FC" w:rsidRDefault="002907A0" w:rsidP="005808FC">
            <w:pPr>
              <w:spacing w:after="0" w:line="240" w:lineRule="auto"/>
              <w:jc w:val="center"/>
              <w:rPr>
                <w:b/>
                <w:bCs/>
                <w:sz w:val="20"/>
                <w:szCs w:val="20"/>
              </w:rPr>
            </w:pPr>
            <w:r w:rsidRPr="003E50D1">
              <w:rPr>
                <w:b/>
                <w:bCs/>
                <w:sz w:val="20"/>
                <w:szCs w:val="20"/>
              </w:rPr>
              <w:t>Javna rasvjeta</w:t>
            </w:r>
          </w:p>
        </w:tc>
        <w:tc>
          <w:tcPr>
            <w:tcW w:w="1417"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tcPr>
          <w:p w14:paraId="7A1BF8FB" w14:textId="77777777" w:rsidR="002907A0" w:rsidRPr="005808FC" w:rsidRDefault="002907A0" w:rsidP="005808FC">
            <w:pPr>
              <w:spacing w:after="0" w:line="240" w:lineRule="auto"/>
              <w:jc w:val="center"/>
              <w:rPr>
                <w:b/>
                <w:bCs/>
                <w:sz w:val="20"/>
                <w:szCs w:val="20"/>
              </w:rPr>
            </w:pPr>
            <w:r w:rsidRPr="003E50D1">
              <w:rPr>
                <w:b/>
                <w:bCs/>
                <w:sz w:val="20"/>
                <w:szCs w:val="20"/>
              </w:rPr>
              <w:t>Zgradarstvo</w:t>
            </w:r>
          </w:p>
        </w:tc>
        <w:tc>
          <w:tcPr>
            <w:tcW w:w="1559"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tcPr>
          <w:p w14:paraId="1E2BA295" w14:textId="77777777" w:rsidR="002907A0" w:rsidRPr="005808FC" w:rsidRDefault="002907A0" w:rsidP="005808FC">
            <w:pPr>
              <w:spacing w:after="0" w:line="240" w:lineRule="auto"/>
              <w:jc w:val="center"/>
              <w:rPr>
                <w:b/>
                <w:bCs/>
                <w:sz w:val="20"/>
                <w:szCs w:val="20"/>
              </w:rPr>
            </w:pPr>
            <w:r w:rsidRPr="003E50D1">
              <w:rPr>
                <w:b/>
                <w:bCs/>
                <w:sz w:val="20"/>
                <w:szCs w:val="20"/>
              </w:rPr>
              <w:t>Ukupno po energentima</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0B08E91A" w14:textId="77777777" w:rsidR="002907A0" w:rsidRPr="005808FC" w:rsidRDefault="002907A0" w:rsidP="005808FC">
            <w:pPr>
              <w:spacing w:after="0" w:line="240" w:lineRule="auto"/>
              <w:jc w:val="center"/>
              <w:rPr>
                <w:b/>
                <w:bCs/>
                <w:sz w:val="20"/>
                <w:szCs w:val="20"/>
              </w:rPr>
            </w:pPr>
            <w:r w:rsidRPr="003E50D1">
              <w:rPr>
                <w:b/>
                <w:bCs/>
                <w:sz w:val="20"/>
                <w:szCs w:val="20"/>
              </w:rPr>
              <w:t>Udio po energentima</w:t>
            </w:r>
          </w:p>
        </w:tc>
      </w:tr>
      <w:tr w:rsidR="002907A0" w:rsidRPr="00922031" w14:paraId="677BB42B" w14:textId="77777777" w:rsidTr="005808FC">
        <w:trPr>
          <w:trHeight w:val="227"/>
        </w:trPr>
        <w:tc>
          <w:tcPr>
            <w:tcW w:w="2139" w:type="dxa"/>
            <w:tcBorders>
              <w:top w:val="single" w:sz="8" w:space="0" w:color="auto"/>
              <w:left w:val="single" w:sz="8" w:space="0" w:color="auto"/>
              <w:bottom w:val="single" w:sz="4" w:space="0" w:color="auto"/>
              <w:right w:val="single" w:sz="8" w:space="0" w:color="auto"/>
            </w:tcBorders>
            <w:shd w:val="clear" w:color="auto" w:fill="F2DBDB" w:themeFill="accent2" w:themeFillTint="33"/>
            <w:noWrap/>
            <w:vAlign w:val="bottom"/>
          </w:tcPr>
          <w:p w14:paraId="7B837BA3" w14:textId="77777777" w:rsidR="002907A0" w:rsidRPr="005808FC" w:rsidRDefault="002907A0" w:rsidP="005808FC">
            <w:pPr>
              <w:spacing w:after="0" w:line="240" w:lineRule="auto"/>
              <w:rPr>
                <w:b/>
                <w:bCs/>
                <w:sz w:val="20"/>
                <w:szCs w:val="20"/>
              </w:rPr>
            </w:pPr>
            <w:r w:rsidRPr="003E50D1">
              <w:rPr>
                <w:b/>
                <w:bCs/>
                <w:sz w:val="20"/>
                <w:szCs w:val="20"/>
              </w:rPr>
              <w:t>Dizel</w:t>
            </w:r>
          </w:p>
        </w:tc>
        <w:tc>
          <w:tcPr>
            <w:tcW w:w="141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E2B0FFA" w14:textId="77777777" w:rsidR="002907A0" w:rsidRPr="005808FC" w:rsidRDefault="002907A0" w:rsidP="005808FC">
            <w:pPr>
              <w:spacing w:after="0" w:line="240" w:lineRule="auto"/>
              <w:jc w:val="right"/>
              <w:rPr>
                <w:sz w:val="20"/>
                <w:szCs w:val="20"/>
              </w:rPr>
            </w:pPr>
            <w:r w:rsidRPr="003E50D1">
              <w:rPr>
                <w:sz w:val="20"/>
                <w:szCs w:val="20"/>
              </w:rPr>
              <w:t>545.266,1</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510DC16" w14:textId="77777777" w:rsidR="002907A0" w:rsidRPr="00922031" w:rsidRDefault="002907A0" w:rsidP="002907A0">
            <w:pPr>
              <w:spacing w:after="0" w:line="240" w:lineRule="auto"/>
              <w:jc w:val="right"/>
              <w:rPr>
                <w:rFonts w:cstheme="minorHAnsi"/>
                <w:sz w:val="20"/>
              </w:rPr>
            </w:pPr>
          </w:p>
        </w:tc>
        <w:tc>
          <w:tcPr>
            <w:tcW w:w="141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2D811FC" w14:textId="77777777" w:rsidR="002907A0" w:rsidRPr="00922031" w:rsidRDefault="002907A0" w:rsidP="002907A0">
            <w:pPr>
              <w:spacing w:after="0" w:line="240" w:lineRule="auto"/>
              <w:jc w:val="right"/>
              <w:rPr>
                <w:rFonts w:cstheme="minorHAnsi"/>
                <w:sz w:val="20"/>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636A9CB" w14:textId="77777777" w:rsidR="002907A0" w:rsidRPr="005808FC" w:rsidRDefault="002907A0" w:rsidP="005808FC">
            <w:pPr>
              <w:spacing w:after="0" w:line="240" w:lineRule="auto"/>
              <w:jc w:val="right"/>
              <w:rPr>
                <w:sz w:val="20"/>
                <w:szCs w:val="20"/>
              </w:rPr>
            </w:pPr>
            <w:r w:rsidRPr="003E50D1">
              <w:rPr>
                <w:sz w:val="20"/>
                <w:szCs w:val="20"/>
              </w:rPr>
              <w:t>545.266,1</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tcPr>
          <w:p w14:paraId="6A1CA1E5" w14:textId="77777777" w:rsidR="002907A0" w:rsidRPr="005808FC" w:rsidRDefault="002907A0" w:rsidP="005808FC">
            <w:pPr>
              <w:spacing w:after="0" w:line="240" w:lineRule="auto"/>
              <w:jc w:val="right"/>
              <w:rPr>
                <w:sz w:val="20"/>
                <w:szCs w:val="20"/>
              </w:rPr>
            </w:pPr>
            <w:r w:rsidRPr="003E50D1">
              <w:rPr>
                <w:sz w:val="20"/>
                <w:szCs w:val="20"/>
              </w:rPr>
              <w:t>19,50</w:t>
            </w:r>
          </w:p>
        </w:tc>
      </w:tr>
      <w:tr w:rsidR="002907A0" w:rsidRPr="00922031" w14:paraId="3A21457F"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0FBBB7A1" w14:textId="77777777" w:rsidR="002907A0" w:rsidRPr="005808FC" w:rsidRDefault="002907A0" w:rsidP="005808FC">
            <w:pPr>
              <w:spacing w:after="0" w:line="240" w:lineRule="auto"/>
              <w:rPr>
                <w:b/>
                <w:bCs/>
                <w:sz w:val="20"/>
                <w:szCs w:val="20"/>
              </w:rPr>
            </w:pPr>
            <w:r w:rsidRPr="003E50D1">
              <w:rPr>
                <w:b/>
                <w:bCs/>
                <w:sz w:val="20"/>
                <w:szCs w:val="20"/>
              </w:rPr>
              <w:t>Loživo ulje</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F806572" w14:textId="77777777" w:rsidR="002907A0" w:rsidRPr="00922031" w:rsidRDefault="002907A0" w:rsidP="002907A0">
            <w:pPr>
              <w:spacing w:after="0" w:line="240" w:lineRule="auto"/>
              <w:jc w:val="right"/>
              <w:rPr>
                <w:rFonts w:cstheme="minorHAnsi"/>
                <w:sz w:val="20"/>
              </w:rPr>
            </w:pP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BC0849A"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3ABFF01" w14:textId="77777777" w:rsidR="002907A0" w:rsidRPr="005808FC" w:rsidRDefault="002907A0" w:rsidP="005808FC">
            <w:pPr>
              <w:spacing w:after="0" w:line="240" w:lineRule="auto"/>
              <w:jc w:val="right"/>
              <w:rPr>
                <w:sz w:val="20"/>
                <w:szCs w:val="20"/>
              </w:rPr>
            </w:pPr>
            <w:r w:rsidRPr="003E50D1">
              <w:rPr>
                <w:sz w:val="20"/>
                <w:szCs w:val="20"/>
              </w:rPr>
              <w:t>100 000,2</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862BB55" w14:textId="77777777" w:rsidR="002907A0" w:rsidRPr="005808FC" w:rsidRDefault="002907A0" w:rsidP="005808FC">
            <w:pPr>
              <w:spacing w:after="0" w:line="240" w:lineRule="auto"/>
              <w:jc w:val="right"/>
              <w:rPr>
                <w:sz w:val="20"/>
                <w:szCs w:val="20"/>
              </w:rPr>
            </w:pPr>
            <w:r w:rsidRPr="003E50D1">
              <w:rPr>
                <w:sz w:val="20"/>
                <w:szCs w:val="20"/>
              </w:rPr>
              <w:t>100 000,2</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4EB969EB" w14:textId="77777777" w:rsidR="002907A0" w:rsidRPr="005808FC" w:rsidRDefault="002907A0" w:rsidP="005808FC">
            <w:pPr>
              <w:spacing w:after="0" w:line="240" w:lineRule="auto"/>
              <w:jc w:val="right"/>
              <w:rPr>
                <w:sz w:val="20"/>
                <w:szCs w:val="20"/>
              </w:rPr>
            </w:pPr>
            <w:r w:rsidRPr="003E50D1">
              <w:rPr>
                <w:sz w:val="20"/>
                <w:szCs w:val="20"/>
              </w:rPr>
              <w:t>3,58</w:t>
            </w:r>
          </w:p>
        </w:tc>
      </w:tr>
      <w:tr w:rsidR="002907A0" w:rsidRPr="00922031" w14:paraId="6FE21625"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2973ECE9" w14:textId="77777777" w:rsidR="002907A0" w:rsidRPr="005808FC" w:rsidRDefault="002907A0" w:rsidP="005808FC">
            <w:pPr>
              <w:spacing w:after="0" w:line="240" w:lineRule="auto"/>
              <w:rPr>
                <w:b/>
                <w:bCs/>
                <w:sz w:val="20"/>
                <w:szCs w:val="20"/>
              </w:rPr>
            </w:pPr>
            <w:r w:rsidRPr="003E50D1">
              <w:rPr>
                <w:b/>
                <w:bCs/>
                <w:sz w:val="20"/>
                <w:szCs w:val="20"/>
              </w:rPr>
              <w:t>Motorni benzin</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F545CF7" w14:textId="77777777" w:rsidR="002907A0" w:rsidRPr="005808FC" w:rsidRDefault="002907A0" w:rsidP="005808FC">
            <w:pPr>
              <w:spacing w:after="0" w:line="240" w:lineRule="auto"/>
              <w:jc w:val="right"/>
              <w:rPr>
                <w:sz w:val="20"/>
                <w:szCs w:val="20"/>
              </w:rPr>
            </w:pPr>
            <w:r w:rsidRPr="003E50D1">
              <w:rPr>
                <w:sz w:val="20"/>
                <w:szCs w:val="20"/>
              </w:rPr>
              <w:t>433.828,8</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27F6405"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C2CEA0F" w14:textId="77777777" w:rsidR="002907A0" w:rsidRPr="00922031" w:rsidRDefault="002907A0" w:rsidP="002907A0">
            <w:pPr>
              <w:spacing w:after="0" w:line="240" w:lineRule="auto"/>
              <w:jc w:val="right"/>
              <w:rPr>
                <w:rFonts w:cstheme="minorHAnsi"/>
                <w:sz w:val="20"/>
              </w:rPr>
            </w:pP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21C1DE9" w14:textId="77777777" w:rsidR="002907A0" w:rsidRPr="005808FC" w:rsidRDefault="002907A0" w:rsidP="005808FC">
            <w:pPr>
              <w:spacing w:after="0" w:line="240" w:lineRule="auto"/>
              <w:jc w:val="right"/>
              <w:rPr>
                <w:sz w:val="20"/>
                <w:szCs w:val="20"/>
              </w:rPr>
            </w:pPr>
            <w:r w:rsidRPr="003E50D1">
              <w:rPr>
                <w:sz w:val="20"/>
                <w:szCs w:val="20"/>
              </w:rPr>
              <w:t>433.828,8</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1BB45308" w14:textId="77777777" w:rsidR="002907A0" w:rsidRPr="005808FC" w:rsidRDefault="002907A0" w:rsidP="005808FC">
            <w:pPr>
              <w:spacing w:after="0" w:line="240" w:lineRule="auto"/>
              <w:jc w:val="right"/>
              <w:rPr>
                <w:sz w:val="20"/>
                <w:szCs w:val="20"/>
              </w:rPr>
            </w:pPr>
            <w:r w:rsidRPr="003E50D1">
              <w:rPr>
                <w:sz w:val="20"/>
                <w:szCs w:val="20"/>
              </w:rPr>
              <w:t>15,52</w:t>
            </w:r>
          </w:p>
        </w:tc>
      </w:tr>
      <w:tr w:rsidR="002907A0" w:rsidRPr="00922031" w14:paraId="432CCF5B"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4F788B24" w14:textId="77777777" w:rsidR="002907A0" w:rsidRPr="005808FC" w:rsidRDefault="002907A0" w:rsidP="005808FC">
            <w:pPr>
              <w:spacing w:after="0" w:line="240" w:lineRule="auto"/>
              <w:rPr>
                <w:b/>
                <w:bCs/>
                <w:sz w:val="20"/>
                <w:szCs w:val="20"/>
              </w:rPr>
            </w:pPr>
            <w:r w:rsidRPr="003E50D1">
              <w:rPr>
                <w:b/>
                <w:bCs/>
                <w:sz w:val="20"/>
                <w:szCs w:val="20"/>
              </w:rPr>
              <w:t>Biodizel</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E7ECE1A" w14:textId="77777777" w:rsidR="002907A0" w:rsidRPr="005808FC" w:rsidRDefault="002907A0" w:rsidP="005808FC">
            <w:pPr>
              <w:spacing w:after="0" w:line="240" w:lineRule="auto"/>
              <w:jc w:val="right"/>
              <w:rPr>
                <w:sz w:val="20"/>
                <w:szCs w:val="20"/>
              </w:rPr>
            </w:pPr>
            <w:r w:rsidRPr="003E50D1">
              <w:rPr>
                <w:sz w:val="20"/>
                <w:szCs w:val="20"/>
              </w:rPr>
              <w:t>0,0</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1B5961C"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E4C81C4" w14:textId="77777777" w:rsidR="002907A0" w:rsidRPr="00922031" w:rsidRDefault="002907A0" w:rsidP="002907A0">
            <w:pPr>
              <w:spacing w:after="0" w:line="240" w:lineRule="auto"/>
              <w:jc w:val="right"/>
              <w:rPr>
                <w:rFonts w:cstheme="minorHAnsi"/>
                <w:sz w:val="20"/>
              </w:rPr>
            </w:pP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81B34FE" w14:textId="77777777" w:rsidR="002907A0" w:rsidRPr="005808FC" w:rsidRDefault="002907A0" w:rsidP="005808FC">
            <w:pPr>
              <w:spacing w:after="0" w:line="240" w:lineRule="auto"/>
              <w:jc w:val="right"/>
              <w:rPr>
                <w:sz w:val="20"/>
                <w:szCs w:val="20"/>
              </w:rPr>
            </w:pPr>
            <w:r w:rsidRPr="003E50D1">
              <w:rPr>
                <w:sz w:val="20"/>
                <w:szCs w:val="20"/>
              </w:rPr>
              <w:t>0,0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16CCA042" w14:textId="77777777" w:rsidR="002907A0" w:rsidRPr="005808FC" w:rsidRDefault="002907A0" w:rsidP="005808FC">
            <w:pPr>
              <w:spacing w:after="0" w:line="240" w:lineRule="auto"/>
              <w:jc w:val="right"/>
              <w:rPr>
                <w:sz w:val="20"/>
                <w:szCs w:val="20"/>
              </w:rPr>
            </w:pPr>
            <w:r w:rsidRPr="003E50D1">
              <w:rPr>
                <w:sz w:val="20"/>
                <w:szCs w:val="20"/>
              </w:rPr>
              <w:t>0,00</w:t>
            </w:r>
          </w:p>
        </w:tc>
      </w:tr>
      <w:tr w:rsidR="002907A0" w:rsidRPr="00922031" w14:paraId="7FC08063"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291BA58F" w14:textId="77777777" w:rsidR="002907A0" w:rsidRPr="005808FC" w:rsidRDefault="002907A0" w:rsidP="005808FC">
            <w:pPr>
              <w:spacing w:after="0" w:line="240" w:lineRule="auto"/>
              <w:rPr>
                <w:b/>
                <w:bCs/>
                <w:sz w:val="20"/>
                <w:szCs w:val="20"/>
              </w:rPr>
            </w:pPr>
            <w:r w:rsidRPr="003E50D1">
              <w:rPr>
                <w:b/>
                <w:bCs/>
                <w:sz w:val="20"/>
                <w:szCs w:val="20"/>
              </w:rPr>
              <w:t>UNP</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4AB2E13" w14:textId="77777777" w:rsidR="002907A0" w:rsidRPr="005808FC" w:rsidRDefault="002907A0" w:rsidP="005808FC">
            <w:pPr>
              <w:spacing w:after="0" w:line="240" w:lineRule="auto"/>
              <w:jc w:val="right"/>
              <w:rPr>
                <w:sz w:val="20"/>
                <w:szCs w:val="20"/>
              </w:rPr>
            </w:pPr>
            <w:r w:rsidRPr="003E50D1">
              <w:rPr>
                <w:sz w:val="20"/>
                <w:szCs w:val="20"/>
              </w:rPr>
              <w:t>8.391,0</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613618C"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0921F1C" w14:textId="77777777" w:rsidR="002907A0" w:rsidRPr="005808FC" w:rsidRDefault="002907A0" w:rsidP="005808FC">
            <w:pPr>
              <w:spacing w:after="0" w:line="240" w:lineRule="auto"/>
              <w:jc w:val="right"/>
              <w:rPr>
                <w:sz w:val="20"/>
                <w:szCs w:val="20"/>
              </w:rPr>
            </w:pPr>
            <w:r w:rsidRPr="003E50D1">
              <w:rPr>
                <w:sz w:val="20"/>
                <w:szCs w:val="20"/>
              </w:rPr>
              <w:t>58,0</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0C05A8D" w14:textId="77777777" w:rsidR="002907A0" w:rsidRPr="005808FC" w:rsidRDefault="002907A0" w:rsidP="005808FC">
            <w:pPr>
              <w:spacing w:after="0" w:line="240" w:lineRule="auto"/>
              <w:jc w:val="right"/>
              <w:rPr>
                <w:sz w:val="20"/>
                <w:szCs w:val="20"/>
              </w:rPr>
            </w:pPr>
            <w:r w:rsidRPr="003E50D1">
              <w:rPr>
                <w:sz w:val="20"/>
                <w:szCs w:val="20"/>
              </w:rPr>
              <w:t>8.449,0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2E5EA3D9" w14:textId="77777777" w:rsidR="002907A0" w:rsidRPr="005808FC" w:rsidRDefault="002907A0" w:rsidP="005808FC">
            <w:pPr>
              <w:spacing w:after="0" w:line="240" w:lineRule="auto"/>
              <w:jc w:val="right"/>
              <w:rPr>
                <w:sz w:val="20"/>
                <w:szCs w:val="20"/>
              </w:rPr>
            </w:pPr>
            <w:r w:rsidRPr="003E50D1">
              <w:rPr>
                <w:sz w:val="20"/>
                <w:szCs w:val="20"/>
              </w:rPr>
              <w:t>0,30</w:t>
            </w:r>
          </w:p>
        </w:tc>
      </w:tr>
      <w:tr w:rsidR="002907A0" w:rsidRPr="00922031" w14:paraId="7055382A"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170A5DE3" w14:textId="77777777" w:rsidR="002907A0" w:rsidRPr="005808FC" w:rsidRDefault="002907A0" w:rsidP="005808FC">
            <w:pPr>
              <w:spacing w:after="0" w:line="240" w:lineRule="auto"/>
              <w:rPr>
                <w:b/>
                <w:bCs/>
                <w:sz w:val="20"/>
                <w:szCs w:val="20"/>
              </w:rPr>
            </w:pPr>
            <w:r w:rsidRPr="003E50D1">
              <w:rPr>
                <w:b/>
                <w:bCs/>
                <w:sz w:val="20"/>
                <w:szCs w:val="20"/>
              </w:rPr>
              <w:t>Prirodni plin</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3C09420" w14:textId="77777777" w:rsidR="002907A0" w:rsidRPr="005808FC" w:rsidRDefault="002907A0" w:rsidP="005808FC">
            <w:pPr>
              <w:spacing w:after="0" w:line="240" w:lineRule="auto"/>
              <w:jc w:val="right"/>
              <w:rPr>
                <w:sz w:val="20"/>
                <w:szCs w:val="20"/>
              </w:rPr>
            </w:pPr>
            <w:r w:rsidRPr="003E50D1">
              <w:rPr>
                <w:sz w:val="20"/>
                <w:szCs w:val="20"/>
              </w:rPr>
              <w:t>90,1</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DFF4E1E" w14:textId="77777777" w:rsidR="002907A0" w:rsidRPr="005808FC" w:rsidRDefault="002907A0" w:rsidP="005808FC">
            <w:pPr>
              <w:spacing w:after="0" w:line="240" w:lineRule="auto"/>
              <w:jc w:val="right"/>
              <w:rPr>
                <w:sz w:val="20"/>
                <w:szCs w:val="20"/>
              </w:rPr>
            </w:pPr>
            <w:r w:rsidRPr="003E50D1">
              <w:rPr>
                <w:sz w:val="20"/>
                <w:szCs w:val="20"/>
              </w:rPr>
              <w:t>73,3</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649B1C" w14:textId="77777777" w:rsidR="002907A0" w:rsidRPr="005808FC" w:rsidRDefault="002907A0" w:rsidP="005808FC">
            <w:pPr>
              <w:spacing w:after="0" w:line="240" w:lineRule="auto"/>
              <w:jc w:val="right"/>
              <w:rPr>
                <w:sz w:val="20"/>
                <w:szCs w:val="20"/>
              </w:rPr>
            </w:pPr>
            <w:r w:rsidRPr="003E50D1">
              <w:rPr>
                <w:sz w:val="20"/>
                <w:szCs w:val="20"/>
              </w:rPr>
              <w:t>634.049,2</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C9F3C38" w14:textId="77777777" w:rsidR="002907A0" w:rsidRPr="005808FC" w:rsidRDefault="002907A0" w:rsidP="005808FC">
            <w:pPr>
              <w:spacing w:after="0" w:line="240" w:lineRule="auto"/>
              <w:jc w:val="right"/>
              <w:rPr>
                <w:sz w:val="20"/>
                <w:szCs w:val="20"/>
              </w:rPr>
            </w:pPr>
            <w:r w:rsidRPr="003E50D1">
              <w:rPr>
                <w:sz w:val="20"/>
                <w:szCs w:val="20"/>
              </w:rPr>
              <w:t>634.212,5</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73D5E8E9" w14:textId="77777777" w:rsidR="002907A0" w:rsidRPr="005808FC" w:rsidRDefault="002907A0" w:rsidP="005808FC">
            <w:pPr>
              <w:spacing w:after="0" w:line="240" w:lineRule="auto"/>
              <w:jc w:val="right"/>
              <w:rPr>
                <w:sz w:val="20"/>
                <w:szCs w:val="20"/>
              </w:rPr>
            </w:pPr>
            <w:r w:rsidRPr="003E50D1">
              <w:rPr>
                <w:sz w:val="20"/>
                <w:szCs w:val="20"/>
              </w:rPr>
              <w:t>22,68</w:t>
            </w:r>
          </w:p>
        </w:tc>
      </w:tr>
      <w:tr w:rsidR="002907A0" w:rsidRPr="00922031" w14:paraId="074D72DB"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1058977A" w14:textId="77777777" w:rsidR="002907A0" w:rsidRPr="005808FC" w:rsidRDefault="002907A0" w:rsidP="005808FC">
            <w:pPr>
              <w:spacing w:after="0" w:line="240" w:lineRule="auto"/>
              <w:rPr>
                <w:b/>
                <w:bCs/>
                <w:sz w:val="20"/>
                <w:szCs w:val="20"/>
              </w:rPr>
            </w:pPr>
            <w:r w:rsidRPr="003E50D1">
              <w:rPr>
                <w:b/>
                <w:bCs/>
                <w:sz w:val="20"/>
                <w:szCs w:val="20"/>
              </w:rPr>
              <w:t>Ogrjevno drvo</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1B7CC4F" w14:textId="77777777" w:rsidR="002907A0" w:rsidRPr="00922031" w:rsidRDefault="002907A0" w:rsidP="002907A0">
            <w:pPr>
              <w:spacing w:after="0" w:line="240" w:lineRule="auto"/>
              <w:jc w:val="right"/>
              <w:rPr>
                <w:rFonts w:cstheme="minorHAnsi"/>
                <w:sz w:val="20"/>
              </w:rPr>
            </w:pP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325B3E2"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872E65B" w14:textId="77777777" w:rsidR="002907A0" w:rsidRPr="005808FC" w:rsidRDefault="002907A0" w:rsidP="005808FC">
            <w:pPr>
              <w:spacing w:after="0" w:line="240" w:lineRule="auto"/>
              <w:jc w:val="right"/>
              <w:rPr>
                <w:sz w:val="20"/>
                <w:szCs w:val="20"/>
              </w:rPr>
            </w:pPr>
            <w:r w:rsidRPr="003E50D1">
              <w:rPr>
                <w:sz w:val="20"/>
                <w:szCs w:val="20"/>
              </w:rPr>
              <w:t>0,0</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AFBF146" w14:textId="77777777" w:rsidR="002907A0" w:rsidRPr="005808FC" w:rsidRDefault="002907A0" w:rsidP="005808FC">
            <w:pPr>
              <w:spacing w:after="0" w:line="240" w:lineRule="auto"/>
              <w:jc w:val="right"/>
              <w:rPr>
                <w:sz w:val="20"/>
                <w:szCs w:val="20"/>
              </w:rPr>
            </w:pPr>
            <w:r w:rsidRPr="003E50D1">
              <w:rPr>
                <w:sz w:val="20"/>
                <w:szCs w:val="20"/>
              </w:rPr>
              <w:t>0,0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6E63D774" w14:textId="77777777" w:rsidR="002907A0" w:rsidRPr="005808FC" w:rsidRDefault="002907A0" w:rsidP="005808FC">
            <w:pPr>
              <w:spacing w:after="0" w:line="240" w:lineRule="auto"/>
              <w:jc w:val="right"/>
              <w:rPr>
                <w:sz w:val="20"/>
                <w:szCs w:val="20"/>
              </w:rPr>
            </w:pPr>
            <w:r w:rsidRPr="003E50D1">
              <w:rPr>
                <w:sz w:val="20"/>
                <w:szCs w:val="20"/>
              </w:rPr>
              <w:t>0,00</w:t>
            </w:r>
          </w:p>
        </w:tc>
      </w:tr>
      <w:tr w:rsidR="002907A0" w:rsidRPr="00922031" w14:paraId="0F7BCC8D" w14:textId="77777777" w:rsidTr="005808FC">
        <w:trPr>
          <w:trHeight w:val="227"/>
        </w:trPr>
        <w:tc>
          <w:tcPr>
            <w:tcW w:w="2139" w:type="dxa"/>
            <w:tcBorders>
              <w:top w:val="single" w:sz="4" w:space="0" w:color="auto"/>
              <w:left w:val="single" w:sz="8" w:space="0" w:color="auto"/>
              <w:bottom w:val="single" w:sz="4" w:space="0" w:color="auto"/>
              <w:right w:val="single" w:sz="8" w:space="0" w:color="auto"/>
            </w:tcBorders>
            <w:shd w:val="clear" w:color="auto" w:fill="F2DBDB" w:themeFill="accent2" w:themeFillTint="33"/>
            <w:noWrap/>
            <w:vAlign w:val="bottom"/>
          </w:tcPr>
          <w:p w14:paraId="413BFCD2" w14:textId="77777777" w:rsidR="002907A0" w:rsidRPr="005808FC" w:rsidRDefault="002907A0" w:rsidP="005808FC">
            <w:pPr>
              <w:spacing w:after="0" w:line="240" w:lineRule="auto"/>
              <w:rPr>
                <w:b/>
                <w:bCs/>
                <w:sz w:val="20"/>
                <w:szCs w:val="20"/>
              </w:rPr>
            </w:pPr>
            <w:r w:rsidRPr="003E50D1">
              <w:rPr>
                <w:b/>
                <w:bCs/>
                <w:sz w:val="20"/>
                <w:szCs w:val="20"/>
              </w:rPr>
              <w:t>Električna energija</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55EE625" w14:textId="77777777" w:rsidR="002907A0" w:rsidRPr="005808FC" w:rsidRDefault="002907A0" w:rsidP="005808FC">
            <w:pPr>
              <w:spacing w:after="0" w:line="240" w:lineRule="auto"/>
              <w:jc w:val="right"/>
              <w:rPr>
                <w:sz w:val="20"/>
                <w:szCs w:val="20"/>
              </w:rPr>
            </w:pPr>
            <w:r w:rsidRPr="003E50D1">
              <w:rPr>
                <w:sz w:val="20"/>
                <w:szCs w:val="20"/>
              </w:rPr>
              <w:t>19.867,1</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4AFFBD3" w14:textId="77777777" w:rsidR="002907A0" w:rsidRPr="005808FC" w:rsidRDefault="002907A0" w:rsidP="005808FC">
            <w:pPr>
              <w:spacing w:after="0" w:line="240" w:lineRule="auto"/>
              <w:jc w:val="right"/>
              <w:rPr>
                <w:sz w:val="20"/>
                <w:szCs w:val="20"/>
              </w:rPr>
            </w:pPr>
            <w:r w:rsidRPr="003E50D1">
              <w:rPr>
                <w:sz w:val="20"/>
                <w:szCs w:val="20"/>
              </w:rPr>
              <w:t>29.102,3</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E5C9416" w14:textId="77777777" w:rsidR="002907A0" w:rsidRPr="005808FC" w:rsidRDefault="002907A0" w:rsidP="005808FC">
            <w:pPr>
              <w:spacing w:after="0" w:line="240" w:lineRule="auto"/>
              <w:jc w:val="right"/>
              <w:rPr>
                <w:sz w:val="20"/>
                <w:szCs w:val="20"/>
              </w:rPr>
            </w:pPr>
            <w:r w:rsidRPr="003E50D1">
              <w:rPr>
                <w:sz w:val="20"/>
                <w:szCs w:val="20"/>
              </w:rPr>
              <w:t>559.639,7</w:t>
            </w:r>
          </w:p>
        </w:tc>
        <w:tc>
          <w:tcPr>
            <w:tcW w:w="155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0A9DFF2" w14:textId="77777777" w:rsidR="002907A0" w:rsidRPr="005808FC" w:rsidRDefault="002907A0" w:rsidP="005808FC">
            <w:pPr>
              <w:spacing w:after="0" w:line="240" w:lineRule="auto"/>
              <w:jc w:val="right"/>
              <w:rPr>
                <w:sz w:val="20"/>
                <w:szCs w:val="20"/>
              </w:rPr>
            </w:pPr>
            <w:r w:rsidRPr="003E50D1">
              <w:rPr>
                <w:sz w:val="20"/>
                <w:szCs w:val="20"/>
              </w:rPr>
              <w:t>608.609,1</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bottom"/>
          </w:tcPr>
          <w:p w14:paraId="1000F320" w14:textId="77777777" w:rsidR="002907A0" w:rsidRPr="005808FC" w:rsidRDefault="002907A0" w:rsidP="005808FC">
            <w:pPr>
              <w:spacing w:after="0" w:line="240" w:lineRule="auto"/>
              <w:jc w:val="right"/>
              <w:rPr>
                <w:sz w:val="20"/>
                <w:szCs w:val="20"/>
              </w:rPr>
            </w:pPr>
            <w:r w:rsidRPr="003E50D1">
              <w:rPr>
                <w:sz w:val="20"/>
                <w:szCs w:val="20"/>
              </w:rPr>
              <w:t>21,77</w:t>
            </w:r>
          </w:p>
        </w:tc>
      </w:tr>
      <w:tr w:rsidR="002907A0" w:rsidRPr="00922031" w14:paraId="4AC89A88" w14:textId="77777777" w:rsidTr="005808FC">
        <w:trPr>
          <w:trHeight w:val="227"/>
        </w:trPr>
        <w:tc>
          <w:tcPr>
            <w:tcW w:w="2139" w:type="dxa"/>
            <w:tcBorders>
              <w:top w:val="single" w:sz="4" w:space="0" w:color="auto"/>
              <w:left w:val="single" w:sz="8" w:space="0" w:color="auto"/>
              <w:bottom w:val="single" w:sz="8" w:space="0" w:color="auto"/>
              <w:right w:val="single" w:sz="8" w:space="0" w:color="auto"/>
            </w:tcBorders>
            <w:shd w:val="clear" w:color="auto" w:fill="F2DBDB" w:themeFill="accent2" w:themeFillTint="33"/>
            <w:noWrap/>
            <w:vAlign w:val="bottom"/>
          </w:tcPr>
          <w:p w14:paraId="1B62E580" w14:textId="77777777" w:rsidR="002907A0" w:rsidRPr="005808FC" w:rsidRDefault="002907A0" w:rsidP="005808FC">
            <w:pPr>
              <w:spacing w:after="0" w:line="240" w:lineRule="auto"/>
              <w:rPr>
                <w:b/>
                <w:bCs/>
                <w:sz w:val="20"/>
                <w:szCs w:val="20"/>
              </w:rPr>
            </w:pPr>
            <w:r w:rsidRPr="003E50D1">
              <w:rPr>
                <w:b/>
                <w:bCs/>
                <w:sz w:val="20"/>
                <w:szCs w:val="20"/>
              </w:rPr>
              <w:t>Toplina</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C0B1809" w14:textId="77777777" w:rsidR="002907A0" w:rsidRPr="00922031" w:rsidRDefault="002907A0" w:rsidP="002907A0">
            <w:pPr>
              <w:spacing w:after="0" w:line="240" w:lineRule="auto"/>
              <w:jc w:val="right"/>
              <w:rPr>
                <w:rFonts w:cstheme="minorHAnsi"/>
                <w:sz w:val="20"/>
              </w:rPr>
            </w:pP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0A5D9C4" w14:textId="77777777" w:rsidR="002907A0" w:rsidRPr="00922031" w:rsidRDefault="002907A0" w:rsidP="002907A0">
            <w:pPr>
              <w:spacing w:after="0" w:line="240" w:lineRule="auto"/>
              <w:jc w:val="right"/>
              <w:rPr>
                <w:rFonts w:cstheme="minorHAnsi"/>
                <w:sz w:val="20"/>
              </w:rPr>
            </w:pP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59FF0BF" w14:textId="77777777" w:rsidR="002907A0" w:rsidRPr="005808FC" w:rsidRDefault="002907A0" w:rsidP="005808FC">
            <w:pPr>
              <w:spacing w:after="0" w:line="240" w:lineRule="auto"/>
              <w:jc w:val="right"/>
              <w:rPr>
                <w:sz w:val="20"/>
                <w:szCs w:val="20"/>
              </w:rPr>
            </w:pPr>
            <w:r w:rsidRPr="003E50D1">
              <w:rPr>
                <w:sz w:val="20"/>
                <w:szCs w:val="20"/>
              </w:rPr>
              <w:t>465.685,2</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3E3A03D" w14:textId="77777777" w:rsidR="002907A0" w:rsidRPr="005808FC" w:rsidRDefault="002907A0" w:rsidP="005808FC">
            <w:pPr>
              <w:spacing w:after="0" w:line="240" w:lineRule="auto"/>
              <w:jc w:val="right"/>
              <w:rPr>
                <w:sz w:val="20"/>
                <w:szCs w:val="20"/>
              </w:rPr>
            </w:pPr>
            <w:r w:rsidRPr="003E50D1">
              <w:rPr>
                <w:sz w:val="20"/>
                <w:szCs w:val="20"/>
              </w:rPr>
              <w:t>465.685,2</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bottom"/>
          </w:tcPr>
          <w:p w14:paraId="6E86F742" w14:textId="77777777" w:rsidR="002907A0" w:rsidRPr="005808FC" w:rsidRDefault="002907A0" w:rsidP="005808FC">
            <w:pPr>
              <w:spacing w:after="0" w:line="240" w:lineRule="auto"/>
              <w:jc w:val="right"/>
              <w:rPr>
                <w:sz w:val="20"/>
                <w:szCs w:val="20"/>
              </w:rPr>
            </w:pPr>
            <w:r w:rsidRPr="003E50D1">
              <w:rPr>
                <w:sz w:val="20"/>
                <w:szCs w:val="20"/>
              </w:rPr>
              <w:t>16,66</w:t>
            </w:r>
          </w:p>
        </w:tc>
      </w:tr>
      <w:tr w:rsidR="002907A0" w:rsidRPr="00922031" w14:paraId="27CD4D1A" w14:textId="77777777" w:rsidTr="005808FC">
        <w:trPr>
          <w:trHeight w:val="227"/>
        </w:trPr>
        <w:tc>
          <w:tcPr>
            <w:tcW w:w="2139" w:type="dxa"/>
            <w:tcBorders>
              <w:top w:val="single" w:sz="8" w:space="0" w:color="auto"/>
              <w:left w:val="single" w:sz="8" w:space="0" w:color="auto"/>
              <w:bottom w:val="single" w:sz="8" w:space="0" w:color="auto"/>
              <w:right w:val="single" w:sz="8" w:space="0" w:color="auto"/>
            </w:tcBorders>
            <w:shd w:val="clear" w:color="auto" w:fill="F2DBDB" w:themeFill="accent2" w:themeFillTint="33"/>
            <w:noWrap/>
            <w:vAlign w:val="center"/>
          </w:tcPr>
          <w:p w14:paraId="0CDD417B" w14:textId="77777777" w:rsidR="002907A0" w:rsidRPr="005808FC" w:rsidRDefault="002907A0" w:rsidP="005808FC">
            <w:pPr>
              <w:spacing w:after="0" w:line="240" w:lineRule="auto"/>
              <w:jc w:val="center"/>
              <w:rPr>
                <w:b/>
                <w:bCs/>
                <w:sz w:val="20"/>
                <w:szCs w:val="20"/>
              </w:rPr>
            </w:pPr>
            <w:r w:rsidRPr="003E50D1">
              <w:rPr>
                <w:b/>
                <w:bCs/>
                <w:sz w:val="20"/>
                <w:szCs w:val="20"/>
              </w:rPr>
              <w:t>UKUPNO</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25B8A5" w14:textId="77777777" w:rsidR="002907A0" w:rsidRPr="005808FC" w:rsidRDefault="002907A0" w:rsidP="005808FC">
            <w:pPr>
              <w:spacing w:after="0" w:line="240" w:lineRule="auto"/>
              <w:jc w:val="right"/>
              <w:rPr>
                <w:b/>
                <w:bCs/>
                <w:sz w:val="20"/>
                <w:szCs w:val="20"/>
              </w:rPr>
            </w:pPr>
            <w:r w:rsidRPr="003E50D1">
              <w:rPr>
                <w:b/>
                <w:bCs/>
                <w:sz w:val="20"/>
                <w:szCs w:val="20"/>
              </w:rPr>
              <w:t>1.007.443,1</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2944D2" w14:textId="77777777" w:rsidR="002907A0" w:rsidRPr="005808FC" w:rsidRDefault="002907A0" w:rsidP="005808FC">
            <w:pPr>
              <w:spacing w:after="0" w:line="240" w:lineRule="auto"/>
              <w:jc w:val="right"/>
              <w:rPr>
                <w:b/>
                <w:bCs/>
                <w:sz w:val="20"/>
                <w:szCs w:val="20"/>
              </w:rPr>
            </w:pPr>
            <w:r w:rsidRPr="003E50D1">
              <w:rPr>
                <w:b/>
                <w:bCs/>
                <w:sz w:val="20"/>
                <w:szCs w:val="20"/>
              </w:rPr>
              <w:t>29.175,6</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B41EC95" w14:textId="77777777" w:rsidR="002907A0" w:rsidRPr="005808FC" w:rsidRDefault="002907A0" w:rsidP="005808FC">
            <w:pPr>
              <w:spacing w:after="0" w:line="240" w:lineRule="auto"/>
              <w:jc w:val="right"/>
              <w:rPr>
                <w:b/>
                <w:bCs/>
                <w:sz w:val="20"/>
                <w:szCs w:val="20"/>
              </w:rPr>
            </w:pPr>
            <w:r w:rsidRPr="003E50D1">
              <w:rPr>
                <w:b/>
                <w:bCs/>
                <w:sz w:val="20"/>
                <w:szCs w:val="20"/>
              </w:rPr>
              <w:t>1 759 432,3</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B1DBDC3" w14:textId="77777777" w:rsidR="002907A0" w:rsidRPr="005808FC" w:rsidRDefault="002907A0" w:rsidP="005808FC">
            <w:pPr>
              <w:spacing w:after="0" w:line="240" w:lineRule="auto"/>
              <w:jc w:val="right"/>
              <w:rPr>
                <w:b/>
                <w:bCs/>
                <w:sz w:val="20"/>
                <w:szCs w:val="20"/>
              </w:rPr>
            </w:pPr>
            <w:r w:rsidRPr="003E50D1">
              <w:rPr>
                <w:b/>
                <w:bCs/>
                <w:sz w:val="20"/>
                <w:szCs w:val="20"/>
              </w:rPr>
              <w:t>2.796.050,9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4F05AD11" w14:textId="77777777" w:rsidR="002907A0" w:rsidRPr="005808FC" w:rsidRDefault="002907A0" w:rsidP="005808FC">
            <w:pPr>
              <w:spacing w:after="0" w:line="240" w:lineRule="auto"/>
              <w:jc w:val="right"/>
              <w:rPr>
                <w:b/>
                <w:bCs/>
                <w:sz w:val="20"/>
                <w:szCs w:val="20"/>
              </w:rPr>
            </w:pPr>
            <w:r w:rsidRPr="003E50D1">
              <w:rPr>
                <w:b/>
                <w:bCs/>
                <w:sz w:val="20"/>
                <w:szCs w:val="20"/>
              </w:rPr>
              <w:t>100,00</w:t>
            </w:r>
          </w:p>
        </w:tc>
      </w:tr>
      <w:tr w:rsidR="002907A0" w:rsidRPr="00922031" w14:paraId="3D2E0A93" w14:textId="77777777" w:rsidTr="005808FC">
        <w:trPr>
          <w:trHeight w:val="227"/>
        </w:trPr>
        <w:tc>
          <w:tcPr>
            <w:tcW w:w="2139" w:type="dxa"/>
            <w:tcBorders>
              <w:top w:val="single" w:sz="8" w:space="0" w:color="auto"/>
              <w:left w:val="single" w:sz="8" w:space="0" w:color="auto"/>
              <w:bottom w:val="single" w:sz="8" w:space="0" w:color="auto"/>
              <w:right w:val="single" w:sz="8" w:space="0" w:color="auto"/>
            </w:tcBorders>
            <w:shd w:val="clear" w:color="auto" w:fill="F2DBDB" w:themeFill="accent2" w:themeFillTint="33"/>
            <w:noWrap/>
            <w:vAlign w:val="center"/>
          </w:tcPr>
          <w:p w14:paraId="0A13B5D1" w14:textId="3A9F41C6" w:rsidR="002907A0" w:rsidRPr="005808FC" w:rsidRDefault="002907A0" w:rsidP="005808FC">
            <w:pPr>
              <w:spacing w:after="0" w:line="240" w:lineRule="auto"/>
              <w:jc w:val="center"/>
              <w:rPr>
                <w:b/>
                <w:bCs/>
                <w:sz w:val="20"/>
                <w:szCs w:val="20"/>
              </w:rPr>
            </w:pPr>
            <w:r w:rsidRPr="003E50D1">
              <w:rPr>
                <w:b/>
                <w:bCs/>
                <w:sz w:val="20"/>
                <w:szCs w:val="20"/>
              </w:rPr>
              <w:t>Udio pojedinog sektora,</w:t>
            </w:r>
            <w:r w:rsidR="000509A0">
              <w:rPr>
                <w:b/>
                <w:bCs/>
                <w:sz w:val="20"/>
                <w:szCs w:val="20"/>
              </w:rPr>
              <w: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32BE76" w14:textId="77777777" w:rsidR="002907A0" w:rsidRPr="005808FC" w:rsidRDefault="002907A0" w:rsidP="005808FC">
            <w:pPr>
              <w:spacing w:after="0" w:line="240" w:lineRule="auto"/>
              <w:jc w:val="right"/>
              <w:rPr>
                <w:b/>
                <w:bCs/>
                <w:sz w:val="20"/>
                <w:szCs w:val="20"/>
              </w:rPr>
            </w:pPr>
            <w:r w:rsidRPr="003E50D1">
              <w:rPr>
                <w:b/>
                <w:bCs/>
                <w:sz w:val="20"/>
                <w:szCs w:val="20"/>
              </w:rPr>
              <w:t>36,03</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C17CCD" w14:textId="77777777" w:rsidR="002907A0" w:rsidRPr="005808FC" w:rsidRDefault="002907A0" w:rsidP="005808FC">
            <w:pPr>
              <w:spacing w:after="0" w:line="240" w:lineRule="auto"/>
              <w:jc w:val="right"/>
              <w:rPr>
                <w:b/>
                <w:bCs/>
                <w:sz w:val="20"/>
                <w:szCs w:val="20"/>
              </w:rPr>
            </w:pPr>
            <w:r w:rsidRPr="003E50D1">
              <w:rPr>
                <w:b/>
                <w:bCs/>
                <w:sz w:val="20"/>
                <w:szCs w:val="20"/>
              </w:rPr>
              <w:t>1,04</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DD8655" w14:textId="77777777" w:rsidR="002907A0" w:rsidRPr="005808FC" w:rsidRDefault="002907A0" w:rsidP="005808FC">
            <w:pPr>
              <w:spacing w:after="0" w:line="240" w:lineRule="auto"/>
              <w:jc w:val="right"/>
              <w:rPr>
                <w:b/>
                <w:bCs/>
                <w:sz w:val="20"/>
                <w:szCs w:val="20"/>
              </w:rPr>
            </w:pPr>
            <w:r w:rsidRPr="003E50D1">
              <w:rPr>
                <w:b/>
                <w:bCs/>
                <w:sz w:val="20"/>
                <w:szCs w:val="20"/>
              </w:rPr>
              <w:t>62,93</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775E1E" w14:textId="77777777" w:rsidR="002907A0" w:rsidRPr="005808FC" w:rsidRDefault="002907A0" w:rsidP="005808FC">
            <w:pPr>
              <w:spacing w:after="0" w:line="240" w:lineRule="auto"/>
              <w:jc w:val="right"/>
              <w:rPr>
                <w:b/>
                <w:bCs/>
                <w:sz w:val="20"/>
                <w:szCs w:val="20"/>
              </w:rPr>
            </w:pPr>
            <w:r w:rsidRPr="003E50D1">
              <w:rPr>
                <w:b/>
                <w:bCs/>
                <w:sz w:val="20"/>
                <w:szCs w:val="20"/>
              </w:rPr>
              <w:t>100,0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262A3AE" w14:textId="77777777" w:rsidR="002907A0" w:rsidRPr="005808FC" w:rsidRDefault="002907A0" w:rsidP="005808FC">
            <w:pPr>
              <w:spacing w:after="0" w:line="240" w:lineRule="auto"/>
              <w:jc w:val="right"/>
              <w:rPr>
                <w:b/>
                <w:bCs/>
                <w:sz w:val="20"/>
                <w:szCs w:val="20"/>
              </w:rPr>
            </w:pPr>
            <w:r w:rsidRPr="003E50D1">
              <w:rPr>
                <w:b/>
                <w:bCs/>
                <w:sz w:val="20"/>
                <w:szCs w:val="20"/>
              </w:rPr>
              <w:t>100,00</w:t>
            </w:r>
          </w:p>
        </w:tc>
      </w:tr>
    </w:tbl>
    <w:p w14:paraId="361907A0" w14:textId="77777777" w:rsidR="001D03F0" w:rsidRPr="00922031" w:rsidRDefault="001D03F0" w:rsidP="001D03F0">
      <w:pPr>
        <w:spacing w:after="0" w:line="240" w:lineRule="auto"/>
        <w:rPr>
          <w:rFonts w:cstheme="minorHAnsi"/>
        </w:rPr>
      </w:pPr>
    </w:p>
    <w:p w14:paraId="2A58845E" w14:textId="0AAB1ECD" w:rsidR="002907A0" w:rsidRPr="00922031" w:rsidRDefault="002907A0" w:rsidP="005808FC">
      <w:pPr>
        <w:spacing w:after="0" w:line="240" w:lineRule="auto"/>
      </w:pPr>
      <w:r w:rsidRPr="003E50D1">
        <w:t xml:space="preserve">Na </w:t>
      </w:r>
      <w:r w:rsidR="00E20858" w:rsidRPr="00291DF5">
        <w:t>S</w:t>
      </w:r>
      <w:r w:rsidRPr="005808FC">
        <w:t xml:space="preserve">lici </w:t>
      </w:r>
      <w:r w:rsidR="00E20858" w:rsidRPr="005808FC">
        <w:t>4</w:t>
      </w:r>
      <w:r w:rsidRPr="005808FC">
        <w:t>.7 prikazana je ukupna emisija tCO</w:t>
      </w:r>
      <w:r w:rsidRPr="005808FC">
        <w:rPr>
          <w:vertAlign w:val="subscript"/>
        </w:rPr>
        <w:t>2</w:t>
      </w:r>
      <w:r w:rsidRPr="005808FC">
        <w:t xml:space="preserve"> po sektorima, a na </w:t>
      </w:r>
      <w:r w:rsidR="00E20858" w:rsidRPr="005808FC">
        <w:t>S</w:t>
      </w:r>
      <w:r w:rsidRPr="005808FC">
        <w:t xml:space="preserve">lici </w:t>
      </w:r>
      <w:r w:rsidR="00E20858" w:rsidRPr="005808FC">
        <w:t>4</w:t>
      </w:r>
      <w:r w:rsidRPr="005808FC">
        <w:t xml:space="preserve">.8 emisija po pojedinim energentima. Slika </w:t>
      </w:r>
      <w:r w:rsidR="00E20858" w:rsidRPr="005808FC">
        <w:t>4</w:t>
      </w:r>
      <w:r w:rsidRPr="005808FC">
        <w:t>.9 daje skupni prikaz emisija CO</w:t>
      </w:r>
      <w:r w:rsidRPr="005808FC">
        <w:rPr>
          <w:vertAlign w:val="subscript"/>
        </w:rPr>
        <w:t>2</w:t>
      </w:r>
      <w:r w:rsidR="00B25B9E" w:rsidRPr="005808FC">
        <w:rPr>
          <w:vertAlign w:val="subscript"/>
        </w:rPr>
        <w:t xml:space="preserve"> </w:t>
      </w:r>
      <w:r w:rsidRPr="005808FC">
        <w:t>po sektorima</w:t>
      </w:r>
      <w:r w:rsidR="000509A0">
        <w:t xml:space="preserve"> i </w:t>
      </w:r>
      <w:r w:rsidRPr="00291DF5">
        <w:t xml:space="preserve">energentima. </w:t>
      </w:r>
    </w:p>
    <w:p w14:paraId="059A92EB" w14:textId="77777777" w:rsidR="002907A0" w:rsidRPr="00922031" w:rsidRDefault="002907A0" w:rsidP="001D03F0">
      <w:pPr>
        <w:pStyle w:val="Heading6"/>
        <w:spacing w:line="240" w:lineRule="auto"/>
        <w:rPr>
          <w:rFonts w:cstheme="minorHAnsi"/>
          <w:lang w:eastAsia="hr-HR"/>
        </w:rPr>
      </w:pPr>
      <w:r w:rsidRPr="00922031">
        <w:rPr>
          <w:rFonts w:cstheme="minorHAnsi"/>
          <w:noProof/>
          <w:lang w:eastAsia="hr-HR"/>
        </w:rPr>
        <w:drawing>
          <wp:inline distT="0" distB="0" distL="0" distR="0" wp14:anchorId="2D7F661E" wp14:editId="65F9ADC9">
            <wp:extent cx="3857625" cy="2181860"/>
            <wp:effectExtent l="0" t="0" r="0" b="889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02EEDB" w14:textId="30C490D1" w:rsidR="002907A0" w:rsidRPr="005808FC" w:rsidRDefault="0014082E">
      <w:pPr>
        <w:pStyle w:val="Heading6"/>
        <w:rPr>
          <w:rFonts w:cstheme="minorBidi"/>
          <w:lang w:eastAsia="hr-HR"/>
        </w:rPr>
      </w:pPr>
      <w:bookmarkStart w:id="103" w:name="_Toc4156028"/>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7</w:t>
      </w:r>
      <w:r w:rsidR="00CA6C6C" w:rsidRPr="005808FC">
        <w:fldChar w:fldCharType="end"/>
      </w:r>
      <w:r w:rsidRPr="5886DDC2">
        <w:t xml:space="preserve"> - </w:t>
      </w:r>
      <w:r w:rsidR="002907A0" w:rsidRPr="003E50D1">
        <w:rPr>
          <w:rFonts w:cstheme="minorBidi"/>
        </w:rPr>
        <w:t>Emisija CO</w:t>
      </w:r>
      <w:r w:rsidR="002907A0" w:rsidRPr="00291DF5">
        <w:rPr>
          <w:rFonts w:cstheme="minorBidi"/>
          <w:vertAlign w:val="subscript"/>
        </w:rPr>
        <w:t>2</w:t>
      </w:r>
      <w:r w:rsidR="002907A0" w:rsidRPr="005808FC">
        <w:rPr>
          <w:rFonts w:cstheme="minorBidi"/>
        </w:rPr>
        <w:t xml:space="preserve"> inventara po sektorima</w:t>
      </w:r>
      <w:bookmarkEnd w:id="103"/>
    </w:p>
    <w:p w14:paraId="099204DB" w14:textId="77777777" w:rsidR="002907A0" w:rsidRPr="00922031" w:rsidRDefault="002907A0" w:rsidP="002907A0">
      <w:pPr>
        <w:pStyle w:val="NoSpacing"/>
        <w:rPr>
          <w:rFonts w:asciiTheme="minorHAnsi" w:hAnsiTheme="minorHAnsi" w:cstheme="minorHAnsi"/>
          <w:lang w:eastAsia="hr-HR"/>
        </w:rPr>
      </w:pPr>
    </w:p>
    <w:p w14:paraId="06877B9F" w14:textId="61C95817" w:rsidR="002907A0" w:rsidRPr="005808FC" w:rsidRDefault="002907A0">
      <w:pPr>
        <w:pStyle w:val="NoSpacing"/>
        <w:rPr>
          <w:rFonts w:asciiTheme="minorHAnsi" w:hAnsiTheme="minorHAnsi" w:cstheme="minorBidi"/>
          <w:lang w:eastAsia="hr-HR"/>
        </w:rPr>
      </w:pPr>
      <w:r w:rsidRPr="003E50D1">
        <w:rPr>
          <w:rFonts w:asciiTheme="minorHAnsi" w:hAnsiTheme="minorHAnsi" w:cstheme="minorBidi"/>
          <w:lang w:eastAsia="hr-HR"/>
        </w:rPr>
        <w:t>Ukupna emisija inventara iznosi 2796 kt CO</w:t>
      </w:r>
      <w:r w:rsidRPr="00291DF5">
        <w:rPr>
          <w:rFonts w:asciiTheme="minorHAnsi" w:hAnsiTheme="minorHAnsi" w:cstheme="minorBidi"/>
          <w:vertAlign w:val="subscript"/>
          <w:lang w:eastAsia="hr-HR"/>
        </w:rPr>
        <w:t>2</w:t>
      </w:r>
      <w:r w:rsidRPr="005808FC">
        <w:rPr>
          <w:rFonts w:asciiTheme="minorHAnsi" w:hAnsiTheme="minorHAnsi" w:cstheme="minorBidi"/>
          <w:lang w:eastAsia="hr-HR"/>
        </w:rPr>
        <w:t>. Najveći izvor emisije, kao</w:t>
      </w:r>
      <w:r w:rsidR="000509A0">
        <w:rPr>
          <w:rFonts w:asciiTheme="minorHAnsi" w:hAnsiTheme="minorHAnsi" w:cstheme="minorBidi"/>
          <w:lang w:eastAsia="hr-HR"/>
        </w:rPr>
        <w:t xml:space="preserve"> i </w:t>
      </w:r>
      <w:r w:rsidRPr="00291DF5">
        <w:rPr>
          <w:rFonts w:asciiTheme="minorHAnsi" w:hAnsiTheme="minorHAnsi" w:cstheme="minorBidi"/>
          <w:lang w:eastAsia="hr-HR"/>
        </w:rPr>
        <w:t>potrošnje energenata, je sektor zgradarstva s emisijom od 1759 kt CO</w:t>
      </w:r>
      <w:r w:rsidRPr="005808FC">
        <w:rPr>
          <w:rFonts w:asciiTheme="minorHAnsi" w:hAnsiTheme="minorHAnsi" w:cstheme="minorBidi"/>
          <w:vertAlign w:val="subscript"/>
          <w:lang w:eastAsia="hr-HR"/>
        </w:rPr>
        <w:t>2</w:t>
      </w:r>
      <w:r w:rsidRPr="005808FC">
        <w:rPr>
          <w:rFonts w:asciiTheme="minorHAnsi" w:hAnsiTheme="minorHAnsi" w:cstheme="minorBidi"/>
          <w:lang w:eastAsia="hr-HR"/>
        </w:rPr>
        <w:t>, a slijedi ga sektor prometa s emisijom od 1007 kt CO</w:t>
      </w:r>
      <w:r w:rsidRPr="005808FC">
        <w:rPr>
          <w:rFonts w:asciiTheme="minorHAnsi" w:hAnsiTheme="minorHAnsi" w:cstheme="minorBidi"/>
          <w:vertAlign w:val="subscript"/>
          <w:lang w:eastAsia="hr-HR"/>
        </w:rPr>
        <w:t>2</w:t>
      </w:r>
      <w:r w:rsidRPr="005808FC">
        <w:rPr>
          <w:rFonts w:asciiTheme="minorHAnsi" w:hAnsiTheme="minorHAnsi" w:cstheme="minorBidi"/>
          <w:lang w:eastAsia="hr-HR"/>
        </w:rPr>
        <w:t xml:space="preserve">. </w:t>
      </w:r>
      <w:r w:rsidRPr="005808FC">
        <w:rPr>
          <w:rFonts w:asciiTheme="minorHAnsi" w:hAnsiTheme="minorHAnsi" w:cstheme="minorBidi"/>
          <w:lang w:eastAsia="hr-HR"/>
        </w:rPr>
        <w:br w:type="page"/>
      </w:r>
    </w:p>
    <w:p w14:paraId="169E3557" w14:textId="77777777" w:rsidR="002907A0" w:rsidRPr="00922031" w:rsidRDefault="002907A0" w:rsidP="002907A0">
      <w:pPr>
        <w:pStyle w:val="Heading6"/>
        <w:spacing w:line="240" w:lineRule="auto"/>
        <w:rPr>
          <w:rFonts w:cstheme="minorHAnsi"/>
          <w:lang w:eastAsia="hr-HR"/>
        </w:rPr>
      </w:pPr>
      <w:r w:rsidRPr="00922031">
        <w:rPr>
          <w:rFonts w:cstheme="minorHAnsi"/>
          <w:noProof/>
          <w:lang w:eastAsia="hr-HR"/>
        </w:rPr>
        <w:lastRenderedPageBreak/>
        <w:drawing>
          <wp:inline distT="0" distB="0" distL="0" distR="0" wp14:anchorId="61A23772" wp14:editId="273609A6">
            <wp:extent cx="5762445" cy="2889849"/>
            <wp:effectExtent l="0" t="0" r="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711562" w14:textId="6BF9DFB6" w:rsidR="002907A0" w:rsidRPr="005808FC" w:rsidRDefault="0014082E">
      <w:pPr>
        <w:pStyle w:val="Heading6"/>
        <w:rPr>
          <w:rFonts w:cstheme="minorBidi"/>
        </w:rPr>
      </w:pPr>
      <w:bookmarkStart w:id="104" w:name="_Toc4156029"/>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8</w:t>
      </w:r>
      <w:r w:rsidR="00CA6C6C" w:rsidRPr="005808FC">
        <w:fldChar w:fldCharType="end"/>
      </w:r>
      <w:r w:rsidRPr="5886DDC2">
        <w:t xml:space="preserve"> - </w:t>
      </w:r>
      <w:r w:rsidR="002907A0" w:rsidRPr="003E50D1">
        <w:rPr>
          <w:rFonts w:cstheme="minorBidi"/>
        </w:rPr>
        <w:t>Emisija CO</w:t>
      </w:r>
      <w:r w:rsidR="002907A0" w:rsidRPr="00291DF5">
        <w:rPr>
          <w:rFonts w:cstheme="minorBidi"/>
          <w:vertAlign w:val="subscript"/>
        </w:rPr>
        <w:t>2</w:t>
      </w:r>
      <w:r w:rsidR="00B25B9E" w:rsidRPr="005808FC">
        <w:rPr>
          <w:rFonts w:cstheme="minorBidi"/>
        </w:rPr>
        <w:t xml:space="preserve"> </w:t>
      </w:r>
      <w:r w:rsidR="002907A0" w:rsidRPr="005808FC">
        <w:rPr>
          <w:rFonts w:cstheme="minorBidi"/>
        </w:rPr>
        <w:t>inventara po energentima</w:t>
      </w:r>
      <w:bookmarkEnd w:id="104"/>
    </w:p>
    <w:p w14:paraId="4A57305C" w14:textId="04455E59" w:rsidR="002907A0" w:rsidRPr="005808FC" w:rsidRDefault="002907A0" w:rsidP="005808FC">
      <w:pPr>
        <w:tabs>
          <w:tab w:val="left" w:pos="990"/>
        </w:tabs>
        <w:spacing w:line="240" w:lineRule="auto"/>
        <w:rPr>
          <w:lang w:eastAsia="hr-HR"/>
        </w:rPr>
      </w:pPr>
      <w:r w:rsidRPr="005808FC">
        <w:rPr>
          <w:rFonts w:eastAsia="Calibri"/>
        </w:rPr>
        <w:t>Emisija CO2 iz potrošnje prirodnog plina u 2008. godini iznosila je 634 kt CO2, što čini 23% ukupne emisije inventara. Dominantni izvori emisija, uz prirodni plin su električna energija, dizel, toplina te motorni benzin s emisijama od 609 kt CO2, 545 kt CO2, 466 kt CO2</w:t>
      </w:r>
      <w:r w:rsidR="000509A0">
        <w:rPr>
          <w:rFonts w:eastAsia="Calibri"/>
        </w:rPr>
        <w:t xml:space="preserve"> i </w:t>
      </w:r>
      <w:r w:rsidRPr="00291DF5">
        <w:rPr>
          <w:rFonts w:eastAsia="Calibri"/>
        </w:rPr>
        <w:t>433 kt CO2. Udio emisija navedenih energenata zajedno čini preko 95% ukupne emisije CO2 Grada Zagreba</w:t>
      </w:r>
      <w:r w:rsidRPr="005808FC">
        <w:rPr>
          <w:lang w:eastAsia="hr-HR"/>
        </w:rPr>
        <w:t>.</w:t>
      </w:r>
    </w:p>
    <w:p w14:paraId="0DE70913" w14:textId="77777777" w:rsidR="002907A0" w:rsidRPr="00922031" w:rsidRDefault="002907A0" w:rsidP="002907A0">
      <w:pPr>
        <w:pStyle w:val="Heading6"/>
        <w:spacing w:line="240" w:lineRule="auto"/>
        <w:rPr>
          <w:rFonts w:cstheme="minorHAnsi"/>
        </w:rPr>
      </w:pPr>
      <w:r w:rsidRPr="00922031">
        <w:rPr>
          <w:rFonts w:cstheme="minorHAnsi"/>
          <w:noProof/>
          <w:lang w:eastAsia="hr-HR"/>
        </w:rPr>
        <w:drawing>
          <wp:inline distT="0" distB="0" distL="0" distR="0" wp14:anchorId="5F1CFB19" wp14:editId="26C7FDB8">
            <wp:extent cx="5296205" cy="2852928"/>
            <wp:effectExtent l="0" t="0" r="0" b="0"/>
            <wp:docPr id="2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53D499" w14:textId="744136B3" w:rsidR="002907A0" w:rsidRPr="005808FC" w:rsidRDefault="0014082E">
      <w:pPr>
        <w:pStyle w:val="Heading6"/>
        <w:rPr>
          <w:rFonts w:cstheme="minorBidi"/>
        </w:rPr>
      </w:pPr>
      <w:bookmarkStart w:id="105" w:name="_Toc4156030"/>
      <w:r>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4</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9</w:t>
      </w:r>
      <w:r w:rsidR="00CA6C6C" w:rsidRPr="005808FC">
        <w:fldChar w:fldCharType="end"/>
      </w:r>
      <w:r w:rsidRPr="5886DDC2">
        <w:t xml:space="preserve"> -</w:t>
      </w:r>
      <w:r w:rsidR="002907A0" w:rsidRPr="003E50D1">
        <w:rPr>
          <w:rFonts w:cstheme="minorBidi"/>
        </w:rPr>
        <w:t xml:space="preserve"> Prikaz emisije CO</w:t>
      </w:r>
      <w:r w:rsidR="002907A0" w:rsidRPr="00291DF5">
        <w:rPr>
          <w:rFonts w:cstheme="minorBidi"/>
          <w:vertAlign w:val="subscript"/>
        </w:rPr>
        <w:t>2</w:t>
      </w:r>
      <w:r w:rsidR="002907A0" w:rsidRPr="005808FC">
        <w:rPr>
          <w:rFonts w:cstheme="minorBidi"/>
        </w:rPr>
        <w:t xml:space="preserve"> po sektorima</w:t>
      </w:r>
      <w:r w:rsidR="000509A0">
        <w:rPr>
          <w:rFonts w:cstheme="minorBidi"/>
        </w:rPr>
        <w:t xml:space="preserve"> i </w:t>
      </w:r>
      <w:r w:rsidR="002907A0" w:rsidRPr="00291DF5">
        <w:rPr>
          <w:rFonts w:cstheme="minorBidi"/>
        </w:rPr>
        <w:t>energentima</w:t>
      </w:r>
      <w:bookmarkEnd w:id="105"/>
    </w:p>
    <w:p w14:paraId="720FE259" w14:textId="77777777" w:rsidR="002907A0" w:rsidRPr="00922031" w:rsidRDefault="002907A0" w:rsidP="002907A0">
      <w:pPr>
        <w:spacing w:after="0" w:line="240" w:lineRule="auto"/>
        <w:rPr>
          <w:rFonts w:cstheme="minorHAnsi"/>
          <w:lang w:eastAsia="hr-HR"/>
        </w:rPr>
      </w:pPr>
    </w:p>
    <w:p w14:paraId="666B5868" w14:textId="150DF77F" w:rsidR="002907A0" w:rsidRPr="005808FC" w:rsidRDefault="002907A0">
      <w:pPr>
        <w:rPr>
          <w:rFonts w:eastAsia="Calibri"/>
        </w:rPr>
      </w:pPr>
      <w:r w:rsidRPr="003E50D1">
        <w:rPr>
          <w:rFonts w:eastAsia="Calibri"/>
        </w:rPr>
        <w:t>Najveći udio (63%) u ukupnim emisijama CO2 ima sektor zgradarstva, nakon kojeg slijedi sektor prometa s 36%. Emisije prirodnog plina</w:t>
      </w:r>
      <w:r w:rsidR="00B25B9E" w:rsidRPr="00291DF5">
        <w:rPr>
          <w:rFonts w:eastAsia="Calibri"/>
        </w:rPr>
        <w:t xml:space="preserve"> </w:t>
      </w:r>
      <w:r w:rsidRPr="005808FC">
        <w:rPr>
          <w:rFonts w:eastAsia="Calibri"/>
        </w:rPr>
        <w:t>(634 kt CO2)</w:t>
      </w:r>
      <w:r w:rsidR="000509A0">
        <w:rPr>
          <w:rFonts w:eastAsia="Calibri"/>
        </w:rPr>
        <w:t xml:space="preserve"> i </w:t>
      </w:r>
      <w:r w:rsidRPr="00291DF5">
        <w:rPr>
          <w:rFonts w:eastAsia="Calibri"/>
        </w:rPr>
        <w:t>električne energije (560 kt CO2) su najzastupljenije u sektoru zgradarstva dok su u sektoru prometa najve</w:t>
      </w:r>
      <w:r w:rsidRPr="005808FC">
        <w:rPr>
          <w:rFonts w:eastAsia="Calibri"/>
        </w:rPr>
        <w:t>će emisije nastale potrošnjom dizela (545 kt CO2)</w:t>
      </w:r>
      <w:r w:rsidR="000509A0">
        <w:rPr>
          <w:rFonts w:eastAsia="Calibri"/>
        </w:rPr>
        <w:t xml:space="preserve"> i </w:t>
      </w:r>
      <w:r w:rsidRPr="00291DF5">
        <w:rPr>
          <w:rFonts w:eastAsia="Calibri"/>
        </w:rPr>
        <w:t>benzina (433 kt CO2).</w:t>
      </w:r>
    </w:p>
    <w:p w14:paraId="3B4D0297" w14:textId="7B5948C1" w:rsidR="001D03F0" w:rsidRPr="00922031" w:rsidRDefault="002907A0">
      <w:r w:rsidRPr="00291DF5">
        <w:rPr>
          <w:rFonts w:eastAsia="Calibri"/>
        </w:rPr>
        <w:lastRenderedPageBreak/>
        <w:t>Emisija CO2 proračunata je iz svih dostavljenih podataka o potrošnji energije, dok su emisije preostala dva direktna staklenička plina (metan, CH4 te dušikov oksid, N2O) proračuna</w:t>
      </w:r>
      <w:r w:rsidRPr="005808FC">
        <w:rPr>
          <w:rFonts w:eastAsia="Calibri"/>
        </w:rPr>
        <w:t xml:space="preserve">te za sektore u kojima iste nastaju izgaranjem goriva. Proračunata emisija CO2-ekv prikazana je sektorski u </w:t>
      </w:r>
      <w:r w:rsidR="00E20858" w:rsidRPr="005808FC">
        <w:rPr>
          <w:rFonts w:eastAsia="Calibri"/>
        </w:rPr>
        <w:t>T</w:t>
      </w:r>
      <w:r w:rsidRPr="005808FC">
        <w:rPr>
          <w:rFonts w:eastAsia="Calibri"/>
        </w:rPr>
        <w:t xml:space="preserve">ablici </w:t>
      </w:r>
      <w:r w:rsidR="00E20858" w:rsidRPr="005808FC">
        <w:rPr>
          <w:rFonts w:eastAsia="Calibri"/>
        </w:rPr>
        <w:t>4</w:t>
      </w:r>
      <w:r w:rsidRPr="005808FC">
        <w:rPr>
          <w:rFonts w:eastAsia="Calibri"/>
        </w:rPr>
        <w:t>.15.</w:t>
      </w:r>
    </w:p>
    <w:p w14:paraId="3B65FEE0" w14:textId="63BAE84A" w:rsidR="002907A0" w:rsidRPr="005808FC" w:rsidRDefault="0082211F">
      <w:pPr>
        <w:pStyle w:val="Caption"/>
        <w:rPr>
          <w:rFonts w:asciiTheme="minorHAnsi" w:hAnsiTheme="minorHAnsi" w:cstheme="minorBidi"/>
          <w:lang w:val="it-IT"/>
        </w:rPr>
      </w:pPr>
      <w:bookmarkStart w:id="106" w:name="_Toc4156005"/>
      <w:r w:rsidRPr="00F158D4">
        <w:rPr>
          <w:lang w:val="hr-HR"/>
        </w:rPr>
        <w:t xml:space="preserve">Tablica </w:t>
      </w:r>
      <w:r w:rsidR="0019556A">
        <w:fldChar w:fldCharType="begin"/>
      </w:r>
      <w:r w:rsidR="0019556A" w:rsidRPr="00F158D4">
        <w:rPr>
          <w:lang w:val="hr-HR"/>
        </w:rPr>
        <w:instrText xml:space="preserve"> STYLEREF 1 \s </w:instrText>
      </w:r>
      <w:r w:rsidR="0019556A">
        <w:fldChar w:fldCharType="separate"/>
      </w:r>
      <w:r w:rsidR="0019556A" w:rsidRPr="00F158D4">
        <w:rPr>
          <w:noProof/>
          <w:lang w:val="hr-HR"/>
        </w:rPr>
        <w:t>4</w:t>
      </w:r>
      <w:r w:rsidR="0019556A">
        <w:fldChar w:fldCharType="end"/>
      </w:r>
      <w:r w:rsidR="0019556A" w:rsidRPr="00F158D4">
        <w:rPr>
          <w:lang w:val="hr-HR"/>
        </w:rPr>
        <w:t>.</w:t>
      </w:r>
      <w:r w:rsidR="0019556A">
        <w:fldChar w:fldCharType="begin"/>
      </w:r>
      <w:r w:rsidR="0019556A" w:rsidRPr="00F158D4">
        <w:rPr>
          <w:lang w:val="hr-HR"/>
        </w:rPr>
        <w:instrText xml:space="preserve"> SEQ Tablica \* ARABIC \s 1 </w:instrText>
      </w:r>
      <w:r w:rsidR="0019556A">
        <w:fldChar w:fldCharType="separate"/>
      </w:r>
      <w:r w:rsidR="0019556A" w:rsidRPr="005808FC">
        <w:rPr>
          <w:noProof/>
          <w:lang w:val="it-IT"/>
        </w:rPr>
        <w:t>15</w:t>
      </w:r>
      <w:r w:rsidR="0019556A">
        <w:fldChar w:fldCharType="end"/>
      </w:r>
      <w:r w:rsidRPr="005808FC">
        <w:rPr>
          <w:lang w:val="it-IT"/>
        </w:rPr>
        <w:t xml:space="preserve"> - </w:t>
      </w:r>
      <w:r w:rsidR="002907A0" w:rsidRPr="005808FC">
        <w:rPr>
          <w:rFonts w:asciiTheme="minorHAnsi" w:hAnsiTheme="minorHAnsi" w:cstheme="minorBidi"/>
          <w:lang w:val="it-IT"/>
        </w:rPr>
        <w:t>Prikaz emisija CO</w:t>
      </w:r>
      <w:r w:rsidR="002907A0" w:rsidRPr="005808FC">
        <w:rPr>
          <w:rFonts w:asciiTheme="minorHAnsi" w:hAnsiTheme="minorHAnsi" w:cstheme="minorBidi"/>
          <w:vertAlign w:val="subscript"/>
          <w:lang w:val="it-IT"/>
        </w:rPr>
        <w:t>2</w:t>
      </w:r>
      <w:r w:rsidR="002907A0" w:rsidRPr="005808FC">
        <w:rPr>
          <w:rFonts w:asciiTheme="minorHAnsi" w:hAnsiTheme="minorHAnsi" w:cstheme="minorBidi"/>
          <w:lang w:val="it-IT"/>
        </w:rPr>
        <w:t>-ekv po sektorima</w:t>
      </w:r>
      <w:bookmarkEnd w:id="106"/>
    </w:p>
    <w:tbl>
      <w:tblPr>
        <w:tblW w:w="8943" w:type="dxa"/>
        <w:tblInd w:w="96"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Look w:val="00A0" w:firstRow="1" w:lastRow="0" w:firstColumn="1" w:lastColumn="0" w:noHBand="0" w:noVBand="0"/>
      </w:tblPr>
      <w:tblGrid>
        <w:gridCol w:w="2139"/>
        <w:gridCol w:w="1559"/>
        <w:gridCol w:w="1559"/>
        <w:gridCol w:w="1559"/>
        <w:gridCol w:w="2127"/>
      </w:tblGrid>
      <w:tr w:rsidR="002907A0" w:rsidRPr="00922031" w14:paraId="2D0F0BBE" w14:textId="77777777" w:rsidTr="005808FC">
        <w:trPr>
          <w:trHeight w:val="227"/>
        </w:trPr>
        <w:tc>
          <w:tcPr>
            <w:tcW w:w="2139" w:type="dxa"/>
            <w:tcBorders>
              <w:top w:val="single" w:sz="8" w:space="0" w:color="auto"/>
              <w:bottom w:val="single" w:sz="8" w:space="0" w:color="auto"/>
            </w:tcBorders>
            <w:shd w:val="clear" w:color="auto" w:fill="C6D9F1" w:themeFill="text2" w:themeFillTint="33"/>
            <w:noWrap/>
            <w:vAlign w:val="center"/>
          </w:tcPr>
          <w:p w14:paraId="52EFB8EF" w14:textId="77777777" w:rsidR="002907A0" w:rsidRPr="00922031" w:rsidRDefault="002907A0" w:rsidP="002907A0">
            <w:pPr>
              <w:spacing w:after="0" w:line="240" w:lineRule="auto"/>
              <w:jc w:val="center"/>
              <w:rPr>
                <w:rFonts w:cstheme="minorHAnsi"/>
                <w:b/>
                <w:sz w:val="20"/>
                <w:szCs w:val="20"/>
                <w:lang w:eastAsia="hr-HR"/>
              </w:rPr>
            </w:pPr>
          </w:p>
        </w:tc>
        <w:tc>
          <w:tcPr>
            <w:tcW w:w="1559" w:type="dxa"/>
            <w:tcBorders>
              <w:top w:val="single" w:sz="8" w:space="0" w:color="auto"/>
              <w:bottom w:val="single" w:sz="8" w:space="0" w:color="auto"/>
            </w:tcBorders>
            <w:shd w:val="clear" w:color="auto" w:fill="C6D9F1" w:themeFill="text2" w:themeFillTint="33"/>
            <w:noWrap/>
            <w:vAlign w:val="center"/>
          </w:tcPr>
          <w:p w14:paraId="51967ACC" w14:textId="77777777" w:rsidR="002907A0" w:rsidRPr="005808FC" w:rsidRDefault="002907A0" w:rsidP="005808FC">
            <w:pPr>
              <w:spacing w:after="0" w:line="240" w:lineRule="auto"/>
              <w:jc w:val="center"/>
              <w:rPr>
                <w:b/>
                <w:bCs/>
                <w:sz w:val="20"/>
                <w:szCs w:val="20"/>
              </w:rPr>
            </w:pPr>
            <w:r w:rsidRPr="00291DF5">
              <w:rPr>
                <w:b/>
                <w:bCs/>
                <w:sz w:val="20"/>
                <w:szCs w:val="20"/>
              </w:rPr>
              <w:t>Promet</w:t>
            </w:r>
          </w:p>
        </w:tc>
        <w:tc>
          <w:tcPr>
            <w:tcW w:w="1559" w:type="dxa"/>
            <w:tcBorders>
              <w:top w:val="single" w:sz="8" w:space="0" w:color="auto"/>
              <w:bottom w:val="single" w:sz="8" w:space="0" w:color="auto"/>
            </w:tcBorders>
            <w:shd w:val="clear" w:color="auto" w:fill="C6D9F1" w:themeFill="text2" w:themeFillTint="33"/>
            <w:vAlign w:val="center"/>
          </w:tcPr>
          <w:p w14:paraId="14F1B303" w14:textId="77777777" w:rsidR="002907A0" w:rsidRPr="005808FC" w:rsidRDefault="002907A0" w:rsidP="005808FC">
            <w:pPr>
              <w:spacing w:after="0" w:line="240" w:lineRule="auto"/>
              <w:jc w:val="center"/>
              <w:rPr>
                <w:b/>
                <w:bCs/>
                <w:sz w:val="20"/>
                <w:szCs w:val="20"/>
              </w:rPr>
            </w:pPr>
            <w:r w:rsidRPr="00291DF5">
              <w:rPr>
                <w:b/>
                <w:bCs/>
                <w:sz w:val="20"/>
                <w:szCs w:val="20"/>
              </w:rPr>
              <w:t>Javna rasvjeta</w:t>
            </w:r>
          </w:p>
        </w:tc>
        <w:tc>
          <w:tcPr>
            <w:tcW w:w="1559" w:type="dxa"/>
            <w:tcBorders>
              <w:top w:val="single" w:sz="8" w:space="0" w:color="auto"/>
              <w:bottom w:val="single" w:sz="8" w:space="0" w:color="auto"/>
            </w:tcBorders>
            <w:shd w:val="clear" w:color="auto" w:fill="C6D9F1" w:themeFill="text2" w:themeFillTint="33"/>
            <w:vAlign w:val="center"/>
          </w:tcPr>
          <w:p w14:paraId="176D37D5" w14:textId="77777777" w:rsidR="002907A0" w:rsidRPr="005808FC" w:rsidRDefault="002907A0" w:rsidP="005808FC">
            <w:pPr>
              <w:spacing w:after="0" w:line="240" w:lineRule="auto"/>
              <w:jc w:val="center"/>
              <w:rPr>
                <w:b/>
                <w:bCs/>
                <w:sz w:val="20"/>
                <w:szCs w:val="20"/>
              </w:rPr>
            </w:pPr>
            <w:r w:rsidRPr="00291DF5">
              <w:rPr>
                <w:b/>
                <w:bCs/>
                <w:sz w:val="20"/>
                <w:szCs w:val="20"/>
              </w:rPr>
              <w:t>Zgradarstvo</w:t>
            </w:r>
          </w:p>
        </w:tc>
        <w:tc>
          <w:tcPr>
            <w:tcW w:w="2127" w:type="dxa"/>
            <w:tcBorders>
              <w:top w:val="single" w:sz="8" w:space="0" w:color="auto"/>
              <w:bottom w:val="single" w:sz="8" w:space="0" w:color="auto"/>
            </w:tcBorders>
            <w:shd w:val="clear" w:color="auto" w:fill="C6D9F1" w:themeFill="text2" w:themeFillTint="33"/>
            <w:vAlign w:val="center"/>
          </w:tcPr>
          <w:p w14:paraId="5403B3A1" w14:textId="77777777" w:rsidR="002907A0" w:rsidRPr="005808FC" w:rsidRDefault="002907A0" w:rsidP="005808FC">
            <w:pPr>
              <w:spacing w:after="0" w:line="240" w:lineRule="auto"/>
              <w:jc w:val="center"/>
              <w:rPr>
                <w:b/>
                <w:bCs/>
                <w:sz w:val="20"/>
                <w:szCs w:val="20"/>
                <w:lang w:eastAsia="hr-HR"/>
              </w:rPr>
            </w:pPr>
            <w:r w:rsidRPr="00291DF5">
              <w:rPr>
                <w:b/>
                <w:bCs/>
                <w:sz w:val="20"/>
                <w:szCs w:val="20"/>
              </w:rPr>
              <w:t>Ukupno po energentima</w:t>
            </w:r>
          </w:p>
        </w:tc>
      </w:tr>
      <w:tr w:rsidR="002907A0" w:rsidRPr="00922031" w14:paraId="3846BEEB" w14:textId="77777777" w:rsidTr="005808FC">
        <w:trPr>
          <w:trHeight w:val="227"/>
        </w:trPr>
        <w:tc>
          <w:tcPr>
            <w:tcW w:w="2139" w:type="dxa"/>
            <w:tcBorders>
              <w:top w:val="single" w:sz="8" w:space="0" w:color="auto"/>
            </w:tcBorders>
            <w:shd w:val="clear" w:color="auto" w:fill="F2DBDB" w:themeFill="accent2" w:themeFillTint="33"/>
            <w:noWrap/>
            <w:vAlign w:val="center"/>
          </w:tcPr>
          <w:p w14:paraId="35425336" w14:textId="77777777" w:rsidR="002907A0" w:rsidRPr="005808FC" w:rsidRDefault="002907A0" w:rsidP="005808FC">
            <w:pPr>
              <w:spacing w:after="0" w:line="240" w:lineRule="auto"/>
              <w:jc w:val="center"/>
              <w:rPr>
                <w:b/>
                <w:bCs/>
                <w:sz w:val="20"/>
                <w:szCs w:val="20"/>
              </w:rPr>
            </w:pPr>
            <w:r w:rsidRPr="00291DF5">
              <w:rPr>
                <w:b/>
                <w:bCs/>
                <w:sz w:val="20"/>
                <w:szCs w:val="20"/>
              </w:rPr>
              <w:t>Emisija kt CO</w:t>
            </w:r>
            <w:r w:rsidRPr="005808FC">
              <w:rPr>
                <w:b/>
                <w:bCs/>
                <w:sz w:val="20"/>
                <w:szCs w:val="20"/>
                <w:vertAlign w:val="subscript"/>
              </w:rPr>
              <w:t>2</w:t>
            </w:r>
            <w:r w:rsidRPr="005808FC">
              <w:rPr>
                <w:b/>
                <w:bCs/>
                <w:sz w:val="20"/>
                <w:szCs w:val="20"/>
              </w:rPr>
              <w:t>-ekv</w:t>
            </w:r>
          </w:p>
        </w:tc>
        <w:tc>
          <w:tcPr>
            <w:tcW w:w="1559" w:type="dxa"/>
            <w:tcBorders>
              <w:top w:val="single" w:sz="8" w:space="0" w:color="auto"/>
            </w:tcBorders>
            <w:shd w:val="clear" w:color="auto" w:fill="auto"/>
            <w:noWrap/>
            <w:vAlign w:val="center"/>
          </w:tcPr>
          <w:p w14:paraId="4C7F1AA1" w14:textId="77777777" w:rsidR="002907A0" w:rsidRPr="005808FC" w:rsidRDefault="002907A0" w:rsidP="005808FC">
            <w:pPr>
              <w:spacing w:after="0" w:line="240" w:lineRule="auto"/>
              <w:jc w:val="center"/>
              <w:rPr>
                <w:sz w:val="20"/>
                <w:szCs w:val="20"/>
              </w:rPr>
            </w:pPr>
            <w:r w:rsidRPr="00291DF5">
              <w:rPr>
                <w:sz w:val="20"/>
                <w:szCs w:val="20"/>
              </w:rPr>
              <w:t>1044,2</w:t>
            </w:r>
          </w:p>
        </w:tc>
        <w:tc>
          <w:tcPr>
            <w:tcW w:w="1559" w:type="dxa"/>
            <w:tcBorders>
              <w:top w:val="single" w:sz="8" w:space="0" w:color="auto"/>
            </w:tcBorders>
            <w:shd w:val="clear" w:color="auto" w:fill="auto"/>
            <w:noWrap/>
            <w:vAlign w:val="center"/>
          </w:tcPr>
          <w:p w14:paraId="432D6E6D" w14:textId="77777777" w:rsidR="002907A0" w:rsidRPr="005808FC" w:rsidRDefault="002907A0" w:rsidP="005808FC">
            <w:pPr>
              <w:spacing w:after="0" w:line="240" w:lineRule="auto"/>
              <w:jc w:val="center"/>
              <w:rPr>
                <w:sz w:val="20"/>
                <w:szCs w:val="20"/>
              </w:rPr>
            </w:pPr>
            <w:r w:rsidRPr="00291DF5">
              <w:rPr>
                <w:sz w:val="20"/>
                <w:szCs w:val="20"/>
              </w:rPr>
              <w:t>29,1</w:t>
            </w:r>
          </w:p>
        </w:tc>
        <w:tc>
          <w:tcPr>
            <w:tcW w:w="1559" w:type="dxa"/>
            <w:tcBorders>
              <w:top w:val="single" w:sz="8" w:space="0" w:color="auto"/>
            </w:tcBorders>
            <w:shd w:val="clear" w:color="auto" w:fill="auto"/>
            <w:noWrap/>
            <w:vAlign w:val="center"/>
          </w:tcPr>
          <w:p w14:paraId="40F22091" w14:textId="77777777" w:rsidR="002907A0" w:rsidRPr="005808FC" w:rsidRDefault="002907A0" w:rsidP="005808FC">
            <w:pPr>
              <w:spacing w:after="0" w:line="240" w:lineRule="auto"/>
              <w:jc w:val="center"/>
              <w:rPr>
                <w:sz w:val="20"/>
                <w:szCs w:val="20"/>
              </w:rPr>
            </w:pPr>
            <w:r w:rsidRPr="00291DF5">
              <w:rPr>
                <w:sz w:val="20"/>
                <w:szCs w:val="20"/>
              </w:rPr>
              <w:t>1732,0</w:t>
            </w:r>
          </w:p>
        </w:tc>
        <w:tc>
          <w:tcPr>
            <w:tcW w:w="2127" w:type="dxa"/>
            <w:tcBorders>
              <w:top w:val="single" w:sz="8" w:space="0" w:color="auto"/>
            </w:tcBorders>
            <w:shd w:val="clear" w:color="auto" w:fill="auto"/>
            <w:noWrap/>
            <w:vAlign w:val="center"/>
          </w:tcPr>
          <w:p w14:paraId="23D833C4" w14:textId="77777777" w:rsidR="002907A0" w:rsidRPr="005808FC" w:rsidRDefault="002907A0" w:rsidP="005808FC">
            <w:pPr>
              <w:spacing w:after="0" w:line="240" w:lineRule="auto"/>
              <w:jc w:val="center"/>
              <w:rPr>
                <w:sz w:val="20"/>
                <w:szCs w:val="20"/>
              </w:rPr>
            </w:pPr>
            <w:r w:rsidRPr="00291DF5">
              <w:rPr>
                <w:sz w:val="20"/>
                <w:szCs w:val="20"/>
              </w:rPr>
              <w:t>2805,3</w:t>
            </w:r>
          </w:p>
        </w:tc>
      </w:tr>
      <w:tr w:rsidR="002907A0" w:rsidRPr="00922031" w14:paraId="7A447700" w14:textId="77777777" w:rsidTr="005808FC">
        <w:trPr>
          <w:trHeight w:val="227"/>
        </w:trPr>
        <w:tc>
          <w:tcPr>
            <w:tcW w:w="2139" w:type="dxa"/>
            <w:shd w:val="clear" w:color="auto" w:fill="F2DBDB" w:themeFill="accent2" w:themeFillTint="33"/>
            <w:noWrap/>
            <w:vAlign w:val="center"/>
          </w:tcPr>
          <w:p w14:paraId="0D17199C" w14:textId="77777777" w:rsidR="002907A0" w:rsidRPr="005808FC" w:rsidRDefault="002907A0" w:rsidP="005808FC">
            <w:pPr>
              <w:spacing w:after="0" w:line="240" w:lineRule="auto"/>
              <w:jc w:val="center"/>
              <w:rPr>
                <w:b/>
                <w:bCs/>
                <w:sz w:val="20"/>
                <w:szCs w:val="20"/>
              </w:rPr>
            </w:pPr>
            <w:r w:rsidRPr="00291DF5">
              <w:rPr>
                <w:b/>
                <w:bCs/>
                <w:sz w:val="20"/>
                <w:szCs w:val="20"/>
              </w:rPr>
              <w:t>Udio</w:t>
            </w:r>
          </w:p>
        </w:tc>
        <w:tc>
          <w:tcPr>
            <w:tcW w:w="1559" w:type="dxa"/>
            <w:shd w:val="clear" w:color="auto" w:fill="auto"/>
            <w:noWrap/>
            <w:vAlign w:val="center"/>
          </w:tcPr>
          <w:p w14:paraId="4A3E4026" w14:textId="77777777" w:rsidR="002907A0" w:rsidRPr="005808FC" w:rsidRDefault="002907A0" w:rsidP="005808FC">
            <w:pPr>
              <w:spacing w:after="0" w:line="240" w:lineRule="auto"/>
              <w:jc w:val="center"/>
              <w:rPr>
                <w:sz w:val="20"/>
                <w:szCs w:val="20"/>
              </w:rPr>
            </w:pPr>
            <w:r w:rsidRPr="00291DF5">
              <w:rPr>
                <w:sz w:val="20"/>
                <w:szCs w:val="20"/>
              </w:rPr>
              <w:t>37,2</w:t>
            </w:r>
          </w:p>
        </w:tc>
        <w:tc>
          <w:tcPr>
            <w:tcW w:w="1559" w:type="dxa"/>
            <w:shd w:val="clear" w:color="auto" w:fill="auto"/>
            <w:noWrap/>
            <w:vAlign w:val="center"/>
          </w:tcPr>
          <w:p w14:paraId="512FE0C6" w14:textId="77777777" w:rsidR="002907A0" w:rsidRPr="005808FC" w:rsidRDefault="002907A0" w:rsidP="005808FC">
            <w:pPr>
              <w:spacing w:after="0" w:line="240" w:lineRule="auto"/>
              <w:jc w:val="center"/>
              <w:rPr>
                <w:sz w:val="20"/>
                <w:szCs w:val="20"/>
              </w:rPr>
            </w:pPr>
            <w:r w:rsidRPr="00291DF5">
              <w:rPr>
                <w:sz w:val="20"/>
                <w:szCs w:val="20"/>
              </w:rPr>
              <w:t>1,0</w:t>
            </w:r>
          </w:p>
        </w:tc>
        <w:tc>
          <w:tcPr>
            <w:tcW w:w="1559" w:type="dxa"/>
            <w:shd w:val="clear" w:color="auto" w:fill="auto"/>
            <w:noWrap/>
            <w:vAlign w:val="center"/>
          </w:tcPr>
          <w:p w14:paraId="34CEE625" w14:textId="77777777" w:rsidR="002907A0" w:rsidRPr="005808FC" w:rsidRDefault="002907A0" w:rsidP="005808FC">
            <w:pPr>
              <w:spacing w:after="0" w:line="240" w:lineRule="auto"/>
              <w:jc w:val="center"/>
              <w:rPr>
                <w:sz w:val="20"/>
                <w:szCs w:val="20"/>
              </w:rPr>
            </w:pPr>
            <w:r w:rsidRPr="00291DF5">
              <w:rPr>
                <w:sz w:val="20"/>
                <w:szCs w:val="20"/>
              </w:rPr>
              <w:t>61,8</w:t>
            </w:r>
          </w:p>
        </w:tc>
        <w:tc>
          <w:tcPr>
            <w:tcW w:w="2127" w:type="dxa"/>
            <w:shd w:val="clear" w:color="auto" w:fill="auto"/>
            <w:noWrap/>
            <w:vAlign w:val="center"/>
          </w:tcPr>
          <w:p w14:paraId="005FE799" w14:textId="77777777" w:rsidR="002907A0" w:rsidRPr="005808FC" w:rsidRDefault="002907A0" w:rsidP="005808FC">
            <w:pPr>
              <w:spacing w:after="0" w:line="240" w:lineRule="auto"/>
              <w:jc w:val="center"/>
              <w:rPr>
                <w:sz w:val="20"/>
                <w:szCs w:val="20"/>
              </w:rPr>
            </w:pPr>
            <w:r w:rsidRPr="00291DF5">
              <w:rPr>
                <w:sz w:val="20"/>
                <w:szCs w:val="20"/>
              </w:rPr>
              <w:t>100</w:t>
            </w:r>
          </w:p>
        </w:tc>
      </w:tr>
    </w:tbl>
    <w:p w14:paraId="2F963177" w14:textId="77777777" w:rsidR="002907A0" w:rsidRPr="00922031" w:rsidRDefault="002907A0" w:rsidP="002907A0">
      <w:pPr>
        <w:spacing w:after="0" w:line="240" w:lineRule="auto"/>
        <w:rPr>
          <w:rFonts w:cstheme="minorHAnsi"/>
          <w:lang w:eastAsia="hr-HR"/>
        </w:rPr>
      </w:pPr>
    </w:p>
    <w:p w14:paraId="2FF46AD6" w14:textId="1D9DE3FA" w:rsidR="002907A0" w:rsidRPr="00922031" w:rsidRDefault="002907A0" w:rsidP="00F5641B">
      <w:pPr>
        <w:pStyle w:val="Heading2"/>
      </w:pPr>
      <w:bookmarkStart w:id="107" w:name="_Toc251920776"/>
      <w:bookmarkStart w:id="108" w:name="_Toc4156085"/>
      <w:r w:rsidRPr="00922031">
        <w:t>Zaključak</w:t>
      </w:r>
      <w:bookmarkEnd w:id="107"/>
      <w:bookmarkEnd w:id="108"/>
    </w:p>
    <w:p w14:paraId="4EB36DF5" w14:textId="72E6732F" w:rsidR="002907A0" w:rsidRPr="005808FC" w:rsidRDefault="002907A0">
      <w:pPr>
        <w:rPr>
          <w:rFonts w:eastAsia="Calibri"/>
        </w:rPr>
      </w:pPr>
      <w:r w:rsidRPr="00291DF5">
        <w:rPr>
          <w:rFonts w:eastAsia="Calibri"/>
        </w:rPr>
        <w:t>Poznata je činjenica da preko 50% ukupnih emisija stakleničkih plinova nastaje u gradovima</w:t>
      </w:r>
      <w:r w:rsidR="000509A0">
        <w:rPr>
          <w:rFonts w:eastAsia="Calibri"/>
        </w:rPr>
        <w:t xml:space="preserve"> i </w:t>
      </w:r>
      <w:r w:rsidRPr="00291DF5">
        <w:rPr>
          <w:rFonts w:eastAsia="Calibri"/>
        </w:rPr>
        <w:t xml:space="preserve">njihovim okolicama. Nadalje, </w:t>
      </w:r>
      <w:r w:rsidRPr="005808FC">
        <w:rPr>
          <w:rFonts w:eastAsia="Calibri"/>
        </w:rPr>
        <w:t>procjenjuje se da u Europskoj uniji oko 80% stanovništva živi u gradovima. Iz svega navedenog može se zaključiti da je uloga gradskih vlasti iznimno važna za ublažavanje klimatskih promjena</w:t>
      </w:r>
      <w:r w:rsidR="000509A0">
        <w:rPr>
          <w:rFonts w:eastAsia="Calibri"/>
        </w:rPr>
        <w:t xml:space="preserve"> i </w:t>
      </w:r>
      <w:r w:rsidRPr="00291DF5">
        <w:rPr>
          <w:rFonts w:eastAsia="Calibri"/>
        </w:rPr>
        <w:t>zaštitu okoliša na gradskoj, nacionalnoj</w:t>
      </w:r>
      <w:r w:rsidR="000509A0">
        <w:rPr>
          <w:rFonts w:eastAsia="Calibri"/>
        </w:rPr>
        <w:t xml:space="preserve"> i </w:t>
      </w:r>
      <w:r w:rsidRPr="00291DF5">
        <w:rPr>
          <w:rFonts w:eastAsia="Calibri"/>
        </w:rPr>
        <w:t>globalnoj razin</w:t>
      </w:r>
      <w:r w:rsidRPr="005808FC">
        <w:rPr>
          <w:rFonts w:eastAsia="Calibri"/>
        </w:rPr>
        <w:t>i. Referentni</w:t>
      </w:r>
      <w:r w:rsidR="00B25B9E" w:rsidRPr="005808FC">
        <w:rPr>
          <w:rFonts w:eastAsia="Calibri"/>
        </w:rPr>
        <w:t xml:space="preserve"> </w:t>
      </w:r>
      <w:r w:rsidRPr="005808FC">
        <w:rPr>
          <w:rFonts w:eastAsia="Calibri"/>
        </w:rPr>
        <w:t>inventar emisija Grada Zagreba za 2008. godinu obuhvaća izravne (izgaranje goriva)</w:t>
      </w:r>
      <w:r w:rsidR="000509A0">
        <w:rPr>
          <w:rFonts w:eastAsia="Calibri"/>
        </w:rPr>
        <w:t xml:space="preserve"> i </w:t>
      </w:r>
      <w:r w:rsidRPr="00291DF5">
        <w:rPr>
          <w:rFonts w:eastAsia="Calibri"/>
        </w:rPr>
        <w:t>neizravne (potrošnja električne</w:t>
      </w:r>
      <w:r w:rsidR="000509A0">
        <w:rPr>
          <w:rFonts w:eastAsia="Calibri"/>
        </w:rPr>
        <w:t xml:space="preserve"> i </w:t>
      </w:r>
      <w:r w:rsidRPr="00291DF5">
        <w:rPr>
          <w:rFonts w:eastAsia="Calibri"/>
        </w:rPr>
        <w:t>toplinske energije) emisije CO</w:t>
      </w:r>
      <w:r w:rsidRPr="005808FC">
        <w:rPr>
          <w:rFonts w:eastAsia="Calibri"/>
          <w:vertAlign w:val="subscript"/>
        </w:rPr>
        <w:t>2</w:t>
      </w:r>
      <w:r w:rsidRPr="00291DF5">
        <w:rPr>
          <w:rFonts w:eastAsia="Calibri"/>
        </w:rPr>
        <w:t xml:space="preserve"> iz tri sektora neposredne potrošnje energije: 1) zgradarstva 2) prometa</w:t>
      </w:r>
      <w:r w:rsidR="000509A0">
        <w:rPr>
          <w:rFonts w:eastAsia="Calibri"/>
        </w:rPr>
        <w:t xml:space="preserve"> i </w:t>
      </w:r>
      <w:r w:rsidRPr="00291DF5">
        <w:rPr>
          <w:rFonts w:eastAsia="Calibri"/>
        </w:rPr>
        <w:t>3) javne</w:t>
      </w:r>
      <w:r w:rsidRPr="005808FC">
        <w:rPr>
          <w:rFonts w:eastAsia="Calibri"/>
        </w:rPr>
        <w:t xml:space="preserve"> rasvjete. Ukupna emisija CO</w:t>
      </w:r>
      <w:r w:rsidRPr="005808FC">
        <w:rPr>
          <w:rFonts w:eastAsia="Calibri"/>
          <w:vertAlign w:val="subscript"/>
        </w:rPr>
        <w:t>2</w:t>
      </w:r>
      <w:r w:rsidR="00B25B9E" w:rsidRPr="00291DF5">
        <w:rPr>
          <w:rFonts w:eastAsia="Calibri"/>
        </w:rPr>
        <w:t xml:space="preserve"> </w:t>
      </w:r>
      <w:r w:rsidRPr="005808FC">
        <w:rPr>
          <w:rFonts w:eastAsia="Calibri"/>
        </w:rPr>
        <w:t>iz promatranih sektora u Gradu Zagrebu iznosila je u 2008. godini 2796 kt CO</w:t>
      </w:r>
      <w:r w:rsidRPr="005808FC">
        <w:rPr>
          <w:rFonts w:eastAsia="Calibri"/>
          <w:vertAlign w:val="subscript"/>
        </w:rPr>
        <w:t>2</w:t>
      </w:r>
      <w:r w:rsidRPr="00291DF5">
        <w:rPr>
          <w:rFonts w:eastAsia="Calibri"/>
        </w:rPr>
        <w:t>.</w:t>
      </w:r>
    </w:p>
    <w:p w14:paraId="6B27A950" w14:textId="4AAD8734" w:rsidR="002907A0" w:rsidRPr="005808FC" w:rsidRDefault="002907A0">
      <w:pPr>
        <w:rPr>
          <w:rFonts w:eastAsia="Calibri"/>
        </w:rPr>
      </w:pPr>
      <w:r w:rsidRPr="005808FC">
        <w:rPr>
          <w:rFonts w:eastAsia="Calibri"/>
        </w:rPr>
        <w:t>Usporedba Referentnog inventara emisija CO</w:t>
      </w:r>
      <w:r w:rsidRPr="005808FC">
        <w:rPr>
          <w:rFonts w:eastAsia="Calibri"/>
          <w:vertAlign w:val="subscript"/>
        </w:rPr>
        <w:t>2</w:t>
      </w:r>
      <w:r w:rsidRPr="00291DF5">
        <w:rPr>
          <w:rFonts w:eastAsia="Calibri"/>
        </w:rPr>
        <w:t xml:space="preserve"> Grada Zagreba za 2008. godinu s posljednjim Nacionalnim inventarom emisija pokazuje da promet Grada Za</w:t>
      </w:r>
      <w:r w:rsidRPr="005808FC">
        <w:rPr>
          <w:rFonts w:eastAsia="Calibri"/>
        </w:rPr>
        <w:t>greba doprinosi s 16,3%, a zgradarstvo s 21,6% ukupnim emisijama spomenutih sektora Republike Hrvatske. Promatrano u odnosu na broj stanovnika emisija t CO</w:t>
      </w:r>
      <w:r w:rsidRPr="00C77777">
        <w:rPr>
          <w:rFonts w:eastAsia="Calibri"/>
          <w:vertAlign w:val="subscript"/>
        </w:rPr>
        <w:t>2</w:t>
      </w:r>
      <w:r w:rsidRPr="005808FC">
        <w:rPr>
          <w:rFonts w:eastAsia="Calibri"/>
        </w:rPr>
        <w:t>/stanovniku u Gradu Zagrebu iznosi 3,48. U studiji European Green City Index analizirane su emisije CO</w:t>
      </w:r>
      <w:r w:rsidRPr="00C77777">
        <w:rPr>
          <w:rFonts w:eastAsia="Calibri"/>
          <w:vertAlign w:val="subscript"/>
        </w:rPr>
        <w:t>2</w:t>
      </w:r>
      <w:r w:rsidRPr="005808FC">
        <w:rPr>
          <w:rFonts w:eastAsia="Calibri"/>
        </w:rPr>
        <w:t xml:space="preserve"> za 30 europskih gradova u 2007. godini. Grad s najmanjom emisijom od 2,19 t</w:t>
      </w:r>
      <w:r w:rsidR="00C77777">
        <w:rPr>
          <w:rFonts w:eastAsia="Calibri"/>
        </w:rPr>
        <w:t xml:space="preserve"> </w:t>
      </w:r>
      <w:r w:rsidRPr="005808FC">
        <w:rPr>
          <w:rFonts w:eastAsia="Calibri"/>
        </w:rPr>
        <w:t>CO</w:t>
      </w:r>
      <w:r w:rsidRPr="00C77777">
        <w:rPr>
          <w:rFonts w:eastAsia="Calibri"/>
          <w:vertAlign w:val="subscript"/>
        </w:rPr>
        <w:t>2</w:t>
      </w:r>
      <w:r w:rsidRPr="005808FC">
        <w:rPr>
          <w:rFonts w:eastAsia="Calibri"/>
        </w:rPr>
        <w:t>/stanovniku je Oslo, dok je grad s najvećom emisijom od 9,72 t CO</w:t>
      </w:r>
      <w:r w:rsidRPr="00C77777">
        <w:rPr>
          <w:rFonts w:eastAsia="Calibri"/>
          <w:vertAlign w:val="subscript"/>
        </w:rPr>
        <w:t>2</w:t>
      </w:r>
      <w:r w:rsidRPr="005808FC">
        <w:rPr>
          <w:rFonts w:eastAsia="Calibri"/>
        </w:rPr>
        <w:t>/stanovniku Dublin, dok je prosjek emisija analiziranih gradova iznosio 5,09 t</w:t>
      </w:r>
      <w:r w:rsidR="00C77777">
        <w:rPr>
          <w:rFonts w:eastAsia="Calibri"/>
        </w:rPr>
        <w:t xml:space="preserve"> </w:t>
      </w:r>
      <w:r w:rsidRPr="005808FC">
        <w:rPr>
          <w:rFonts w:eastAsia="Calibri"/>
        </w:rPr>
        <w:t>CO2/stanovniku. Iz navedenog se prikaza može zaključiti da je Grad Zagreb po emisiji t CO</w:t>
      </w:r>
      <w:r w:rsidRPr="00C77777">
        <w:rPr>
          <w:rFonts w:eastAsia="Calibri"/>
          <w:vertAlign w:val="subscript"/>
        </w:rPr>
        <w:t>2</w:t>
      </w:r>
      <w:r w:rsidRPr="005808FC">
        <w:rPr>
          <w:rFonts w:eastAsia="Calibri"/>
        </w:rPr>
        <w:t>/stanovniku ispod prosjeka 30 analiziranih europskih gradova ali, uzevši u obzir da ovim Referentnim inventarom emisija CO</w:t>
      </w:r>
      <w:r w:rsidRPr="00C77777">
        <w:rPr>
          <w:rFonts w:eastAsia="Calibri"/>
          <w:vertAlign w:val="subscript"/>
        </w:rPr>
        <w:t>2</w:t>
      </w:r>
      <w:r w:rsidRPr="005808FC">
        <w:rPr>
          <w:rFonts w:eastAsia="Calibri"/>
        </w:rPr>
        <w:t xml:space="preserve"> nije obuhvaćen sektor industrije, stvarni iznos t CO</w:t>
      </w:r>
      <w:r w:rsidRPr="00C77777">
        <w:rPr>
          <w:rFonts w:eastAsia="Calibri"/>
          <w:vertAlign w:val="subscript"/>
        </w:rPr>
        <w:t>2</w:t>
      </w:r>
      <w:r w:rsidRPr="005808FC">
        <w:rPr>
          <w:rFonts w:eastAsia="Calibri"/>
        </w:rPr>
        <w:t>/stanovniku u Gradu Zagrebu je znatno veći.</w:t>
      </w:r>
    </w:p>
    <w:p w14:paraId="1F316746" w14:textId="77777777" w:rsidR="002907A0" w:rsidRPr="00922031" w:rsidRDefault="002907A0" w:rsidP="00975CD4">
      <w:pPr>
        <w:rPr>
          <w:rFonts w:eastAsia="Times New Roman" w:cstheme="minorHAnsi"/>
        </w:rPr>
      </w:pPr>
    </w:p>
    <w:p w14:paraId="1C75FD13" w14:textId="244814A1" w:rsidR="0037035E" w:rsidRPr="00922031" w:rsidRDefault="002907A0" w:rsidP="002907A0">
      <w:pPr>
        <w:rPr>
          <w:rFonts w:cstheme="minorHAnsi"/>
          <w:lang w:eastAsia="hr-HR"/>
        </w:rPr>
      </w:pPr>
      <w:r w:rsidRPr="00922031">
        <w:rPr>
          <w:rFonts w:cstheme="minorHAnsi"/>
          <w:lang w:eastAsia="hr-HR"/>
        </w:rPr>
        <w:br w:type="page"/>
      </w:r>
    </w:p>
    <w:p w14:paraId="475719AC" w14:textId="5ADA669D" w:rsidR="00CD22EE" w:rsidRPr="00922031" w:rsidRDefault="00CD22EE" w:rsidP="007053EB">
      <w:pPr>
        <w:pStyle w:val="Heading1"/>
        <w:rPr>
          <w:rFonts w:eastAsia="Times New Roman"/>
        </w:rPr>
      </w:pPr>
      <w:bookmarkStart w:id="109" w:name="_Toc468345383"/>
      <w:bookmarkStart w:id="110" w:name="_Toc4156086"/>
      <w:r w:rsidRPr="00922031">
        <w:rPr>
          <w:rFonts w:eastAsia="Times New Roman"/>
        </w:rPr>
        <w:lastRenderedPageBreak/>
        <w:t>KONTROLNI INVENTAR EMISIJA CO</w:t>
      </w:r>
      <w:r w:rsidRPr="00922031">
        <w:rPr>
          <w:rFonts w:eastAsia="Times New Roman"/>
          <w:vertAlign w:val="subscript"/>
        </w:rPr>
        <w:t>2</w:t>
      </w:r>
      <w:r w:rsidRPr="00922031">
        <w:rPr>
          <w:rFonts w:eastAsia="Times New Roman"/>
        </w:rPr>
        <w:t xml:space="preserve"> </w:t>
      </w:r>
      <w:bookmarkEnd w:id="109"/>
      <w:r w:rsidRPr="00922031">
        <w:rPr>
          <w:rFonts w:eastAsia="Times New Roman"/>
        </w:rPr>
        <w:t xml:space="preserve">- </w:t>
      </w:r>
      <w:r w:rsidRPr="00291DF5">
        <w:rPr>
          <w:i/>
          <w:iCs/>
        </w:rPr>
        <w:t>Monitorning emission inventory</w:t>
      </w:r>
      <w:r w:rsidRPr="00922031">
        <w:t xml:space="preserve"> (MEI) 2015. godine</w:t>
      </w:r>
      <w:bookmarkEnd w:id="110"/>
    </w:p>
    <w:p w14:paraId="6FB1ACA4" w14:textId="77777777" w:rsidR="00256FE9" w:rsidRDefault="00256FE9" w:rsidP="00721D00">
      <w:pPr>
        <w:rPr>
          <w:rFonts w:cstheme="minorHAnsi"/>
        </w:rPr>
      </w:pPr>
    </w:p>
    <w:p w14:paraId="7B2E3EF2" w14:textId="16B9C470" w:rsidR="00D4384A" w:rsidRPr="00922031" w:rsidRDefault="00D4384A">
      <w:r w:rsidRPr="00291DF5">
        <w:t xml:space="preserve">Za potrebe praćenja uspješnosti Akcijskih planova je potrebno izraditi Kontrolne inventare emisija (engl. </w:t>
      </w:r>
      <w:r w:rsidRPr="00291DF5">
        <w:rPr>
          <w:i/>
          <w:iCs/>
        </w:rPr>
        <w:t xml:space="preserve">Monitorning emission </w:t>
      </w:r>
      <w:r w:rsidRPr="005808FC">
        <w:rPr>
          <w:i/>
          <w:iCs/>
        </w:rPr>
        <w:t>inventory</w:t>
      </w:r>
      <w:r w:rsidRPr="00291DF5">
        <w:t xml:space="preserve"> - MEI) svake dvije odnosno svake četiri godine</w:t>
      </w:r>
      <w:r w:rsidR="00CD22EE" w:rsidRPr="005808FC">
        <w:t>. N</w:t>
      </w:r>
      <w:r w:rsidRPr="005808FC">
        <w:t>a temelju</w:t>
      </w:r>
      <w:r w:rsidR="00CD22EE" w:rsidRPr="005808FC">
        <w:t xml:space="preserve"> Kontrolnih inventara</w:t>
      </w:r>
      <w:r w:rsidRPr="005808FC">
        <w:t xml:space="preserve"> se izrađuju izvješća prema Sporazumu </w:t>
      </w:r>
      <w:r w:rsidR="00CD22EE" w:rsidRPr="005808FC">
        <w:t>gradonačelnika</w:t>
      </w:r>
      <w:r w:rsidRPr="005808FC">
        <w:t>. Grad Zagreb je za potrebe izvještavanja o uspješnosti implementacije mjera iz Akcijskog plana energetski održivog razvitka Grada Zagreba (SEAP) izradio Kontrolni inventar emisija CO</w:t>
      </w:r>
      <w:r w:rsidRPr="005808FC">
        <w:rPr>
          <w:vertAlign w:val="subscript"/>
        </w:rPr>
        <w:t>2</w:t>
      </w:r>
      <w:r w:rsidRPr="005808FC">
        <w:t xml:space="preserve"> za 2015. godinu</w:t>
      </w:r>
      <w:r w:rsidR="00494D06" w:rsidRPr="005808FC">
        <w:t xml:space="preserve"> u okviru dokumenta </w:t>
      </w:r>
      <w:r w:rsidR="00494D06" w:rsidRPr="005808FC">
        <w:rPr>
          <w:rFonts w:eastAsia="Calibri"/>
        </w:rPr>
        <w:t xml:space="preserve">Revizija Akcijskog plana energetski održivog razvoja Grada Zagreba. </w:t>
      </w:r>
    </w:p>
    <w:p w14:paraId="0DCD030C" w14:textId="4DCBC862" w:rsidR="00CD22EE" w:rsidRPr="005808FC" w:rsidRDefault="00CD22EE">
      <w:pPr>
        <w:rPr>
          <w:rFonts w:eastAsia="Calibri"/>
        </w:rPr>
      </w:pPr>
      <w:r w:rsidRPr="00291DF5">
        <w:rPr>
          <w:rFonts w:eastAsia="Calibri"/>
        </w:rPr>
        <w:t>Glavni kriterij prilikom odabira kontrolne godine bila je raspoloživost dos</w:t>
      </w:r>
      <w:r w:rsidRPr="005808FC">
        <w:rPr>
          <w:rFonts w:eastAsia="Calibri"/>
        </w:rPr>
        <w:t>tupnih podataka potrebnih za proračun emisija CO</w:t>
      </w:r>
      <w:r w:rsidRPr="005808FC">
        <w:rPr>
          <w:rFonts w:eastAsia="Calibri"/>
          <w:vertAlign w:val="subscript"/>
        </w:rPr>
        <w:t>2</w:t>
      </w:r>
      <w:r w:rsidRPr="005808FC">
        <w:rPr>
          <w:rFonts w:eastAsia="Calibri"/>
        </w:rPr>
        <w:t>. Nepouzdani podaci o energetskim potrošnjama</w:t>
      </w:r>
      <w:r w:rsidR="000509A0">
        <w:rPr>
          <w:rFonts w:eastAsia="Calibri"/>
        </w:rPr>
        <w:t xml:space="preserve"> i </w:t>
      </w:r>
      <w:r w:rsidRPr="00291DF5">
        <w:rPr>
          <w:rFonts w:eastAsia="Calibri"/>
        </w:rPr>
        <w:t>nužnost njihove procjene unijeli bi veliku nesigurnost u izračunu Kontrolnog inventara emisija CO</w:t>
      </w:r>
      <w:r w:rsidRPr="005808FC">
        <w:rPr>
          <w:rFonts w:eastAsia="Calibri"/>
          <w:vertAlign w:val="subscript"/>
        </w:rPr>
        <w:t>2</w:t>
      </w:r>
      <w:r w:rsidRPr="005808FC">
        <w:rPr>
          <w:rFonts w:eastAsia="Calibri"/>
        </w:rPr>
        <w:t xml:space="preserve"> što nije u skladu s principima metodologije propisane od strane Europske komisije.</w:t>
      </w:r>
    </w:p>
    <w:p w14:paraId="0CFAA201" w14:textId="765FB2A5" w:rsidR="00CD22EE" w:rsidRPr="005808FC" w:rsidRDefault="00CD22EE">
      <w:pPr>
        <w:rPr>
          <w:rFonts w:eastAsia="Calibri"/>
        </w:rPr>
      </w:pPr>
      <w:r w:rsidRPr="005808FC">
        <w:rPr>
          <w:rFonts w:eastAsia="Calibri"/>
        </w:rPr>
        <w:t>Kontrolni inventar je obuhvatio tri sektora finalne potrošnje energije u Gradu: zgradarstvo, promet</w:t>
      </w:r>
      <w:r w:rsidR="000509A0">
        <w:rPr>
          <w:rFonts w:eastAsia="Calibri"/>
        </w:rPr>
        <w:t xml:space="preserve"> i </w:t>
      </w:r>
      <w:r w:rsidRPr="00291DF5">
        <w:rPr>
          <w:rFonts w:eastAsia="Calibri"/>
        </w:rPr>
        <w:t>javnu rasvjetu, a u skladu s klasifikacijom sektora prema preporukama Europske komisije.</w:t>
      </w:r>
    </w:p>
    <w:p w14:paraId="0625AE26" w14:textId="2EDF7220" w:rsidR="00CD22EE" w:rsidRPr="005808FC" w:rsidRDefault="00CD22EE">
      <w:pPr>
        <w:rPr>
          <w:rFonts w:eastAsia="Calibri"/>
        </w:rPr>
      </w:pPr>
      <w:r w:rsidRPr="00291DF5">
        <w:rPr>
          <w:rFonts w:eastAsia="Calibri"/>
        </w:rPr>
        <w:t xml:space="preserve">Analize energetske </w:t>
      </w:r>
      <w:r w:rsidRPr="005808FC">
        <w:rPr>
          <w:rFonts w:eastAsia="Calibri"/>
        </w:rPr>
        <w:t>potrošnje u 2015. godini te emisija CO</w:t>
      </w:r>
      <w:r w:rsidRPr="005808FC">
        <w:rPr>
          <w:rFonts w:eastAsia="Calibri"/>
          <w:vertAlign w:val="subscript"/>
        </w:rPr>
        <w:t>2</w:t>
      </w:r>
      <w:r w:rsidRPr="005808FC">
        <w:rPr>
          <w:rFonts w:eastAsia="Calibri"/>
        </w:rPr>
        <w:t xml:space="preserve"> za svaki pojedini sektor dio su </w:t>
      </w:r>
      <w:r w:rsidRPr="005808FC">
        <w:rPr>
          <w:rFonts w:eastAsia="Calibri"/>
          <w:i/>
          <w:iCs/>
        </w:rPr>
        <w:t>Priloga 6 – Revizija akcijskog plana energetski održivog razvoja Grada Zagreba</w:t>
      </w:r>
      <w:r w:rsidRPr="00291DF5">
        <w:rPr>
          <w:rFonts w:eastAsia="Calibri"/>
        </w:rPr>
        <w:t>. U nastavku poglavlja je dan ukupni Kontrolni inventar emisija CO</w:t>
      </w:r>
      <w:r w:rsidRPr="005808FC">
        <w:rPr>
          <w:rFonts w:eastAsia="Calibri"/>
          <w:vertAlign w:val="subscript"/>
        </w:rPr>
        <w:t>2</w:t>
      </w:r>
      <w:r w:rsidRPr="005808FC">
        <w:rPr>
          <w:rFonts w:eastAsia="Calibri"/>
        </w:rPr>
        <w:t xml:space="preserve"> Grada Zagreba, pregled ukupne energetske potrošnje pojedinog sektora te sumarni prikaz energetske potrošnje Grada Zagreba za 2015. godinu.</w:t>
      </w:r>
    </w:p>
    <w:p w14:paraId="1F5D7943" w14:textId="4B017224" w:rsidR="00494D06" w:rsidRPr="005808FC" w:rsidRDefault="00CD22EE">
      <w:pPr>
        <w:rPr>
          <w:rFonts w:eastAsia="Calibri"/>
        </w:rPr>
      </w:pPr>
      <w:r w:rsidRPr="005808FC">
        <w:rPr>
          <w:rFonts w:eastAsia="Calibri"/>
        </w:rPr>
        <w:t>Proračunom su obuhvaćene izravne (iz izgaranja goriva)</w:t>
      </w:r>
      <w:r w:rsidR="000509A0">
        <w:rPr>
          <w:rFonts w:eastAsia="Calibri"/>
        </w:rPr>
        <w:t xml:space="preserve"> i </w:t>
      </w:r>
      <w:r w:rsidRPr="00291DF5">
        <w:rPr>
          <w:rFonts w:eastAsia="Calibri"/>
        </w:rPr>
        <w:t>neizravne emisije (iz potrošnje električne</w:t>
      </w:r>
      <w:r w:rsidR="000509A0">
        <w:rPr>
          <w:rFonts w:eastAsia="Calibri"/>
        </w:rPr>
        <w:t xml:space="preserve"> i </w:t>
      </w:r>
      <w:r w:rsidRPr="00291DF5">
        <w:rPr>
          <w:rFonts w:eastAsia="Calibri"/>
        </w:rPr>
        <w:t>toplinske energije). Metodologija izrade Invent</w:t>
      </w:r>
      <w:r w:rsidRPr="005808FC">
        <w:rPr>
          <w:rFonts w:eastAsia="Calibri"/>
        </w:rPr>
        <w:t>ara emisije CO</w:t>
      </w:r>
      <w:r w:rsidRPr="005808FC">
        <w:rPr>
          <w:rFonts w:eastAsia="Calibri"/>
          <w:vertAlign w:val="subscript"/>
        </w:rPr>
        <w:t>2</w:t>
      </w:r>
      <w:r w:rsidRPr="005808FC">
        <w:rPr>
          <w:rFonts w:eastAsia="Calibri"/>
        </w:rPr>
        <w:t xml:space="preserve"> razvijena je u sklopu izrade Akcijskog plana, a ista je korištena</w:t>
      </w:r>
      <w:r w:rsidR="000509A0">
        <w:rPr>
          <w:rFonts w:eastAsia="Calibri"/>
        </w:rPr>
        <w:t xml:space="preserve"> i </w:t>
      </w:r>
      <w:r w:rsidRPr="00291DF5">
        <w:rPr>
          <w:rFonts w:eastAsia="Calibri"/>
        </w:rPr>
        <w:t>prilikom izrade Kontrolnog inventara. Ista metodologija izrade preduvjet je usporedivosti Referentnog</w:t>
      </w:r>
      <w:r w:rsidR="000509A0">
        <w:rPr>
          <w:rFonts w:eastAsia="Calibri"/>
        </w:rPr>
        <w:t xml:space="preserve"> i </w:t>
      </w:r>
      <w:r w:rsidRPr="00291DF5">
        <w:rPr>
          <w:rFonts w:eastAsia="Calibri"/>
        </w:rPr>
        <w:t>Kontrolnog inventara</w:t>
      </w:r>
      <w:bookmarkStart w:id="111" w:name="_Toc258238935"/>
      <w:bookmarkStart w:id="112" w:name="_Toc468345388"/>
      <w:r w:rsidR="00721D00" w:rsidRPr="005808FC">
        <w:rPr>
          <w:rFonts w:eastAsia="Calibri"/>
        </w:rPr>
        <w:t>.</w:t>
      </w:r>
    </w:p>
    <w:p w14:paraId="491542D0" w14:textId="1184B668" w:rsidR="00721D00" w:rsidRPr="00922031" w:rsidRDefault="00721D00" w:rsidP="00C43F08">
      <w:bookmarkStart w:id="113" w:name="_Toc258238927"/>
      <w:bookmarkStart w:id="114" w:name="_Toc468345384"/>
      <w:r w:rsidRPr="00922031">
        <w:t>U nastavku poglavlja iznesen je Kontrolni inventar emisija CO</w:t>
      </w:r>
      <w:r w:rsidRPr="00922031">
        <w:rPr>
          <w:vertAlign w:val="subscript"/>
        </w:rPr>
        <w:t>2</w:t>
      </w:r>
      <w:r w:rsidRPr="00922031">
        <w:t xml:space="preserve"> Grada Zagreba, a dokument Revizija Akcijskog plana energetski održivog razvoja Grada Zagreba u kojem se nalaze detaljne energetske analize</w:t>
      </w:r>
      <w:r w:rsidR="000509A0">
        <w:t xml:space="preserve"> i </w:t>
      </w:r>
      <w:r w:rsidRPr="00922031">
        <w:t xml:space="preserve">usporedbe priložen je SECAP-u u vidu </w:t>
      </w:r>
      <w:r w:rsidRPr="005808FC">
        <w:rPr>
          <w:i/>
          <w:iCs/>
        </w:rPr>
        <w:t>Priloga 6</w:t>
      </w:r>
      <w:r w:rsidR="00333EAA">
        <w:t xml:space="preserve"> - </w:t>
      </w:r>
      <w:r w:rsidR="00333EAA" w:rsidRPr="00291DF5">
        <w:rPr>
          <w:rFonts w:eastAsia="Calibri"/>
          <w:i/>
          <w:iCs/>
        </w:rPr>
        <w:t>Revizija akcijskog plana energet</w:t>
      </w:r>
      <w:r w:rsidR="00333EAA" w:rsidRPr="005808FC">
        <w:rPr>
          <w:rFonts w:eastAsia="Calibri"/>
          <w:i/>
          <w:iCs/>
        </w:rPr>
        <w:t>ski održivog razvoja Grada Zagreba</w:t>
      </w:r>
      <w:r w:rsidRPr="00922031">
        <w:t>.</w:t>
      </w:r>
    </w:p>
    <w:p w14:paraId="71CFAA57" w14:textId="77777777" w:rsidR="00721D00" w:rsidRPr="00922031" w:rsidRDefault="00721D00">
      <w:pPr>
        <w:rPr>
          <w:rFonts w:eastAsiaTheme="majorEastAsia" w:cstheme="minorHAnsi"/>
          <w:b/>
          <w:bCs/>
          <w:iCs/>
          <w:sz w:val="26"/>
          <w:szCs w:val="24"/>
        </w:rPr>
      </w:pPr>
      <w:r w:rsidRPr="00922031">
        <w:rPr>
          <w:rFonts w:cstheme="minorHAnsi"/>
          <w:iCs/>
          <w:szCs w:val="24"/>
        </w:rPr>
        <w:br w:type="page"/>
      </w:r>
    </w:p>
    <w:p w14:paraId="4E76C288" w14:textId="6849C9CD" w:rsidR="00494D06" w:rsidRPr="00922031" w:rsidRDefault="00494D06" w:rsidP="0DFBE047">
      <w:pPr>
        <w:pStyle w:val="Heading2"/>
      </w:pPr>
      <w:bookmarkStart w:id="115" w:name="_Toc4156087"/>
      <w:r w:rsidRPr="00922031">
        <w:lastRenderedPageBreak/>
        <w:t>Kontrolni inventar emisija CO</w:t>
      </w:r>
      <w:r w:rsidRPr="00922031">
        <w:rPr>
          <w:vertAlign w:val="subscript"/>
        </w:rPr>
        <w:t>2</w:t>
      </w:r>
      <w:r w:rsidRPr="00922031">
        <w:t xml:space="preserve"> iz sektora zgradarstva Grada Zagreba</w:t>
      </w:r>
      <w:bookmarkEnd w:id="113"/>
      <w:r w:rsidRPr="00922031">
        <w:t xml:space="preserve"> za 2015. godinu</w:t>
      </w:r>
      <w:bookmarkEnd w:id="114"/>
      <w:bookmarkEnd w:id="115"/>
    </w:p>
    <w:p w14:paraId="3D11AC1B" w14:textId="2F8A20B5" w:rsidR="00494D06" w:rsidRPr="00922031" w:rsidRDefault="00494D06" w:rsidP="00256FE9">
      <w:r w:rsidRPr="00922031">
        <w:t>Emisije CO</w:t>
      </w:r>
      <w:r w:rsidRPr="00922031">
        <w:rPr>
          <w:vertAlign w:val="subscript"/>
        </w:rPr>
        <w:t>2</w:t>
      </w:r>
      <w:r w:rsidRPr="00922031">
        <w:t xml:space="preserve"> iz sektora zgradarstva Grada Zagreba obuhvaćaju emisije iz potrošnje električne</w:t>
      </w:r>
      <w:r w:rsidR="000509A0">
        <w:t xml:space="preserve"> i </w:t>
      </w:r>
      <w:r w:rsidRPr="00922031">
        <w:t>toplinske energije te emisije iz izgaranja goriva. Emisije iz izgaranja goriva proračunavaju se preko standardnih emisijskih faktora (prva razina proračuna IPCC metodologije), dok su za proračun emisija iz potrošnje električne</w:t>
      </w:r>
      <w:r w:rsidR="000509A0">
        <w:t xml:space="preserve"> i </w:t>
      </w:r>
      <w:r w:rsidRPr="00922031">
        <w:t xml:space="preserve">toplinske energije određeni specifični emisijski faktori, </w:t>
      </w:r>
      <w:r w:rsidRPr="00922031">
        <w:fldChar w:fldCharType="begin"/>
      </w:r>
      <w:r w:rsidRPr="00922031">
        <w:instrText xml:space="preserve"> REF _Ref465430596 \h  \* MERGEFORMAT </w:instrText>
      </w:r>
      <w:r w:rsidRPr="00922031">
        <w:fldChar w:fldCharType="separate"/>
      </w:r>
      <w:r w:rsidRPr="00256FE9">
        <w:t xml:space="preserve">Tablica </w:t>
      </w:r>
      <w:r w:rsidR="00256FE9" w:rsidRPr="00256FE9">
        <w:t>5</w:t>
      </w:r>
      <w:r w:rsidRPr="00256FE9">
        <w:t>.1</w:t>
      </w:r>
      <w:r w:rsidRPr="00922031">
        <w:fldChar w:fldCharType="end"/>
      </w:r>
      <w:r w:rsidRPr="0DFBE047">
        <w:t>.</w:t>
      </w:r>
    </w:p>
    <w:p w14:paraId="2F23D4C3" w14:textId="77777777" w:rsidR="00AB1AAA" w:rsidRPr="00922031" w:rsidRDefault="00AB1AAA" w:rsidP="00256FE9"/>
    <w:p w14:paraId="6A045356" w14:textId="00873758" w:rsidR="00494D06" w:rsidRPr="005808FC" w:rsidRDefault="0082211F">
      <w:pPr>
        <w:pStyle w:val="Caption"/>
        <w:rPr>
          <w:rFonts w:eastAsia="Calibri" w:cstheme="minorBidi"/>
          <w:lang w:val="hr-HR"/>
        </w:rPr>
      </w:pPr>
      <w:bookmarkStart w:id="116" w:name="_Toc468277513"/>
      <w:bookmarkStart w:id="117" w:name="_Toc4156006"/>
      <w:r w:rsidRPr="005808FC">
        <w:rPr>
          <w:lang w:val="hr-HR"/>
        </w:rPr>
        <w:t xml:space="preserve">Tablica </w:t>
      </w:r>
      <w:r w:rsidR="0019556A">
        <w:fldChar w:fldCharType="begin"/>
      </w:r>
      <w:r w:rsidR="0019556A" w:rsidRPr="005808FC">
        <w:rPr>
          <w:lang w:val="hr-HR"/>
        </w:rPr>
        <w:instrText xml:space="preserve"> STYLEREF 1 \s </w:instrText>
      </w:r>
      <w:r w:rsidR="0019556A">
        <w:fldChar w:fldCharType="separate"/>
      </w:r>
      <w:r w:rsidR="0019556A" w:rsidRPr="005808FC">
        <w:rPr>
          <w:noProof/>
          <w:lang w:val="hr-HR"/>
        </w:rPr>
        <w:t>5</w:t>
      </w:r>
      <w:r w:rsidR="0019556A">
        <w:fldChar w:fldCharType="end"/>
      </w:r>
      <w:r w:rsidR="0019556A" w:rsidRPr="005808FC">
        <w:rPr>
          <w:lang w:val="hr-HR"/>
        </w:rPr>
        <w:t>.</w:t>
      </w:r>
      <w:r w:rsidR="0019556A">
        <w:fldChar w:fldCharType="begin"/>
      </w:r>
      <w:r w:rsidR="0019556A" w:rsidRPr="005808FC">
        <w:rPr>
          <w:lang w:val="hr-HR"/>
        </w:rPr>
        <w:instrText xml:space="preserve"> SEQ Tablica \* ARABIC \s 1 </w:instrText>
      </w:r>
      <w:r w:rsidR="0019556A">
        <w:fldChar w:fldCharType="separate"/>
      </w:r>
      <w:r w:rsidR="0019556A" w:rsidRPr="005808FC">
        <w:rPr>
          <w:noProof/>
          <w:lang w:val="hr-HR"/>
        </w:rPr>
        <w:t>1</w:t>
      </w:r>
      <w:r w:rsidR="0019556A">
        <w:fldChar w:fldCharType="end"/>
      </w:r>
      <w:r w:rsidRPr="005808FC">
        <w:rPr>
          <w:lang w:val="hr-HR"/>
        </w:rPr>
        <w:t xml:space="preserve"> - </w:t>
      </w:r>
      <w:r w:rsidR="00494D06" w:rsidRPr="005808FC">
        <w:rPr>
          <w:rFonts w:eastAsia="Calibri" w:cstheme="minorBidi"/>
          <w:lang w:val="hr-HR"/>
        </w:rPr>
        <w:t>Korišteni emisijski faktori za određivanje emisija CO</w:t>
      </w:r>
      <w:r w:rsidR="00494D06" w:rsidRPr="005808FC">
        <w:rPr>
          <w:rFonts w:eastAsia="Calibri" w:cstheme="minorBidi"/>
          <w:vertAlign w:val="subscript"/>
          <w:lang w:val="hr-HR"/>
        </w:rPr>
        <w:t>2</w:t>
      </w:r>
      <w:r w:rsidR="00494D06" w:rsidRPr="005808FC">
        <w:rPr>
          <w:rFonts w:eastAsia="Calibri" w:cstheme="minorBidi"/>
          <w:lang w:val="hr-HR"/>
        </w:rPr>
        <w:t xml:space="preserve"> iz sektora zgradarstva</w:t>
      </w:r>
      <w:bookmarkEnd w:id="116"/>
      <w:bookmarkEnd w:id="117"/>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130"/>
      </w:tblGrid>
      <w:tr w:rsidR="00494D06" w:rsidRPr="00922031" w14:paraId="226EFD1E" w14:textId="77777777" w:rsidTr="005808FC">
        <w:trPr>
          <w:trHeight w:val="175"/>
        </w:trPr>
        <w:tc>
          <w:tcPr>
            <w:tcW w:w="3244" w:type="pct"/>
            <w:shd w:val="clear" w:color="auto" w:fill="C6D9F1" w:themeFill="text2" w:themeFillTint="33"/>
            <w:noWrap/>
            <w:vAlign w:val="center"/>
            <w:hideMark/>
          </w:tcPr>
          <w:p w14:paraId="42FDE7AE" w14:textId="77777777" w:rsidR="00494D06" w:rsidRPr="005808FC" w:rsidRDefault="00494D06" w:rsidP="005808FC">
            <w:pPr>
              <w:spacing w:after="0" w:line="240" w:lineRule="auto"/>
              <w:rPr>
                <w:rFonts w:eastAsia="Times New Roman"/>
                <w:b/>
                <w:color w:val="000000" w:themeColor="text1"/>
                <w:sz w:val="20"/>
                <w:szCs w:val="20"/>
                <w:lang w:eastAsia="hr-HR"/>
              </w:rPr>
            </w:pPr>
            <w:r w:rsidRPr="00291DF5">
              <w:rPr>
                <w:rFonts w:eastAsia="Times New Roman"/>
                <w:b/>
                <w:bCs/>
                <w:color w:val="000000"/>
                <w:sz w:val="20"/>
                <w:szCs w:val="20"/>
                <w:lang w:eastAsia="hr-HR"/>
              </w:rPr>
              <w:t>ENERGENT</w:t>
            </w:r>
          </w:p>
        </w:tc>
        <w:tc>
          <w:tcPr>
            <w:tcW w:w="1756" w:type="pct"/>
            <w:shd w:val="clear" w:color="auto" w:fill="C6D9F1" w:themeFill="text2" w:themeFillTint="33"/>
            <w:vAlign w:val="center"/>
            <w:hideMark/>
          </w:tcPr>
          <w:p w14:paraId="21ADC518" w14:textId="77777777" w:rsidR="00494D06" w:rsidRPr="005808FC" w:rsidRDefault="00494D06" w:rsidP="005808FC">
            <w:pPr>
              <w:spacing w:after="0" w:line="240" w:lineRule="auto"/>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Emisija kg</w:t>
            </w:r>
            <w:r w:rsidRPr="005808FC">
              <w:rPr>
                <w:rFonts w:eastAsia="Calibri"/>
                <w:b/>
                <w:bCs/>
                <w:sz w:val="20"/>
                <w:szCs w:val="20"/>
              </w:rPr>
              <w:t>CO</w:t>
            </w:r>
            <w:r w:rsidRPr="005808FC">
              <w:rPr>
                <w:rFonts w:eastAsia="Calibri"/>
                <w:b/>
                <w:bCs/>
                <w:sz w:val="20"/>
                <w:szCs w:val="20"/>
                <w:vertAlign w:val="subscript"/>
              </w:rPr>
              <w:t>2</w:t>
            </w:r>
            <w:r w:rsidRPr="005808FC">
              <w:rPr>
                <w:rFonts w:eastAsia="Times New Roman"/>
                <w:b/>
                <w:bCs/>
                <w:color w:val="000000"/>
                <w:sz w:val="20"/>
                <w:szCs w:val="20"/>
                <w:lang w:eastAsia="hr-HR"/>
              </w:rPr>
              <w:t>/kWh</w:t>
            </w:r>
          </w:p>
        </w:tc>
      </w:tr>
      <w:tr w:rsidR="00494D06" w:rsidRPr="00922031" w14:paraId="445A13F5" w14:textId="77777777" w:rsidTr="005808FC">
        <w:trPr>
          <w:trHeight w:val="229"/>
        </w:trPr>
        <w:tc>
          <w:tcPr>
            <w:tcW w:w="3244" w:type="pct"/>
            <w:shd w:val="clear" w:color="auto" w:fill="F2DBDB" w:themeFill="accent2" w:themeFillTint="33"/>
            <w:noWrap/>
            <w:vAlign w:val="center"/>
            <w:hideMark/>
          </w:tcPr>
          <w:p w14:paraId="16F121BF"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Teško loživo ulje/Srednje loživo ulje</w:t>
            </w:r>
          </w:p>
        </w:tc>
        <w:tc>
          <w:tcPr>
            <w:tcW w:w="1756" w:type="pct"/>
            <w:noWrap/>
            <w:vAlign w:val="center"/>
            <w:hideMark/>
          </w:tcPr>
          <w:p w14:paraId="3BA8588E"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0,279</w:t>
            </w:r>
          </w:p>
        </w:tc>
      </w:tr>
      <w:tr w:rsidR="00494D06" w:rsidRPr="00922031" w14:paraId="2FE103EE" w14:textId="77777777" w:rsidTr="005808FC">
        <w:trPr>
          <w:trHeight w:val="119"/>
        </w:trPr>
        <w:tc>
          <w:tcPr>
            <w:tcW w:w="3244" w:type="pct"/>
            <w:shd w:val="clear" w:color="auto" w:fill="F2DBDB" w:themeFill="accent2" w:themeFillTint="33"/>
            <w:noWrap/>
            <w:vAlign w:val="center"/>
            <w:hideMark/>
          </w:tcPr>
          <w:p w14:paraId="4EBC65B6"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Ekstra lako loživo ulje/Lako loživo ulje/Dizel</w:t>
            </w:r>
          </w:p>
        </w:tc>
        <w:tc>
          <w:tcPr>
            <w:tcW w:w="1756" w:type="pct"/>
            <w:noWrap/>
            <w:vAlign w:val="center"/>
            <w:hideMark/>
          </w:tcPr>
          <w:p w14:paraId="2C96CA70"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0,267</w:t>
            </w:r>
          </w:p>
        </w:tc>
      </w:tr>
      <w:tr w:rsidR="00494D06" w:rsidRPr="00922031" w14:paraId="05FE489E" w14:textId="77777777" w:rsidTr="005808FC">
        <w:trPr>
          <w:trHeight w:val="201"/>
        </w:trPr>
        <w:tc>
          <w:tcPr>
            <w:tcW w:w="3244" w:type="pct"/>
            <w:shd w:val="clear" w:color="auto" w:fill="F2DBDB" w:themeFill="accent2" w:themeFillTint="33"/>
            <w:noWrap/>
            <w:vAlign w:val="center"/>
            <w:hideMark/>
          </w:tcPr>
          <w:p w14:paraId="666081BF"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Ukapljeni naftni plin (UNP)</w:t>
            </w:r>
          </w:p>
        </w:tc>
        <w:tc>
          <w:tcPr>
            <w:tcW w:w="1756" w:type="pct"/>
            <w:noWrap/>
            <w:vAlign w:val="center"/>
            <w:hideMark/>
          </w:tcPr>
          <w:p w14:paraId="1F5E76BF"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0,227</w:t>
            </w:r>
          </w:p>
        </w:tc>
      </w:tr>
      <w:tr w:rsidR="00494D06" w:rsidRPr="00922031" w14:paraId="41F72832" w14:textId="77777777" w:rsidTr="005808FC">
        <w:trPr>
          <w:trHeight w:val="91"/>
        </w:trPr>
        <w:tc>
          <w:tcPr>
            <w:tcW w:w="3244" w:type="pct"/>
            <w:shd w:val="clear" w:color="auto" w:fill="F2DBDB" w:themeFill="accent2" w:themeFillTint="33"/>
            <w:noWrap/>
            <w:vAlign w:val="center"/>
          </w:tcPr>
          <w:p w14:paraId="073496F7"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Prirodni plin/Stlačeni prirodni plin (SPP)</w:t>
            </w:r>
          </w:p>
        </w:tc>
        <w:tc>
          <w:tcPr>
            <w:tcW w:w="1756" w:type="pct"/>
            <w:noWrap/>
            <w:vAlign w:val="center"/>
          </w:tcPr>
          <w:p w14:paraId="079032BD"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0,202</w:t>
            </w:r>
          </w:p>
        </w:tc>
      </w:tr>
      <w:tr w:rsidR="00494D06" w:rsidRPr="00922031" w14:paraId="30DC4ECB" w14:textId="77777777" w:rsidTr="005808FC">
        <w:trPr>
          <w:trHeight w:val="123"/>
        </w:trPr>
        <w:tc>
          <w:tcPr>
            <w:tcW w:w="3244" w:type="pct"/>
            <w:shd w:val="clear" w:color="auto" w:fill="F2DBDB" w:themeFill="accent2" w:themeFillTint="33"/>
            <w:noWrap/>
            <w:vAlign w:val="center"/>
            <w:hideMark/>
          </w:tcPr>
          <w:p w14:paraId="41CDCE18"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Biomasa</w:t>
            </w:r>
            <w:r w:rsidRPr="005808FC">
              <w:rPr>
                <w:rStyle w:val="FootnoteReference"/>
                <w:rFonts w:eastAsia="Times New Roman" w:cstheme="minorBidi"/>
                <w:b/>
                <w:color w:val="000000"/>
                <w:sz w:val="20"/>
                <w:szCs w:val="20"/>
                <w:lang w:eastAsia="hr-HR"/>
              </w:rPr>
              <w:footnoteReference w:id="3"/>
            </w:r>
          </w:p>
        </w:tc>
        <w:tc>
          <w:tcPr>
            <w:tcW w:w="1756" w:type="pct"/>
            <w:noWrap/>
            <w:vAlign w:val="center"/>
            <w:hideMark/>
          </w:tcPr>
          <w:p w14:paraId="0F6856F3"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w:t>
            </w:r>
          </w:p>
        </w:tc>
      </w:tr>
      <w:tr w:rsidR="00494D06" w:rsidRPr="00922031" w14:paraId="63AA9B4A" w14:textId="77777777" w:rsidTr="005808FC">
        <w:trPr>
          <w:trHeight w:val="123"/>
        </w:trPr>
        <w:tc>
          <w:tcPr>
            <w:tcW w:w="3244" w:type="pct"/>
            <w:shd w:val="clear" w:color="auto" w:fill="F2DBDB" w:themeFill="accent2" w:themeFillTint="33"/>
            <w:noWrap/>
            <w:vAlign w:val="center"/>
          </w:tcPr>
          <w:p w14:paraId="0EC78329"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Električna energija</w:t>
            </w:r>
          </w:p>
        </w:tc>
        <w:tc>
          <w:tcPr>
            <w:tcW w:w="1756" w:type="pct"/>
            <w:noWrap/>
            <w:vAlign w:val="center"/>
          </w:tcPr>
          <w:p w14:paraId="16FF8554"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0,330</w:t>
            </w:r>
          </w:p>
        </w:tc>
      </w:tr>
      <w:tr w:rsidR="00494D06" w:rsidRPr="00922031" w14:paraId="4623F35F" w14:textId="77777777" w:rsidTr="005808FC">
        <w:trPr>
          <w:trHeight w:val="123"/>
        </w:trPr>
        <w:tc>
          <w:tcPr>
            <w:tcW w:w="3244" w:type="pct"/>
            <w:shd w:val="clear" w:color="auto" w:fill="F2DBDB" w:themeFill="accent2" w:themeFillTint="33"/>
            <w:noWrap/>
            <w:vAlign w:val="center"/>
          </w:tcPr>
          <w:p w14:paraId="2314536E"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Toplinska energija</w:t>
            </w:r>
          </w:p>
        </w:tc>
        <w:tc>
          <w:tcPr>
            <w:tcW w:w="1756" w:type="pct"/>
            <w:noWrap/>
            <w:vAlign w:val="center"/>
          </w:tcPr>
          <w:p w14:paraId="5DD16BDD"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0,274</w:t>
            </w:r>
          </w:p>
        </w:tc>
      </w:tr>
      <w:tr w:rsidR="00494D06" w:rsidRPr="00922031" w14:paraId="5FB38BD1" w14:textId="77777777" w:rsidTr="005808FC">
        <w:trPr>
          <w:trHeight w:val="123"/>
        </w:trPr>
        <w:tc>
          <w:tcPr>
            <w:tcW w:w="3244" w:type="pct"/>
            <w:shd w:val="clear" w:color="auto" w:fill="F2DBDB" w:themeFill="accent2" w:themeFillTint="33"/>
            <w:noWrap/>
            <w:vAlign w:val="center"/>
          </w:tcPr>
          <w:p w14:paraId="6C3C678A"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Lignit</w:t>
            </w:r>
          </w:p>
        </w:tc>
        <w:tc>
          <w:tcPr>
            <w:tcW w:w="1756" w:type="pct"/>
            <w:noWrap/>
            <w:vAlign w:val="center"/>
          </w:tcPr>
          <w:p w14:paraId="645D05C7"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0,364</w:t>
            </w:r>
          </w:p>
        </w:tc>
      </w:tr>
      <w:tr w:rsidR="00494D06" w:rsidRPr="00922031" w14:paraId="2FE4A502" w14:textId="77777777" w:rsidTr="005808FC">
        <w:trPr>
          <w:trHeight w:val="123"/>
        </w:trPr>
        <w:tc>
          <w:tcPr>
            <w:tcW w:w="3244" w:type="pct"/>
            <w:shd w:val="clear" w:color="auto" w:fill="F2DBDB" w:themeFill="accent2" w:themeFillTint="33"/>
            <w:noWrap/>
            <w:vAlign w:val="center"/>
          </w:tcPr>
          <w:p w14:paraId="0607B9AE" w14:textId="77777777" w:rsidR="00494D06" w:rsidRPr="005808FC" w:rsidRDefault="00494D06" w:rsidP="005808FC">
            <w:pPr>
              <w:spacing w:after="0" w:line="240" w:lineRule="auto"/>
              <w:rPr>
                <w:rFonts w:eastAsia="Times New Roman"/>
                <w:b/>
                <w:color w:val="000000"/>
                <w:sz w:val="20"/>
                <w:szCs w:val="20"/>
                <w:lang w:eastAsia="hr-HR"/>
              </w:rPr>
            </w:pPr>
            <w:r w:rsidRPr="005808FC">
              <w:rPr>
                <w:rFonts w:eastAsia="Times New Roman"/>
                <w:b/>
                <w:color w:val="000000"/>
                <w:sz w:val="20"/>
                <w:szCs w:val="20"/>
                <w:lang w:eastAsia="hr-HR"/>
              </w:rPr>
              <w:t>Mrki ugljen</w:t>
            </w:r>
          </w:p>
        </w:tc>
        <w:tc>
          <w:tcPr>
            <w:tcW w:w="1756" w:type="pct"/>
            <w:noWrap/>
            <w:vAlign w:val="center"/>
          </w:tcPr>
          <w:p w14:paraId="716AF923" w14:textId="77777777" w:rsidR="00494D06" w:rsidRPr="005808FC" w:rsidRDefault="00494D06" w:rsidP="005808FC">
            <w:pPr>
              <w:spacing w:after="0" w:line="240"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0,346</w:t>
            </w:r>
          </w:p>
        </w:tc>
      </w:tr>
    </w:tbl>
    <w:p w14:paraId="594BBC45" w14:textId="77777777" w:rsidR="00AB1AAA" w:rsidRPr="00922031" w:rsidRDefault="00AB1AAA" w:rsidP="00AB1AAA">
      <w:pPr>
        <w:spacing w:before="240"/>
        <w:rPr>
          <w:rFonts w:eastAsia="Calibri" w:cstheme="minorHAnsi"/>
        </w:rPr>
      </w:pPr>
    </w:p>
    <w:p w14:paraId="719B09C7" w14:textId="76A95DB1" w:rsidR="00494D06" w:rsidRPr="005808FC" w:rsidRDefault="00494D06" w:rsidP="005808FC">
      <w:pPr>
        <w:spacing w:before="240"/>
        <w:rPr>
          <w:rFonts w:eastAsia="Calibri"/>
        </w:rPr>
      </w:pPr>
      <w:r w:rsidRPr="00291DF5">
        <w:rPr>
          <w:rFonts w:eastAsia="Calibri"/>
        </w:rPr>
        <w:t xml:space="preserve">U </w:t>
      </w:r>
      <w:r w:rsidRPr="005808FC">
        <w:fldChar w:fldCharType="begin"/>
      </w:r>
      <w:r w:rsidRPr="00256FE9">
        <w:rPr>
          <w:rFonts w:eastAsia="Calibri" w:cstheme="minorHAnsi"/>
        </w:rPr>
        <w:instrText xml:space="preserve"> REF _Ref465430742 \h  \* MERGEFORMAT </w:instrText>
      </w:r>
      <w:r w:rsidRPr="005808FC">
        <w:rPr>
          <w:rFonts w:eastAsia="Calibri" w:cstheme="minorHAnsi"/>
        </w:rPr>
        <w:fldChar w:fldCharType="separate"/>
      </w:r>
      <w:r w:rsidRPr="005808FC">
        <w:rPr>
          <w:rFonts w:eastAsia="Calibri"/>
        </w:rPr>
        <w:t xml:space="preserve">Tablici </w:t>
      </w:r>
      <w:r w:rsidR="00256FE9" w:rsidRPr="005808FC">
        <w:rPr>
          <w:rFonts w:eastAsia="Calibri"/>
          <w:noProof/>
        </w:rPr>
        <w:t>5</w:t>
      </w:r>
      <w:r w:rsidRPr="005808FC">
        <w:rPr>
          <w:rFonts w:eastAsia="Calibri"/>
          <w:noProof/>
        </w:rPr>
        <w:t>.2</w:t>
      </w:r>
      <w:r w:rsidRPr="005808FC">
        <w:fldChar w:fldCharType="end"/>
      </w:r>
      <w:r w:rsidRPr="00291DF5">
        <w:rPr>
          <w:rFonts w:eastAsia="Calibri"/>
        </w:rPr>
        <w:t xml:space="preserve"> te na </w:t>
      </w:r>
      <w:r w:rsidRPr="005808FC">
        <w:fldChar w:fldCharType="begin"/>
      </w:r>
      <w:r w:rsidRPr="00256FE9">
        <w:rPr>
          <w:rFonts w:eastAsia="Calibri" w:cstheme="minorHAnsi"/>
        </w:rPr>
        <w:instrText xml:space="preserve"> REF _Ref465430853 \h  \* MERGEFORMAT </w:instrText>
      </w:r>
      <w:r w:rsidRPr="005808FC">
        <w:rPr>
          <w:rFonts w:eastAsia="Calibri" w:cstheme="minorHAnsi"/>
        </w:rPr>
        <w:fldChar w:fldCharType="separate"/>
      </w:r>
      <w:r w:rsidRPr="005808FC">
        <w:rPr>
          <w:rFonts w:eastAsia="Calibri"/>
        </w:rPr>
        <w:t xml:space="preserve">Slici </w:t>
      </w:r>
      <w:r w:rsidR="00256FE9" w:rsidRPr="005808FC">
        <w:rPr>
          <w:rFonts w:eastAsia="Calibri"/>
          <w:noProof/>
        </w:rPr>
        <w:t>5</w:t>
      </w:r>
      <w:r w:rsidRPr="005808FC">
        <w:rPr>
          <w:rFonts w:eastAsia="Calibri"/>
          <w:noProof/>
        </w:rPr>
        <w:t>.1</w:t>
      </w:r>
      <w:r w:rsidRPr="005808FC">
        <w:fldChar w:fldCharType="end"/>
      </w:r>
      <w:r w:rsidRPr="00291DF5">
        <w:rPr>
          <w:rFonts w:eastAsia="Calibri"/>
        </w:rPr>
        <w:t xml:space="preserve"> prikazane su emisije CO</w:t>
      </w:r>
      <w:r w:rsidRPr="005808FC">
        <w:rPr>
          <w:rFonts w:eastAsia="Calibri"/>
          <w:vertAlign w:val="subscript"/>
        </w:rPr>
        <w:t>2</w:t>
      </w:r>
      <w:r w:rsidRPr="005808FC">
        <w:rPr>
          <w:rFonts w:eastAsia="Calibri"/>
        </w:rPr>
        <w:t xml:space="preserve"> sektora zgradarstva Grada Zagreba za 2015. godinu. Udio pojedinog energenta u ukupnoj emisiji CO</w:t>
      </w:r>
      <w:r w:rsidRPr="005808FC">
        <w:rPr>
          <w:rFonts w:eastAsia="Calibri"/>
          <w:vertAlign w:val="subscript"/>
        </w:rPr>
        <w:t>2</w:t>
      </w:r>
      <w:r w:rsidRPr="005808FC">
        <w:rPr>
          <w:rFonts w:eastAsia="Calibri"/>
        </w:rPr>
        <w:t xml:space="preserve"> iz sektora zgradarstva Grada Zagreba za 2015. godinu prikazan je na </w:t>
      </w:r>
      <w:r w:rsidRPr="005808FC">
        <w:fldChar w:fldCharType="begin"/>
      </w:r>
      <w:r w:rsidRPr="00256FE9">
        <w:rPr>
          <w:rFonts w:eastAsia="Calibri" w:cstheme="minorHAnsi"/>
        </w:rPr>
        <w:instrText xml:space="preserve"> REF _Ref465431410 \h  \* MERGEFORMAT </w:instrText>
      </w:r>
      <w:r w:rsidRPr="005808FC">
        <w:rPr>
          <w:rFonts w:eastAsia="Calibri" w:cstheme="minorHAnsi"/>
        </w:rPr>
        <w:fldChar w:fldCharType="separate"/>
      </w:r>
      <w:r w:rsidRPr="005808FC">
        <w:rPr>
          <w:rFonts w:eastAsia="Calibri"/>
        </w:rPr>
        <w:t xml:space="preserve">Slici </w:t>
      </w:r>
      <w:r w:rsidR="00256FE9" w:rsidRPr="005808FC">
        <w:rPr>
          <w:rFonts w:eastAsia="Calibri"/>
          <w:noProof/>
        </w:rPr>
        <w:t>5</w:t>
      </w:r>
      <w:r w:rsidRPr="005808FC">
        <w:rPr>
          <w:rFonts w:eastAsia="Calibri"/>
          <w:noProof/>
        </w:rPr>
        <w:t>.2</w:t>
      </w:r>
      <w:r w:rsidRPr="005808FC">
        <w:fldChar w:fldCharType="end"/>
      </w:r>
      <w:r w:rsidRPr="00291DF5">
        <w:rPr>
          <w:rFonts w:eastAsia="Calibri"/>
        </w:rPr>
        <w:t xml:space="preserve"> te udio pojedinog p</w:t>
      </w:r>
      <w:r w:rsidRPr="005808FC">
        <w:rPr>
          <w:rFonts w:eastAsia="Calibri"/>
        </w:rPr>
        <w:t xml:space="preserve">odsektora na </w:t>
      </w:r>
      <w:r w:rsidRPr="005808FC">
        <w:fldChar w:fldCharType="begin"/>
      </w:r>
      <w:r w:rsidRPr="00256FE9">
        <w:rPr>
          <w:rFonts w:eastAsia="Calibri" w:cstheme="minorHAnsi"/>
        </w:rPr>
        <w:instrText xml:space="preserve"> REF _Ref465432729 \h  \* MERGEFORMAT </w:instrText>
      </w:r>
      <w:r w:rsidRPr="005808FC">
        <w:rPr>
          <w:rFonts w:eastAsia="Calibri" w:cstheme="minorHAnsi"/>
        </w:rPr>
        <w:fldChar w:fldCharType="separate"/>
      </w:r>
      <w:r w:rsidRPr="005808FC">
        <w:rPr>
          <w:rFonts w:eastAsia="Calibri"/>
        </w:rPr>
        <w:t xml:space="preserve">Slici </w:t>
      </w:r>
      <w:r w:rsidR="00256FE9" w:rsidRPr="005808FC">
        <w:rPr>
          <w:rFonts w:eastAsia="Calibri"/>
          <w:noProof/>
        </w:rPr>
        <w:t>5</w:t>
      </w:r>
      <w:r w:rsidRPr="005808FC">
        <w:rPr>
          <w:rFonts w:eastAsia="Calibri"/>
          <w:noProof/>
        </w:rPr>
        <w:t>.3</w:t>
      </w:r>
      <w:r w:rsidRPr="005808FC">
        <w:fldChar w:fldCharType="end"/>
      </w:r>
      <w:r w:rsidRPr="00291DF5">
        <w:rPr>
          <w:rFonts w:eastAsia="Calibri"/>
        </w:rPr>
        <w:t>.</w:t>
      </w:r>
    </w:p>
    <w:p w14:paraId="5239866F" w14:textId="77777777" w:rsidR="00AB1AAA" w:rsidRPr="00922031" w:rsidRDefault="00AB1AAA" w:rsidP="00AB1AAA">
      <w:pPr>
        <w:spacing w:after="0" w:line="240" w:lineRule="auto"/>
        <w:rPr>
          <w:rFonts w:eastAsia="Calibri" w:cstheme="minorHAnsi"/>
          <w:b/>
          <w:bCs/>
        </w:rPr>
      </w:pPr>
    </w:p>
    <w:p w14:paraId="26918BC6" w14:textId="5CFE903F" w:rsidR="00AB1AAA" w:rsidRPr="005808FC" w:rsidRDefault="0082211F">
      <w:pPr>
        <w:pStyle w:val="Caption"/>
        <w:rPr>
          <w:rFonts w:eastAsia="Calibri" w:cstheme="minorBidi"/>
          <w:lang w:val="it-IT"/>
        </w:rPr>
      </w:pPr>
      <w:bookmarkStart w:id="118" w:name="_Toc4156007"/>
      <w:r w:rsidRPr="00F158D4">
        <w:rPr>
          <w:lang w:val="it-IT"/>
        </w:rPr>
        <w:t xml:space="preserve">Tablica </w:t>
      </w:r>
      <w:r w:rsidR="0019556A">
        <w:fldChar w:fldCharType="begin"/>
      </w:r>
      <w:r w:rsidR="0019556A" w:rsidRPr="00F158D4">
        <w:rPr>
          <w:lang w:val="it-IT"/>
        </w:rPr>
        <w:instrText xml:space="preserve"> STYLEREF 1 \s </w:instrText>
      </w:r>
      <w:r w:rsidR="0019556A">
        <w:fldChar w:fldCharType="separate"/>
      </w:r>
      <w:r w:rsidR="0019556A" w:rsidRPr="00F158D4">
        <w:rPr>
          <w:noProof/>
          <w:lang w:val="it-IT"/>
        </w:rPr>
        <w:t>5</w:t>
      </w:r>
      <w:r w:rsidR="0019556A">
        <w:fldChar w:fldCharType="end"/>
      </w:r>
      <w:r w:rsidR="0019556A" w:rsidRPr="00F158D4">
        <w:rPr>
          <w:lang w:val="it-IT"/>
        </w:rPr>
        <w:t>.</w:t>
      </w:r>
      <w:r w:rsidR="0019556A">
        <w:fldChar w:fldCharType="begin"/>
      </w:r>
      <w:r w:rsidR="0019556A" w:rsidRPr="00F158D4">
        <w:rPr>
          <w:lang w:val="it-IT"/>
        </w:rPr>
        <w:instrText xml:space="preserve"> SEQ Tablica \* ARABIC \s 1 </w:instrText>
      </w:r>
      <w:r w:rsidR="0019556A">
        <w:fldChar w:fldCharType="separate"/>
      </w:r>
      <w:r w:rsidR="0019556A" w:rsidRPr="00F158D4">
        <w:rPr>
          <w:noProof/>
          <w:lang w:val="it-IT"/>
        </w:rPr>
        <w:t>2</w:t>
      </w:r>
      <w:r w:rsidR="0019556A">
        <w:fldChar w:fldCharType="end"/>
      </w:r>
      <w:r w:rsidRPr="00F158D4">
        <w:rPr>
          <w:lang w:val="it-IT"/>
        </w:rPr>
        <w:t xml:space="preserve"> - </w:t>
      </w:r>
      <w:r w:rsidR="00AB1AAA" w:rsidRPr="00291DF5">
        <w:rPr>
          <w:rFonts w:eastAsia="Calibri" w:cstheme="minorBidi"/>
          <w:lang w:val="it-IT"/>
        </w:rPr>
        <w:t xml:space="preserve">Kontrolni inventar </w:t>
      </w:r>
      <w:r w:rsidR="00AB1AAA" w:rsidRPr="005808FC">
        <w:rPr>
          <w:rFonts w:cstheme="minorBidi"/>
          <w:lang w:val="it-IT"/>
        </w:rPr>
        <w:t>emisije CO</w:t>
      </w:r>
      <w:r w:rsidR="00AB1AAA" w:rsidRPr="005808FC">
        <w:rPr>
          <w:rFonts w:cstheme="minorBidi"/>
          <w:vertAlign w:val="subscript"/>
          <w:lang w:val="it-IT"/>
        </w:rPr>
        <w:t>2</w:t>
      </w:r>
      <w:r w:rsidR="00AB1AAA" w:rsidRPr="005808FC">
        <w:rPr>
          <w:rFonts w:cstheme="minorBidi"/>
          <w:lang w:val="it-IT"/>
        </w:rPr>
        <w:t xml:space="preserve"> sektora zgradarstva Grada Zagreba za 2015. godinu</w:t>
      </w:r>
      <w:bookmarkEnd w:id="118"/>
    </w:p>
    <w:tbl>
      <w:tblPr>
        <w:tblW w:w="5424" w:type="pct"/>
        <w:tblInd w:w="-5" w:type="dxa"/>
        <w:tblLayout w:type="fixed"/>
        <w:tblLook w:val="04A0" w:firstRow="1" w:lastRow="0" w:firstColumn="1" w:lastColumn="0" w:noHBand="0" w:noVBand="1"/>
      </w:tblPr>
      <w:tblGrid>
        <w:gridCol w:w="989"/>
        <w:gridCol w:w="998"/>
        <w:gridCol w:w="708"/>
        <w:gridCol w:w="992"/>
        <w:gridCol w:w="994"/>
        <w:gridCol w:w="706"/>
        <w:gridCol w:w="990"/>
        <w:gridCol w:w="708"/>
        <w:gridCol w:w="710"/>
        <w:gridCol w:w="849"/>
        <w:gridCol w:w="1137"/>
      </w:tblGrid>
      <w:tr w:rsidR="00AB1AAA" w:rsidRPr="00922031" w14:paraId="60EA7645" w14:textId="77777777" w:rsidTr="00C77777">
        <w:trPr>
          <w:trHeight w:val="225"/>
        </w:trPr>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F1B2F17" w14:textId="77777777" w:rsidR="00AB1AAA" w:rsidRPr="005808FC" w:rsidRDefault="00AB1AAA" w:rsidP="005808FC">
            <w:pPr>
              <w:spacing w:after="0" w:line="240" w:lineRule="auto"/>
              <w:rPr>
                <w:rFonts w:eastAsia="Times New Roman"/>
                <w:b/>
                <w:color w:val="000000" w:themeColor="text1"/>
                <w:sz w:val="20"/>
                <w:szCs w:val="20"/>
                <w:lang w:eastAsia="hr-HR"/>
              </w:rPr>
            </w:pPr>
            <w:r w:rsidRPr="00291DF5">
              <w:rPr>
                <w:rFonts w:eastAsia="Times New Roman"/>
                <w:b/>
                <w:bCs/>
                <w:color w:val="000000"/>
                <w:sz w:val="18"/>
                <w:szCs w:val="18"/>
                <w:lang w:eastAsia="hr-HR"/>
              </w:rPr>
              <w:t>ZGRADARSTVO - emisija (t CO</w:t>
            </w:r>
            <w:r w:rsidRPr="005808FC">
              <w:rPr>
                <w:rFonts w:eastAsia="Times New Roman"/>
                <w:b/>
                <w:bCs/>
                <w:color w:val="000000"/>
                <w:sz w:val="18"/>
                <w:szCs w:val="18"/>
                <w:vertAlign w:val="subscript"/>
                <w:lang w:eastAsia="hr-HR"/>
              </w:rPr>
              <w:t>2</w:t>
            </w:r>
            <w:r w:rsidRPr="005808FC">
              <w:rPr>
                <w:rFonts w:eastAsia="Times New Roman"/>
                <w:b/>
                <w:bCs/>
                <w:color w:val="000000"/>
                <w:sz w:val="18"/>
                <w:szCs w:val="18"/>
                <w:lang w:eastAsia="hr-HR"/>
              </w:rPr>
              <w:t>)</w:t>
            </w:r>
          </w:p>
        </w:tc>
      </w:tr>
      <w:tr w:rsidR="00C77777" w:rsidRPr="00922031" w14:paraId="7B7470BA" w14:textId="77777777" w:rsidTr="00C77777">
        <w:trPr>
          <w:trHeight w:val="585"/>
        </w:trPr>
        <w:tc>
          <w:tcPr>
            <w:tcW w:w="506" w:type="pct"/>
            <w:tcBorders>
              <w:top w:val="nil"/>
              <w:left w:val="single" w:sz="4" w:space="0" w:color="auto"/>
              <w:bottom w:val="single" w:sz="4" w:space="0" w:color="auto"/>
              <w:right w:val="single" w:sz="4" w:space="0" w:color="auto"/>
            </w:tcBorders>
            <w:shd w:val="clear" w:color="auto" w:fill="C6D9F1" w:themeFill="text2" w:themeFillTint="33"/>
            <w:noWrap/>
            <w:hideMark/>
          </w:tcPr>
          <w:p w14:paraId="1DC82B02" w14:textId="574F5D51" w:rsidR="00AB1AAA" w:rsidRPr="005808FC" w:rsidRDefault="00C77777" w:rsidP="005808FC">
            <w:pPr>
              <w:spacing w:after="0" w:line="240" w:lineRule="auto"/>
              <w:ind w:right="30"/>
              <w:rPr>
                <w:rFonts w:eastAsia="Times New Roman"/>
                <w:b/>
                <w:color w:val="000000" w:themeColor="text1"/>
                <w:sz w:val="18"/>
                <w:szCs w:val="18"/>
                <w:lang w:eastAsia="hr-HR"/>
              </w:rPr>
            </w:pPr>
            <w:r>
              <w:rPr>
                <w:rFonts w:eastAsia="Times New Roman"/>
                <w:b/>
                <w:bCs/>
                <w:color w:val="000000"/>
                <w:sz w:val="16"/>
                <w:szCs w:val="18"/>
                <w:lang w:eastAsia="hr-HR"/>
              </w:rPr>
              <w:t>K</w:t>
            </w:r>
            <w:r w:rsidRPr="00C77777">
              <w:rPr>
                <w:rFonts w:eastAsia="Times New Roman"/>
                <w:b/>
                <w:bCs/>
                <w:color w:val="000000"/>
                <w:sz w:val="16"/>
                <w:szCs w:val="18"/>
                <w:lang w:eastAsia="hr-HR"/>
              </w:rPr>
              <w:t>ategorija</w:t>
            </w:r>
          </w:p>
        </w:tc>
        <w:tc>
          <w:tcPr>
            <w:tcW w:w="510" w:type="pct"/>
            <w:tcBorders>
              <w:top w:val="nil"/>
              <w:left w:val="nil"/>
              <w:bottom w:val="single" w:sz="4" w:space="0" w:color="auto"/>
              <w:right w:val="single" w:sz="4" w:space="0" w:color="auto"/>
            </w:tcBorders>
            <w:shd w:val="clear" w:color="auto" w:fill="C6D9F1" w:themeFill="text2" w:themeFillTint="33"/>
            <w:hideMark/>
          </w:tcPr>
          <w:p w14:paraId="23269B75"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Loživo ulje</w:t>
            </w:r>
          </w:p>
        </w:tc>
        <w:tc>
          <w:tcPr>
            <w:tcW w:w="362" w:type="pct"/>
            <w:tcBorders>
              <w:top w:val="nil"/>
              <w:left w:val="nil"/>
              <w:bottom w:val="single" w:sz="4" w:space="0" w:color="auto"/>
              <w:right w:val="single" w:sz="4" w:space="0" w:color="auto"/>
            </w:tcBorders>
            <w:shd w:val="clear" w:color="auto" w:fill="C6D9F1" w:themeFill="text2" w:themeFillTint="33"/>
            <w:hideMark/>
          </w:tcPr>
          <w:p w14:paraId="1B26A608"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Prirodni plin</w:t>
            </w:r>
          </w:p>
        </w:tc>
        <w:tc>
          <w:tcPr>
            <w:tcW w:w="507" w:type="pct"/>
            <w:tcBorders>
              <w:top w:val="nil"/>
              <w:left w:val="nil"/>
              <w:bottom w:val="single" w:sz="4" w:space="0" w:color="auto"/>
              <w:right w:val="single" w:sz="4" w:space="0" w:color="auto"/>
            </w:tcBorders>
            <w:shd w:val="clear" w:color="auto" w:fill="C6D9F1" w:themeFill="text2" w:themeFillTint="33"/>
            <w:hideMark/>
          </w:tcPr>
          <w:p w14:paraId="34BC422B"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Električna energija</w:t>
            </w:r>
          </w:p>
        </w:tc>
        <w:tc>
          <w:tcPr>
            <w:tcW w:w="508" w:type="pct"/>
            <w:tcBorders>
              <w:top w:val="nil"/>
              <w:left w:val="nil"/>
              <w:bottom w:val="single" w:sz="4" w:space="0" w:color="auto"/>
              <w:right w:val="single" w:sz="4" w:space="0" w:color="auto"/>
            </w:tcBorders>
            <w:shd w:val="clear" w:color="auto" w:fill="C6D9F1" w:themeFill="text2" w:themeFillTint="33"/>
            <w:hideMark/>
          </w:tcPr>
          <w:p w14:paraId="35434D7A"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UNP</w:t>
            </w:r>
          </w:p>
        </w:tc>
        <w:tc>
          <w:tcPr>
            <w:tcW w:w="361" w:type="pct"/>
            <w:tcBorders>
              <w:top w:val="nil"/>
              <w:left w:val="nil"/>
              <w:bottom w:val="single" w:sz="4" w:space="0" w:color="auto"/>
              <w:right w:val="single" w:sz="4" w:space="0" w:color="auto"/>
            </w:tcBorders>
            <w:shd w:val="clear" w:color="auto" w:fill="C6D9F1" w:themeFill="text2" w:themeFillTint="33"/>
            <w:hideMark/>
          </w:tcPr>
          <w:p w14:paraId="720023B3"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Plinske boce</w:t>
            </w:r>
          </w:p>
        </w:tc>
        <w:tc>
          <w:tcPr>
            <w:tcW w:w="506" w:type="pct"/>
            <w:tcBorders>
              <w:top w:val="nil"/>
              <w:left w:val="nil"/>
              <w:bottom w:val="single" w:sz="4" w:space="0" w:color="auto"/>
              <w:right w:val="single" w:sz="4" w:space="0" w:color="auto"/>
            </w:tcBorders>
            <w:shd w:val="clear" w:color="auto" w:fill="C6D9F1" w:themeFill="text2" w:themeFillTint="33"/>
            <w:hideMark/>
          </w:tcPr>
          <w:p w14:paraId="0A6676D4"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Toplana</w:t>
            </w:r>
          </w:p>
        </w:tc>
        <w:tc>
          <w:tcPr>
            <w:tcW w:w="362" w:type="pct"/>
            <w:tcBorders>
              <w:top w:val="nil"/>
              <w:left w:val="nil"/>
              <w:bottom w:val="single" w:sz="4" w:space="0" w:color="auto"/>
              <w:right w:val="single" w:sz="4" w:space="0" w:color="auto"/>
            </w:tcBorders>
            <w:shd w:val="clear" w:color="auto" w:fill="C6D9F1" w:themeFill="text2" w:themeFillTint="33"/>
            <w:hideMark/>
          </w:tcPr>
          <w:p w14:paraId="17E94C9B"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Mrki ugljen</w:t>
            </w:r>
          </w:p>
        </w:tc>
        <w:tc>
          <w:tcPr>
            <w:tcW w:w="363" w:type="pct"/>
            <w:tcBorders>
              <w:top w:val="nil"/>
              <w:left w:val="nil"/>
              <w:bottom w:val="single" w:sz="4" w:space="0" w:color="auto"/>
              <w:right w:val="single" w:sz="4" w:space="0" w:color="auto"/>
            </w:tcBorders>
            <w:shd w:val="clear" w:color="auto" w:fill="C6D9F1" w:themeFill="text2" w:themeFillTint="33"/>
            <w:hideMark/>
          </w:tcPr>
          <w:p w14:paraId="6C2C8284"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Lignit</w:t>
            </w:r>
          </w:p>
        </w:tc>
        <w:tc>
          <w:tcPr>
            <w:tcW w:w="434" w:type="pct"/>
            <w:tcBorders>
              <w:top w:val="nil"/>
              <w:left w:val="nil"/>
              <w:bottom w:val="single" w:sz="4" w:space="0" w:color="auto"/>
              <w:right w:val="single" w:sz="4" w:space="0" w:color="auto"/>
            </w:tcBorders>
            <w:shd w:val="clear" w:color="auto" w:fill="C6D9F1" w:themeFill="text2" w:themeFillTint="33"/>
            <w:hideMark/>
          </w:tcPr>
          <w:p w14:paraId="0297E23D"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Petrolej</w:t>
            </w:r>
          </w:p>
        </w:tc>
        <w:tc>
          <w:tcPr>
            <w:tcW w:w="582" w:type="pct"/>
            <w:tcBorders>
              <w:top w:val="nil"/>
              <w:left w:val="nil"/>
              <w:bottom w:val="single" w:sz="4" w:space="0" w:color="auto"/>
              <w:right w:val="single" w:sz="4" w:space="0" w:color="auto"/>
            </w:tcBorders>
            <w:shd w:val="clear" w:color="auto" w:fill="C6D9F1" w:themeFill="text2" w:themeFillTint="33"/>
            <w:hideMark/>
          </w:tcPr>
          <w:p w14:paraId="17CF0160" w14:textId="77777777" w:rsidR="00AB1AAA" w:rsidRPr="00C77777" w:rsidRDefault="00AB1AAA" w:rsidP="005808FC">
            <w:pPr>
              <w:spacing w:after="0" w:line="240" w:lineRule="auto"/>
              <w:jc w:val="center"/>
              <w:rPr>
                <w:rFonts w:eastAsia="Times New Roman"/>
                <w:b/>
                <w:color w:val="000000" w:themeColor="text1"/>
                <w:sz w:val="16"/>
                <w:szCs w:val="18"/>
                <w:lang w:eastAsia="hr-HR"/>
              </w:rPr>
            </w:pPr>
            <w:r w:rsidRPr="00C77777">
              <w:rPr>
                <w:rFonts w:eastAsia="Times New Roman"/>
                <w:b/>
                <w:bCs/>
                <w:color w:val="000000"/>
                <w:sz w:val="16"/>
                <w:szCs w:val="18"/>
                <w:lang w:eastAsia="hr-HR"/>
              </w:rPr>
              <w:t>UKUPNO</w:t>
            </w:r>
          </w:p>
        </w:tc>
      </w:tr>
      <w:tr w:rsidR="00C77777" w:rsidRPr="00922031" w14:paraId="5630A5CA" w14:textId="77777777" w:rsidTr="00C77777">
        <w:trPr>
          <w:trHeight w:val="225"/>
        </w:trPr>
        <w:tc>
          <w:tcPr>
            <w:tcW w:w="506"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3D1590E6" w14:textId="699EFE30" w:rsidR="00AB1AAA" w:rsidRPr="00C77777" w:rsidRDefault="00C77777" w:rsidP="005808FC">
            <w:pPr>
              <w:spacing w:after="0" w:line="240" w:lineRule="auto"/>
              <w:rPr>
                <w:rFonts w:eastAsia="Times New Roman"/>
                <w:b/>
                <w:color w:val="000000" w:themeColor="text1"/>
                <w:sz w:val="16"/>
                <w:szCs w:val="18"/>
                <w:lang w:eastAsia="hr-HR"/>
              </w:rPr>
            </w:pPr>
            <w:r w:rsidRPr="00C77777">
              <w:rPr>
                <w:rFonts w:eastAsia="Times New Roman"/>
                <w:b/>
                <w:bCs/>
                <w:color w:val="000000"/>
                <w:sz w:val="16"/>
                <w:szCs w:val="18"/>
                <w:lang w:eastAsia="hr-HR"/>
              </w:rPr>
              <w:t xml:space="preserve">Stambene i javne zgrade u vlasništvu grada </w:t>
            </w:r>
          </w:p>
        </w:tc>
        <w:tc>
          <w:tcPr>
            <w:tcW w:w="510" w:type="pct"/>
            <w:tcBorders>
              <w:top w:val="nil"/>
              <w:left w:val="nil"/>
              <w:bottom w:val="single" w:sz="4" w:space="0" w:color="auto"/>
              <w:right w:val="single" w:sz="4" w:space="0" w:color="auto"/>
            </w:tcBorders>
            <w:shd w:val="clear" w:color="auto" w:fill="auto"/>
            <w:noWrap/>
            <w:vAlign w:val="center"/>
            <w:hideMark/>
          </w:tcPr>
          <w:p w14:paraId="7F648ECF"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10 565,37</w:t>
            </w:r>
          </w:p>
        </w:tc>
        <w:tc>
          <w:tcPr>
            <w:tcW w:w="362" w:type="pct"/>
            <w:tcBorders>
              <w:top w:val="nil"/>
              <w:left w:val="nil"/>
              <w:bottom w:val="single" w:sz="4" w:space="0" w:color="auto"/>
              <w:right w:val="single" w:sz="4" w:space="0" w:color="auto"/>
            </w:tcBorders>
            <w:shd w:val="clear" w:color="auto" w:fill="auto"/>
            <w:noWrap/>
            <w:vAlign w:val="center"/>
            <w:hideMark/>
          </w:tcPr>
          <w:p w14:paraId="4FC7916F"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35 872,86</w:t>
            </w:r>
          </w:p>
        </w:tc>
        <w:tc>
          <w:tcPr>
            <w:tcW w:w="507" w:type="pct"/>
            <w:tcBorders>
              <w:top w:val="nil"/>
              <w:left w:val="nil"/>
              <w:bottom w:val="single" w:sz="4" w:space="0" w:color="auto"/>
              <w:right w:val="single" w:sz="4" w:space="0" w:color="auto"/>
            </w:tcBorders>
            <w:shd w:val="clear" w:color="auto" w:fill="auto"/>
            <w:noWrap/>
            <w:vAlign w:val="center"/>
            <w:hideMark/>
          </w:tcPr>
          <w:p w14:paraId="36234171"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 xml:space="preserve">50 </w:t>
            </w:r>
            <w:r w:rsidRPr="005808FC">
              <w:rPr>
                <w:rFonts w:eastAsia="Times New Roman"/>
                <w:color w:val="000000"/>
                <w:sz w:val="16"/>
                <w:szCs w:val="16"/>
                <w:lang w:eastAsia="hr-HR"/>
              </w:rPr>
              <w:t>225,42</w:t>
            </w:r>
          </w:p>
        </w:tc>
        <w:tc>
          <w:tcPr>
            <w:tcW w:w="508" w:type="pct"/>
            <w:tcBorders>
              <w:top w:val="nil"/>
              <w:left w:val="nil"/>
              <w:bottom w:val="single" w:sz="4" w:space="0" w:color="auto"/>
              <w:right w:val="single" w:sz="4" w:space="0" w:color="auto"/>
            </w:tcBorders>
            <w:shd w:val="clear" w:color="auto" w:fill="auto"/>
            <w:noWrap/>
            <w:vAlign w:val="center"/>
            <w:hideMark/>
          </w:tcPr>
          <w:p w14:paraId="01925808"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163,98</w:t>
            </w:r>
          </w:p>
        </w:tc>
        <w:tc>
          <w:tcPr>
            <w:tcW w:w="361" w:type="pct"/>
            <w:tcBorders>
              <w:top w:val="nil"/>
              <w:left w:val="nil"/>
              <w:bottom w:val="single" w:sz="4" w:space="0" w:color="auto"/>
              <w:right w:val="single" w:sz="4" w:space="0" w:color="auto"/>
            </w:tcBorders>
            <w:shd w:val="clear" w:color="auto" w:fill="auto"/>
            <w:noWrap/>
            <w:vAlign w:val="center"/>
            <w:hideMark/>
          </w:tcPr>
          <w:p w14:paraId="6647E56C"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1 658,73</w:t>
            </w:r>
          </w:p>
        </w:tc>
        <w:tc>
          <w:tcPr>
            <w:tcW w:w="506" w:type="pct"/>
            <w:tcBorders>
              <w:top w:val="nil"/>
              <w:left w:val="nil"/>
              <w:bottom w:val="single" w:sz="4" w:space="0" w:color="auto"/>
              <w:right w:val="single" w:sz="4" w:space="0" w:color="auto"/>
            </w:tcBorders>
            <w:shd w:val="clear" w:color="auto" w:fill="auto"/>
            <w:noWrap/>
            <w:vAlign w:val="center"/>
            <w:hideMark/>
          </w:tcPr>
          <w:p w14:paraId="6F395B1E"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36 633,85</w:t>
            </w:r>
          </w:p>
        </w:tc>
        <w:tc>
          <w:tcPr>
            <w:tcW w:w="362" w:type="pct"/>
            <w:tcBorders>
              <w:top w:val="nil"/>
              <w:left w:val="nil"/>
              <w:bottom w:val="single" w:sz="4" w:space="0" w:color="auto"/>
              <w:right w:val="single" w:sz="4" w:space="0" w:color="auto"/>
            </w:tcBorders>
            <w:shd w:val="clear" w:color="auto" w:fill="auto"/>
            <w:noWrap/>
            <w:vAlign w:val="center"/>
            <w:hideMark/>
          </w:tcPr>
          <w:p w14:paraId="06696F02"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363" w:type="pct"/>
            <w:tcBorders>
              <w:top w:val="nil"/>
              <w:left w:val="nil"/>
              <w:bottom w:val="single" w:sz="4" w:space="0" w:color="auto"/>
              <w:right w:val="single" w:sz="4" w:space="0" w:color="auto"/>
            </w:tcBorders>
            <w:shd w:val="clear" w:color="auto" w:fill="auto"/>
            <w:noWrap/>
            <w:vAlign w:val="center"/>
            <w:hideMark/>
          </w:tcPr>
          <w:p w14:paraId="15D462CA"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434" w:type="pct"/>
            <w:tcBorders>
              <w:top w:val="nil"/>
              <w:left w:val="nil"/>
              <w:bottom w:val="single" w:sz="4" w:space="0" w:color="auto"/>
              <w:right w:val="single" w:sz="4" w:space="0" w:color="auto"/>
            </w:tcBorders>
            <w:shd w:val="clear" w:color="auto" w:fill="auto"/>
            <w:noWrap/>
            <w:vAlign w:val="center"/>
            <w:hideMark/>
          </w:tcPr>
          <w:p w14:paraId="0FDEA8AA"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582" w:type="pct"/>
            <w:tcBorders>
              <w:top w:val="nil"/>
              <w:left w:val="nil"/>
              <w:bottom w:val="single" w:sz="4" w:space="0" w:color="auto"/>
              <w:right w:val="single" w:sz="4" w:space="0" w:color="auto"/>
            </w:tcBorders>
            <w:shd w:val="clear" w:color="auto" w:fill="auto"/>
            <w:noWrap/>
            <w:vAlign w:val="center"/>
            <w:hideMark/>
          </w:tcPr>
          <w:p w14:paraId="6BF94DF5"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135.120,22</w:t>
            </w:r>
          </w:p>
        </w:tc>
      </w:tr>
      <w:tr w:rsidR="00C77777" w:rsidRPr="00922031" w14:paraId="36798228" w14:textId="77777777" w:rsidTr="00C77777">
        <w:trPr>
          <w:trHeight w:val="225"/>
        </w:trPr>
        <w:tc>
          <w:tcPr>
            <w:tcW w:w="506"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235524E7" w14:textId="3EE0C57F" w:rsidR="00AB1AAA" w:rsidRPr="00C77777" w:rsidRDefault="00C77777" w:rsidP="005808FC">
            <w:pPr>
              <w:spacing w:after="0" w:line="240" w:lineRule="auto"/>
              <w:rPr>
                <w:rFonts w:eastAsia="Times New Roman"/>
                <w:b/>
                <w:color w:val="000000" w:themeColor="text1"/>
                <w:sz w:val="16"/>
                <w:szCs w:val="18"/>
                <w:lang w:eastAsia="hr-HR"/>
              </w:rPr>
            </w:pPr>
            <w:r w:rsidRPr="00C77777">
              <w:rPr>
                <w:rFonts w:eastAsia="Times New Roman"/>
                <w:b/>
                <w:bCs/>
                <w:color w:val="000000"/>
                <w:sz w:val="16"/>
                <w:szCs w:val="18"/>
                <w:lang w:eastAsia="hr-HR"/>
              </w:rPr>
              <w:t>Stanovi - kućanstva</w:t>
            </w:r>
          </w:p>
        </w:tc>
        <w:tc>
          <w:tcPr>
            <w:tcW w:w="510" w:type="pct"/>
            <w:tcBorders>
              <w:top w:val="nil"/>
              <w:left w:val="nil"/>
              <w:bottom w:val="single" w:sz="4" w:space="0" w:color="auto"/>
              <w:right w:val="single" w:sz="4" w:space="0" w:color="auto"/>
            </w:tcBorders>
            <w:shd w:val="clear" w:color="auto" w:fill="auto"/>
            <w:noWrap/>
            <w:vAlign w:val="center"/>
            <w:hideMark/>
          </w:tcPr>
          <w:p w14:paraId="147588B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11 602,50</w:t>
            </w:r>
          </w:p>
        </w:tc>
        <w:tc>
          <w:tcPr>
            <w:tcW w:w="362" w:type="pct"/>
            <w:tcBorders>
              <w:top w:val="nil"/>
              <w:left w:val="nil"/>
              <w:bottom w:val="single" w:sz="4" w:space="0" w:color="auto"/>
              <w:right w:val="single" w:sz="4" w:space="0" w:color="auto"/>
            </w:tcBorders>
            <w:shd w:val="clear" w:color="auto" w:fill="auto"/>
            <w:noWrap/>
            <w:vAlign w:val="center"/>
            <w:hideMark/>
          </w:tcPr>
          <w:p w14:paraId="7C098873"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434 166,07</w:t>
            </w:r>
          </w:p>
        </w:tc>
        <w:tc>
          <w:tcPr>
            <w:tcW w:w="507" w:type="pct"/>
            <w:tcBorders>
              <w:top w:val="nil"/>
              <w:left w:val="nil"/>
              <w:bottom w:val="single" w:sz="4" w:space="0" w:color="auto"/>
              <w:right w:val="single" w:sz="4" w:space="0" w:color="auto"/>
            </w:tcBorders>
            <w:shd w:val="clear" w:color="auto" w:fill="auto"/>
            <w:noWrap/>
            <w:vAlign w:val="center"/>
            <w:hideMark/>
          </w:tcPr>
          <w:p w14:paraId="14C48CAE"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353 456,59</w:t>
            </w:r>
          </w:p>
        </w:tc>
        <w:tc>
          <w:tcPr>
            <w:tcW w:w="508" w:type="pct"/>
            <w:tcBorders>
              <w:top w:val="nil"/>
              <w:left w:val="nil"/>
              <w:bottom w:val="single" w:sz="4" w:space="0" w:color="auto"/>
              <w:right w:val="single" w:sz="4" w:space="0" w:color="auto"/>
            </w:tcBorders>
            <w:shd w:val="clear" w:color="auto" w:fill="auto"/>
            <w:noWrap/>
            <w:vAlign w:val="center"/>
            <w:hideMark/>
          </w:tcPr>
          <w:p w14:paraId="5355AE13"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7 264,00</w:t>
            </w:r>
          </w:p>
        </w:tc>
        <w:tc>
          <w:tcPr>
            <w:tcW w:w="361" w:type="pct"/>
            <w:tcBorders>
              <w:top w:val="nil"/>
              <w:left w:val="nil"/>
              <w:bottom w:val="single" w:sz="4" w:space="0" w:color="auto"/>
              <w:right w:val="single" w:sz="4" w:space="0" w:color="auto"/>
            </w:tcBorders>
            <w:shd w:val="clear" w:color="auto" w:fill="auto"/>
            <w:noWrap/>
            <w:vAlign w:val="center"/>
            <w:hideMark/>
          </w:tcPr>
          <w:p w14:paraId="1903F7F4"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506" w:type="pct"/>
            <w:tcBorders>
              <w:top w:val="nil"/>
              <w:left w:val="nil"/>
              <w:bottom w:val="single" w:sz="4" w:space="0" w:color="auto"/>
              <w:right w:val="single" w:sz="4" w:space="0" w:color="auto"/>
            </w:tcBorders>
            <w:shd w:val="clear" w:color="auto" w:fill="auto"/>
            <w:noWrap/>
            <w:vAlign w:val="center"/>
            <w:hideMark/>
          </w:tcPr>
          <w:p w14:paraId="484C1871"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250 915,06</w:t>
            </w:r>
          </w:p>
        </w:tc>
        <w:tc>
          <w:tcPr>
            <w:tcW w:w="362" w:type="pct"/>
            <w:tcBorders>
              <w:top w:val="nil"/>
              <w:left w:val="nil"/>
              <w:bottom w:val="single" w:sz="4" w:space="0" w:color="auto"/>
              <w:right w:val="single" w:sz="4" w:space="0" w:color="auto"/>
            </w:tcBorders>
            <w:shd w:val="clear" w:color="auto" w:fill="auto"/>
            <w:noWrap/>
            <w:vAlign w:val="center"/>
            <w:hideMark/>
          </w:tcPr>
          <w:p w14:paraId="2A5287DC"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657,40</w:t>
            </w:r>
          </w:p>
        </w:tc>
        <w:tc>
          <w:tcPr>
            <w:tcW w:w="363" w:type="pct"/>
            <w:tcBorders>
              <w:top w:val="nil"/>
              <w:left w:val="nil"/>
              <w:bottom w:val="single" w:sz="4" w:space="0" w:color="auto"/>
              <w:right w:val="single" w:sz="4" w:space="0" w:color="auto"/>
            </w:tcBorders>
            <w:shd w:val="clear" w:color="auto" w:fill="auto"/>
            <w:noWrap/>
            <w:vAlign w:val="center"/>
            <w:hideMark/>
          </w:tcPr>
          <w:p w14:paraId="3B32D079"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436,80</w:t>
            </w:r>
          </w:p>
        </w:tc>
        <w:tc>
          <w:tcPr>
            <w:tcW w:w="434" w:type="pct"/>
            <w:tcBorders>
              <w:top w:val="nil"/>
              <w:left w:val="nil"/>
              <w:bottom w:val="single" w:sz="4" w:space="0" w:color="auto"/>
              <w:right w:val="single" w:sz="4" w:space="0" w:color="auto"/>
            </w:tcBorders>
            <w:shd w:val="clear" w:color="auto" w:fill="auto"/>
            <w:noWrap/>
            <w:vAlign w:val="center"/>
            <w:hideMark/>
          </w:tcPr>
          <w:p w14:paraId="27748BB9"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569,17</w:t>
            </w:r>
          </w:p>
        </w:tc>
        <w:tc>
          <w:tcPr>
            <w:tcW w:w="582" w:type="pct"/>
            <w:tcBorders>
              <w:top w:val="nil"/>
              <w:left w:val="nil"/>
              <w:bottom w:val="single" w:sz="4" w:space="0" w:color="auto"/>
              <w:right w:val="single" w:sz="4" w:space="0" w:color="auto"/>
            </w:tcBorders>
            <w:shd w:val="clear" w:color="auto" w:fill="auto"/>
            <w:noWrap/>
            <w:vAlign w:val="center"/>
            <w:hideMark/>
          </w:tcPr>
          <w:p w14:paraId="3D2102E9"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1.059.067,60</w:t>
            </w:r>
          </w:p>
        </w:tc>
      </w:tr>
      <w:tr w:rsidR="00C77777" w:rsidRPr="00922031" w14:paraId="78D0CDAF" w14:textId="77777777" w:rsidTr="00C77777">
        <w:trPr>
          <w:trHeight w:val="225"/>
        </w:trPr>
        <w:tc>
          <w:tcPr>
            <w:tcW w:w="506"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6E830661" w14:textId="7BAB7767" w:rsidR="00AB1AAA" w:rsidRPr="00C77777" w:rsidRDefault="00C77777" w:rsidP="005808FC">
            <w:pPr>
              <w:spacing w:after="0" w:line="240" w:lineRule="auto"/>
              <w:rPr>
                <w:rFonts w:eastAsia="Times New Roman"/>
                <w:b/>
                <w:color w:val="000000" w:themeColor="text1"/>
                <w:sz w:val="16"/>
                <w:szCs w:val="18"/>
                <w:lang w:eastAsia="hr-HR"/>
              </w:rPr>
            </w:pPr>
            <w:r w:rsidRPr="00C77777">
              <w:rPr>
                <w:rFonts w:eastAsia="Times New Roman"/>
                <w:b/>
                <w:bCs/>
                <w:color w:val="000000"/>
                <w:sz w:val="16"/>
                <w:szCs w:val="18"/>
                <w:lang w:eastAsia="hr-HR"/>
              </w:rPr>
              <w:t>Komercijalne i uslužne djelatnosti</w:t>
            </w:r>
          </w:p>
        </w:tc>
        <w:tc>
          <w:tcPr>
            <w:tcW w:w="510" w:type="pct"/>
            <w:tcBorders>
              <w:top w:val="nil"/>
              <w:left w:val="nil"/>
              <w:bottom w:val="single" w:sz="4" w:space="0" w:color="auto"/>
              <w:right w:val="single" w:sz="4" w:space="0" w:color="auto"/>
            </w:tcBorders>
            <w:shd w:val="clear" w:color="auto" w:fill="auto"/>
            <w:noWrap/>
            <w:vAlign w:val="center"/>
            <w:hideMark/>
          </w:tcPr>
          <w:p w14:paraId="3398ACE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40 349,40</w:t>
            </w:r>
          </w:p>
        </w:tc>
        <w:tc>
          <w:tcPr>
            <w:tcW w:w="362" w:type="pct"/>
            <w:tcBorders>
              <w:top w:val="nil"/>
              <w:left w:val="nil"/>
              <w:bottom w:val="single" w:sz="4" w:space="0" w:color="auto"/>
              <w:right w:val="single" w:sz="4" w:space="0" w:color="auto"/>
            </w:tcBorders>
            <w:shd w:val="clear" w:color="auto" w:fill="auto"/>
            <w:noWrap/>
            <w:vAlign w:val="center"/>
            <w:hideMark/>
          </w:tcPr>
          <w:p w14:paraId="032CEE1D"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144 351,76</w:t>
            </w:r>
          </w:p>
        </w:tc>
        <w:tc>
          <w:tcPr>
            <w:tcW w:w="507" w:type="pct"/>
            <w:tcBorders>
              <w:top w:val="nil"/>
              <w:left w:val="nil"/>
              <w:bottom w:val="single" w:sz="4" w:space="0" w:color="auto"/>
              <w:right w:val="single" w:sz="4" w:space="0" w:color="auto"/>
            </w:tcBorders>
            <w:shd w:val="clear" w:color="auto" w:fill="auto"/>
            <w:noWrap/>
            <w:vAlign w:val="center"/>
            <w:hideMark/>
          </w:tcPr>
          <w:p w14:paraId="6DB76EC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256 853,67</w:t>
            </w:r>
          </w:p>
        </w:tc>
        <w:tc>
          <w:tcPr>
            <w:tcW w:w="508" w:type="pct"/>
            <w:tcBorders>
              <w:top w:val="nil"/>
              <w:left w:val="nil"/>
              <w:bottom w:val="single" w:sz="4" w:space="0" w:color="auto"/>
              <w:right w:val="single" w:sz="4" w:space="0" w:color="auto"/>
            </w:tcBorders>
            <w:shd w:val="clear" w:color="auto" w:fill="auto"/>
            <w:noWrap/>
            <w:vAlign w:val="center"/>
            <w:hideMark/>
          </w:tcPr>
          <w:p w14:paraId="3120C001"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9 080,00</w:t>
            </w:r>
          </w:p>
        </w:tc>
        <w:tc>
          <w:tcPr>
            <w:tcW w:w="361" w:type="pct"/>
            <w:tcBorders>
              <w:top w:val="nil"/>
              <w:left w:val="nil"/>
              <w:bottom w:val="single" w:sz="4" w:space="0" w:color="auto"/>
              <w:right w:val="single" w:sz="4" w:space="0" w:color="auto"/>
            </w:tcBorders>
            <w:shd w:val="clear" w:color="auto" w:fill="auto"/>
            <w:noWrap/>
            <w:vAlign w:val="center"/>
            <w:hideMark/>
          </w:tcPr>
          <w:p w14:paraId="5072A155"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506" w:type="pct"/>
            <w:tcBorders>
              <w:top w:val="nil"/>
              <w:left w:val="nil"/>
              <w:bottom w:val="single" w:sz="4" w:space="0" w:color="auto"/>
              <w:right w:val="single" w:sz="4" w:space="0" w:color="auto"/>
            </w:tcBorders>
            <w:shd w:val="clear" w:color="auto" w:fill="auto"/>
            <w:noWrap/>
            <w:vAlign w:val="center"/>
            <w:hideMark/>
          </w:tcPr>
          <w:p w14:paraId="58A411D8"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 xml:space="preserve">157 </w:t>
            </w:r>
            <w:r w:rsidRPr="005808FC">
              <w:rPr>
                <w:rFonts w:eastAsia="Times New Roman"/>
                <w:color w:val="000000"/>
                <w:sz w:val="16"/>
                <w:szCs w:val="16"/>
                <w:lang w:eastAsia="hr-HR"/>
              </w:rPr>
              <w:t>119,50</w:t>
            </w:r>
          </w:p>
        </w:tc>
        <w:tc>
          <w:tcPr>
            <w:tcW w:w="362" w:type="pct"/>
            <w:tcBorders>
              <w:top w:val="nil"/>
              <w:left w:val="nil"/>
              <w:bottom w:val="single" w:sz="4" w:space="0" w:color="auto"/>
              <w:right w:val="single" w:sz="4" w:space="0" w:color="auto"/>
            </w:tcBorders>
            <w:shd w:val="clear" w:color="auto" w:fill="auto"/>
            <w:noWrap/>
            <w:vAlign w:val="center"/>
            <w:hideMark/>
          </w:tcPr>
          <w:p w14:paraId="294D6EC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363" w:type="pct"/>
            <w:tcBorders>
              <w:top w:val="nil"/>
              <w:left w:val="nil"/>
              <w:bottom w:val="single" w:sz="4" w:space="0" w:color="auto"/>
              <w:right w:val="single" w:sz="4" w:space="0" w:color="auto"/>
            </w:tcBorders>
            <w:shd w:val="clear" w:color="auto" w:fill="auto"/>
            <w:noWrap/>
            <w:vAlign w:val="center"/>
            <w:hideMark/>
          </w:tcPr>
          <w:p w14:paraId="1A9E8914"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434" w:type="pct"/>
            <w:tcBorders>
              <w:top w:val="nil"/>
              <w:left w:val="nil"/>
              <w:bottom w:val="single" w:sz="4" w:space="0" w:color="auto"/>
              <w:right w:val="single" w:sz="4" w:space="0" w:color="auto"/>
            </w:tcBorders>
            <w:shd w:val="clear" w:color="auto" w:fill="auto"/>
            <w:noWrap/>
            <w:vAlign w:val="center"/>
            <w:hideMark/>
          </w:tcPr>
          <w:p w14:paraId="4EFD892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w:t>
            </w:r>
          </w:p>
        </w:tc>
        <w:tc>
          <w:tcPr>
            <w:tcW w:w="582" w:type="pct"/>
            <w:tcBorders>
              <w:top w:val="nil"/>
              <w:left w:val="nil"/>
              <w:bottom w:val="single" w:sz="4" w:space="0" w:color="auto"/>
              <w:right w:val="single" w:sz="4" w:space="0" w:color="auto"/>
            </w:tcBorders>
            <w:shd w:val="clear" w:color="auto" w:fill="auto"/>
            <w:noWrap/>
            <w:vAlign w:val="center"/>
            <w:hideMark/>
          </w:tcPr>
          <w:p w14:paraId="6F8267B0" w14:textId="77777777" w:rsidR="00AB1AAA" w:rsidRPr="005808FC" w:rsidRDefault="00AB1AAA" w:rsidP="005808FC">
            <w:pPr>
              <w:spacing w:after="0" w:line="240" w:lineRule="auto"/>
              <w:jc w:val="center"/>
              <w:rPr>
                <w:rFonts w:eastAsia="Times New Roman"/>
                <w:color w:val="000000" w:themeColor="text1"/>
                <w:sz w:val="16"/>
                <w:szCs w:val="16"/>
                <w:lang w:eastAsia="hr-HR"/>
              </w:rPr>
            </w:pPr>
            <w:r w:rsidRPr="00291DF5">
              <w:rPr>
                <w:rFonts w:eastAsia="Times New Roman"/>
                <w:color w:val="000000"/>
                <w:sz w:val="16"/>
                <w:szCs w:val="16"/>
                <w:lang w:eastAsia="hr-HR"/>
              </w:rPr>
              <w:t>607.754,33</w:t>
            </w:r>
          </w:p>
        </w:tc>
      </w:tr>
      <w:tr w:rsidR="00C77777" w:rsidRPr="00922031" w14:paraId="3B29DB4A" w14:textId="77777777" w:rsidTr="00C77777">
        <w:trPr>
          <w:trHeight w:val="225"/>
        </w:trPr>
        <w:tc>
          <w:tcPr>
            <w:tcW w:w="506"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7D6FB16D" w14:textId="0F1C9689" w:rsidR="00AB1AAA" w:rsidRPr="005808FC" w:rsidRDefault="00C77777" w:rsidP="005808FC">
            <w:pPr>
              <w:spacing w:after="0" w:line="240" w:lineRule="auto"/>
              <w:rPr>
                <w:rFonts w:eastAsia="Times New Roman"/>
                <w:b/>
                <w:color w:val="000000" w:themeColor="text1"/>
                <w:sz w:val="18"/>
                <w:szCs w:val="18"/>
                <w:lang w:eastAsia="hr-HR"/>
              </w:rPr>
            </w:pPr>
            <w:r>
              <w:rPr>
                <w:rFonts w:eastAsia="Times New Roman"/>
                <w:b/>
                <w:bCs/>
                <w:color w:val="000000"/>
                <w:sz w:val="18"/>
                <w:szCs w:val="18"/>
                <w:lang w:eastAsia="hr-HR"/>
              </w:rPr>
              <w:t>Z</w:t>
            </w:r>
            <w:r w:rsidRPr="00291DF5">
              <w:rPr>
                <w:rFonts w:eastAsia="Times New Roman"/>
                <w:b/>
                <w:bCs/>
                <w:color w:val="000000"/>
                <w:sz w:val="18"/>
                <w:szCs w:val="18"/>
                <w:lang w:eastAsia="hr-HR"/>
              </w:rPr>
              <w:t>gradar</w:t>
            </w:r>
            <w:r>
              <w:rPr>
                <w:rFonts w:eastAsia="Times New Roman"/>
                <w:b/>
                <w:bCs/>
                <w:color w:val="000000"/>
                <w:sz w:val="18"/>
                <w:szCs w:val="18"/>
                <w:lang w:eastAsia="hr-HR"/>
              </w:rPr>
              <w:t>-</w:t>
            </w:r>
            <w:r w:rsidRPr="00291DF5">
              <w:rPr>
                <w:rFonts w:eastAsia="Times New Roman"/>
                <w:b/>
                <w:bCs/>
                <w:color w:val="000000"/>
                <w:sz w:val="18"/>
                <w:szCs w:val="18"/>
                <w:lang w:eastAsia="hr-HR"/>
              </w:rPr>
              <w:t xml:space="preserve">stvo </w:t>
            </w:r>
            <w:r>
              <w:rPr>
                <w:rFonts w:eastAsia="Times New Roman"/>
                <w:b/>
                <w:bCs/>
                <w:color w:val="000000"/>
                <w:sz w:val="18"/>
                <w:szCs w:val="18"/>
                <w:lang w:eastAsia="hr-HR"/>
              </w:rPr>
              <w:t>U</w:t>
            </w:r>
            <w:r w:rsidRPr="00291DF5">
              <w:rPr>
                <w:rFonts w:eastAsia="Times New Roman"/>
                <w:b/>
                <w:bCs/>
                <w:color w:val="000000"/>
                <w:sz w:val="18"/>
                <w:szCs w:val="18"/>
                <w:lang w:eastAsia="hr-HR"/>
              </w:rPr>
              <w:t>kupno</w:t>
            </w:r>
          </w:p>
        </w:tc>
        <w:tc>
          <w:tcPr>
            <w:tcW w:w="510" w:type="pct"/>
            <w:tcBorders>
              <w:top w:val="nil"/>
              <w:left w:val="nil"/>
              <w:bottom w:val="single" w:sz="4" w:space="0" w:color="auto"/>
              <w:right w:val="single" w:sz="4" w:space="0" w:color="auto"/>
            </w:tcBorders>
            <w:shd w:val="clear" w:color="auto" w:fill="auto"/>
            <w:noWrap/>
            <w:vAlign w:val="center"/>
            <w:hideMark/>
          </w:tcPr>
          <w:p w14:paraId="40F6905E"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62 517,27</w:t>
            </w:r>
          </w:p>
        </w:tc>
        <w:tc>
          <w:tcPr>
            <w:tcW w:w="362" w:type="pct"/>
            <w:tcBorders>
              <w:top w:val="nil"/>
              <w:left w:val="nil"/>
              <w:bottom w:val="single" w:sz="4" w:space="0" w:color="auto"/>
              <w:right w:val="single" w:sz="4" w:space="0" w:color="auto"/>
            </w:tcBorders>
            <w:shd w:val="clear" w:color="auto" w:fill="auto"/>
            <w:noWrap/>
            <w:vAlign w:val="center"/>
            <w:hideMark/>
          </w:tcPr>
          <w:p w14:paraId="4E0D4408"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614 390,70</w:t>
            </w:r>
          </w:p>
        </w:tc>
        <w:tc>
          <w:tcPr>
            <w:tcW w:w="507" w:type="pct"/>
            <w:tcBorders>
              <w:top w:val="nil"/>
              <w:left w:val="nil"/>
              <w:bottom w:val="single" w:sz="4" w:space="0" w:color="auto"/>
              <w:right w:val="single" w:sz="4" w:space="0" w:color="auto"/>
            </w:tcBorders>
            <w:shd w:val="clear" w:color="auto" w:fill="auto"/>
            <w:noWrap/>
            <w:vAlign w:val="center"/>
            <w:hideMark/>
          </w:tcPr>
          <w:p w14:paraId="6DF7D799"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660 535,68</w:t>
            </w:r>
          </w:p>
        </w:tc>
        <w:tc>
          <w:tcPr>
            <w:tcW w:w="508" w:type="pct"/>
            <w:tcBorders>
              <w:top w:val="nil"/>
              <w:left w:val="nil"/>
              <w:bottom w:val="single" w:sz="4" w:space="0" w:color="auto"/>
              <w:right w:val="single" w:sz="4" w:space="0" w:color="auto"/>
            </w:tcBorders>
            <w:shd w:val="clear" w:color="auto" w:fill="auto"/>
            <w:noWrap/>
            <w:vAlign w:val="center"/>
            <w:hideMark/>
          </w:tcPr>
          <w:p w14:paraId="5816E99D"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16 507,98</w:t>
            </w:r>
          </w:p>
        </w:tc>
        <w:tc>
          <w:tcPr>
            <w:tcW w:w="361" w:type="pct"/>
            <w:tcBorders>
              <w:top w:val="nil"/>
              <w:left w:val="nil"/>
              <w:bottom w:val="single" w:sz="4" w:space="0" w:color="auto"/>
              <w:right w:val="single" w:sz="4" w:space="0" w:color="auto"/>
            </w:tcBorders>
            <w:shd w:val="clear" w:color="auto" w:fill="auto"/>
            <w:noWrap/>
            <w:vAlign w:val="center"/>
            <w:hideMark/>
          </w:tcPr>
          <w:p w14:paraId="020D0E92"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1 658,73</w:t>
            </w:r>
          </w:p>
        </w:tc>
        <w:tc>
          <w:tcPr>
            <w:tcW w:w="506" w:type="pct"/>
            <w:tcBorders>
              <w:top w:val="nil"/>
              <w:left w:val="nil"/>
              <w:bottom w:val="single" w:sz="4" w:space="0" w:color="auto"/>
              <w:right w:val="single" w:sz="4" w:space="0" w:color="auto"/>
            </w:tcBorders>
            <w:shd w:val="clear" w:color="auto" w:fill="auto"/>
            <w:noWrap/>
            <w:vAlign w:val="center"/>
            <w:hideMark/>
          </w:tcPr>
          <w:p w14:paraId="49F4A50B"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444 668,42</w:t>
            </w:r>
          </w:p>
        </w:tc>
        <w:tc>
          <w:tcPr>
            <w:tcW w:w="362" w:type="pct"/>
            <w:tcBorders>
              <w:top w:val="nil"/>
              <w:left w:val="nil"/>
              <w:bottom w:val="single" w:sz="4" w:space="0" w:color="auto"/>
              <w:right w:val="single" w:sz="4" w:space="0" w:color="auto"/>
            </w:tcBorders>
            <w:shd w:val="clear" w:color="auto" w:fill="auto"/>
            <w:noWrap/>
            <w:vAlign w:val="center"/>
            <w:hideMark/>
          </w:tcPr>
          <w:p w14:paraId="496C8511"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657,40</w:t>
            </w:r>
          </w:p>
        </w:tc>
        <w:tc>
          <w:tcPr>
            <w:tcW w:w="363" w:type="pct"/>
            <w:tcBorders>
              <w:top w:val="nil"/>
              <w:left w:val="nil"/>
              <w:bottom w:val="single" w:sz="4" w:space="0" w:color="auto"/>
              <w:right w:val="single" w:sz="4" w:space="0" w:color="auto"/>
            </w:tcBorders>
            <w:shd w:val="clear" w:color="auto" w:fill="auto"/>
            <w:noWrap/>
            <w:vAlign w:val="center"/>
            <w:hideMark/>
          </w:tcPr>
          <w:p w14:paraId="6339C77F"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436,80</w:t>
            </w:r>
          </w:p>
        </w:tc>
        <w:tc>
          <w:tcPr>
            <w:tcW w:w="434" w:type="pct"/>
            <w:tcBorders>
              <w:top w:val="nil"/>
              <w:left w:val="nil"/>
              <w:bottom w:val="single" w:sz="4" w:space="0" w:color="auto"/>
              <w:right w:val="single" w:sz="4" w:space="0" w:color="auto"/>
            </w:tcBorders>
            <w:shd w:val="clear" w:color="auto" w:fill="auto"/>
            <w:noWrap/>
            <w:vAlign w:val="center"/>
            <w:hideMark/>
          </w:tcPr>
          <w:p w14:paraId="3AA749AD"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569,17</w:t>
            </w:r>
          </w:p>
        </w:tc>
        <w:tc>
          <w:tcPr>
            <w:tcW w:w="582" w:type="pct"/>
            <w:tcBorders>
              <w:top w:val="nil"/>
              <w:left w:val="nil"/>
              <w:bottom w:val="single" w:sz="4" w:space="0" w:color="auto"/>
              <w:right w:val="single" w:sz="4" w:space="0" w:color="auto"/>
            </w:tcBorders>
            <w:shd w:val="clear" w:color="auto" w:fill="auto"/>
            <w:noWrap/>
            <w:vAlign w:val="center"/>
            <w:hideMark/>
          </w:tcPr>
          <w:p w14:paraId="3EC232F6" w14:textId="77777777" w:rsidR="00AB1AAA" w:rsidRPr="005808FC" w:rsidRDefault="00AB1AAA" w:rsidP="005808FC">
            <w:pPr>
              <w:spacing w:after="0" w:line="240" w:lineRule="auto"/>
              <w:jc w:val="center"/>
              <w:rPr>
                <w:rFonts w:eastAsia="Times New Roman"/>
                <w:b/>
                <w:bCs/>
                <w:color w:val="000000" w:themeColor="text1"/>
                <w:sz w:val="16"/>
                <w:szCs w:val="16"/>
                <w:lang w:eastAsia="hr-HR"/>
              </w:rPr>
            </w:pPr>
            <w:r w:rsidRPr="00291DF5">
              <w:rPr>
                <w:rFonts w:eastAsia="Times New Roman"/>
                <w:b/>
                <w:bCs/>
                <w:color w:val="000000"/>
                <w:sz w:val="16"/>
                <w:szCs w:val="16"/>
                <w:lang w:eastAsia="hr-HR"/>
              </w:rPr>
              <w:t>1.801.942,15</w:t>
            </w:r>
          </w:p>
        </w:tc>
      </w:tr>
    </w:tbl>
    <w:p w14:paraId="25ECCFFA" w14:textId="77777777" w:rsidR="00AB1AAA" w:rsidRPr="00922031" w:rsidRDefault="00AB1AAA" w:rsidP="00494D06">
      <w:pPr>
        <w:spacing w:line="240" w:lineRule="auto"/>
        <w:rPr>
          <w:rFonts w:eastAsia="Calibri" w:cstheme="minorHAnsi"/>
          <w:highlight w:val="yellow"/>
        </w:rPr>
      </w:pPr>
    </w:p>
    <w:p w14:paraId="60D8E2F4" w14:textId="77777777" w:rsidR="00AB1AAA" w:rsidRPr="00922031" w:rsidRDefault="00AB1AAA" w:rsidP="6C6A49D4">
      <w:pPr>
        <w:spacing w:line="240" w:lineRule="auto"/>
        <w:rPr>
          <w:rFonts w:eastAsia="Calibri"/>
          <w:b/>
          <w:bCs/>
          <w:highlight w:val="yellow"/>
        </w:rPr>
      </w:pPr>
      <w:r w:rsidRPr="00922031">
        <w:rPr>
          <w:rFonts w:cstheme="minorHAnsi"/>
          <w:noProof/>
          <w:lang w:eastAsia="hr-HR"/>
        </w:rPr>
        <w:lastRenderedPageBreak/>
        <w:drawing>
          <wp:inline distT="0" distB="0" distL="0" distR="0" wp14:anchorId="7CC1CD98" wp14:editId="31F94571">
            <wp:extent cx="5314950" cy="2647950"/>
            <wp:effectExtent l="0" t="0" r="0" b="0"/>
            <wp:docPr id="33" name="Chart 3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22E6A6" w14:textId="3BB492FF" w:rsidR="00AB1AAA" w:rsidRPr="0014082E" w:rsidRDefault="00AB1AAA" w:rsidP="0014082E">
      <w:pPr>
        <w:pStyle w:val="Heading6"/>
        <w:rPr>
          <w:highlight w:val="yellow"/>
        </w:rPr>
      </w:pPr>
      <w:bookmarkStart w:id="119" w:name="_Toc4156031"/>
      <w:r w:rsidRPr="0014082E">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5</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w:t>
      </w:r>
      <w:r w:rsidR="00CA6C6C" w:rsidRPr="005808FC">
        <w:fldChar w:fldCharType="end"/>
      </w:r>
      <w:r w:rsidRPr="0014082E">
        <w:t xml:space="preserve"> </w:t>
      </w:r>
      <w:r w:rsidR="000509A0">
        <w:t xml:space="preserve">- </w:t>
      </w:r>
      <w:r w:rsidRPr="0014082E">
        <w:t>Kontrolni inventar emisije CO2 iz sektora zgradarstva Grada Zagreba prema podsektorima</w:t>
      </w:r>
      <w:r w:rsidR="000509A0">
        <w:t xml:space="preserve"> i </w:t>
      </w:r>
      <w:r w:rsidRPr="0014082E">
        <w:t>energentima za 2015. godinu</w:t>
      </w:r>
      <w:bookmarkEnd w:id="119"/>
    </w:p>
    <w:p w14:paraId="4134043D" w14:textId="77777777" w:rsidR="00AB1AAA" w:rsidRPr="00922031" w:rsidRDefault="00AB1AAA" w:rsidP="00494D06">
      <w:pPr>
        <w:spacing w:line="240" w:lineRule="auto"/>
        <w:rPr>
          <w:rFonts w:eastAsia="Calibri" w:cstheme="minorHAnsi"/>
          <w:highlight w:val="yellow"/>
        </w:rPr>
      </w:pPr>
    </w:p>
    <w:p w14:paraId="482AB6F6" w14:textId="77777777" w:rsidR="00AB1AAA" w:rsidRPr="00922031" w:rsidRDefault="00AB1AAA" w:rsidP="00494D06">
      <w:pPr>
        <w:spacing w:line="240" w:lineRule="auto"/>
        <w:rPr>
          <w:rFonts w:eastAsia="Calibri" w:cstheme="minorHAnsi"/>
          <w:highlight w:val="yellow"/>
        </w:rPr>
      </w:pPr>
    </w:p>
    <w:p w14:paraId="456CCCC9" w14:textId="77777777" w:rsidR="00494D06" w:rsidRPr="00922031" w:rsidRDefault="00494D06" w:rsidP="00494D06">
      <w:pPr>
        <w:spacing w:after="0" w:line="240" w:lineRule="auto"/>
        <w:jc w:val="center"/>
        <w:rPr>
          <w:rFonts w:cstheme="minorHAnsi"/>
          <w:noProof/>
          <w:lang w:eastAsia="hr-HR"/>
        </w:rPr>
      </w:pPr>
      <w:r w:rsidRPr="00922031">
        <w:rPr>
          <w:rFonts w:cstheme="minorHAnsi"/>
          <w:noProof/>
          <w:color w:val="1F497D" w:themeColor="text2"/>
          <w:lang w:eastAsia="hr-HR"/>
        </w:rPr>
        <w:drawing>
          <wp:inline distT="0" distB="0" distL="0" distR="0" wp14:anchorId="7E7EE386" wp14:editId="64EB7C86">
            <wp:extent cx="4848447" cy="3296093"/>
            <wp:effectExtent l="0" t="0" r="0" b="0"/>
            <wp:docPr id="48" name="Chart 4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F924E4" w14:textId="747F9FDA" w:rsidR="00494D06" w:rsidRPr="0014082E" w:rsidRDefault="00494D06" w:rsidP="0014082E">
      <w:pPr>
        <w:pStyle w:val="Heading6"/>
        <w:rPr>
          <w:rFonts w:eastAsia="Calibri"/>
        </w:rPr>
      </w:pPr>
      <w:bookmarkStart w:id="120" w:name="_Ref465431410"/>
      <w:bookmarkStart w:id="121" w:name="_Toc468277469"/>
      <w:bookmarkStart w:id="122" w:name="_Toc4156032"/>
      <w:r w:rsidRPr="0014082E">
        <w:rPr>
          <w:rFonts w:eastAsia="Calibri"/>
        </w:rPr>
        <w:t xml:space="preserve">Slika </w:t>
      </w:r>
      <w:r w:rsidR="0019556A" w:rsidRPr="005808FC">
        <w:fldChar w:fldCharType="begin"/>
      </w:r>
      <w:r w:rsidR="0019556A">
        <w:rPr>
          <w:rFonts w:eastAsia="Calibri"/>
        </w:rPr>
        <w:instrText xml:space="preserve"> STYLEREF 1 \s </w:instrText>
      </w:r>
      <w:r w:rsidR="0019556A" w:rsidRPr="005808FC">
        <w:rPr>
          <w:rFonts w:eastAsia="Calibri"/>
        </w:rPr>
        <w:fldChar w:fldCharType="separate"/>
      </w:r>
      <w:r w:rsidR="0019556A">
        <w:rPr>
          <w:rFonts w:eastAsia="Calibri"/>
          <w:noProof/>
        </w:rPr>
        <w:t>5</w:t>
      </w:r>
      <w:r w:rsidR="0019556A" w:rsidRPr="005808FC">
        <w:fldChar w:fldCharType="end"/>
      </w:r>
      <w:r w:rsidR="0019556A">
        <w:rPr>
          <w:rFonts w:eastAsia="Calibri"/>
        </w:rPr>
        <w:t>.</w:t>
      </w:r>
      <w:r w:rsidR="0019556A" w:rsidRPr="005808FC">
        <w:fldChar w:fldCharType="begin"/>
      </w:r>
      <w:r w:rsidR="0019556A">
        <w:rPr>
          <w:rFonts w:eastAsia="Calibri"/>
        </w:rPr>
        <w:instrText xml:space="preserve"> SEQ Slika \* ARABIC \s 1 </w:instrText>
      </w:r>
      <w:r w:rsidR="0019556A" w:rsidRPr="005808FC">
        <w:rPr>
          <w:rFonts w:eastAsia="Calibri"/>
        </w:rPr>
        <w:fldChar w:fldCharType="separate"/>
      </w:r>
      <w:r w:rsidR="0019556A">
        <w:rPr>
          <w:rFonts w:eastAsia="Calibri"/>
          <w:noProof/>
        </w:rPr>
        <w:t>2</w:t>
      </w:r>
      <w:r w:rsidR="0019556A" w:rsidRPr="005808FC">
        <w:fldChar w:fldCharType="end"/>
      </w:r>
      <w:bookmarkEnd w:id="120"/>
      <w:r w:rsidRPr="0014082E">
        <w:rPr>
          <w:rFonts w:eastAsia="Calibri"/>
        </w:rPr>
        <w:t xml:space="preserve"> </w:t>
      </w:r>
      <w:r w:rsidR="000509A0">
        <w:rPr>
          <w:rFonts w:eastAsia="Calibri"/>
        </w:rPr>
        <w:t xml:space="preserve">- </w:t>
      </w:r>
      <w:r w:rsidRPr="0014082E">
        <w:rPr>
          <w:rFonts w:eastAsia="Calibri"/>
        </w:rPr>
        <w:t>Udio pojedinog energenta u ukupnom Kontrolnom inventaru emisija CO</w:t>
      </w:r>
      <w:r w:rsidRPr="0014082E">
        <w:rPr>
          <w:rFonts w:eastAsia="Calibri"/>
          <w:vertAlign w:val="subscript"/>
        </w:rPr>
        <w:t>2</w:t>
      </w:r>
      <w:r w:rsidRPr="0014082E">
        <w:rPr>
          <w:rFonts w:eastAsia="Calibri"/>
        </w:rPr>
        <w:t xml:space="preserve"> sektora zgradarstvo za 2015. godinu</w:t>
      </w:r>
      <w:bookmarkEnd w:id="121"/>
      <w:bookmarkEnd w:id="122"/>
    </w:p>
    <w:p w14:paraId="660931EA" w14:textId="77777777" w:rsidR="00494D06" w:rsidRPr="005808FC" w:rsidRDefault="00494D06" w:rsidP="005808FC">
      <w:pPr>
        <w:spacing w:line="240" w:lineRule="auto"/>
        <w:rPr>
          <w:rFonts w:eastAsia="Calibri"/>
        </w:rPr>
      </w:pPr>
      <w:r w:rsidRPr="00291DF5">
        <w:rPr>
          <w:rFonts w:eastAsia="Calibri"/>
        </w:rPr>
        <w:t>Najveći udio u ukupnoj emisiji CO</w:t>
      </w:r>
      <w:r w:rsidRPr="005808FC">
        <w:rPr>
          <w:rFonts w:eastAsia="Calibri"/>
          <w:vertAlign w:val="subscript"/>
        </w:rPr>
        <w:t>2</w:t>
      </w:r>
      <w:r w:rsidRPr="005808FC">
        <w:rPr>
          <w:rFonts w:eastAsia="Calibri"/>
        </w:rPr>
        <w:t xml:space="preserve"> čini emisija iz električne energije s udjelom od 36,66%, zatim slijedi emisija iz potrošnje prirodnog plina 34,10%, emisija iz potrošnje toplana 24,68%, dok emisija iz potrošnje ostalih energenata čini manje od 5%.</w:t>
      </w:r>
    </w:p>
    <w:p w14:paraId="09CCDE37" w14:textId="77777777" w:rsidR="00494D06" w:rsidRPr="00922031" w:rsidRDefault="00494D06" w:rsidP="00494D06">
      <w:pPr>
        <w:spacing w:after="0" w:line="240" w:lineRule="auto"/>
        <w:jc w:val="center"/>
        <w:rPr>
          <w:rFonts w:cstheme="minorHAnsi"/>
          <w:noProof/>
          <w:lang w:eastAsia="hr-HR"/>
        </w:rPr>
      </w:pPr>
      <w:r w:rsidRPr="00922031">
        <w:rPr>
          <w:rFonts w:cstheme="minorHAnsi"/>
          <w:noProof/>
          <w:lang w:eastAsia="hr-HR"/>
        </w:rPr>
        <w:lastRenderedPageBreak/>
        <w:drawing>
          <wp:inline distT="0" distB="0" distL="0" distR="0" wp14:anchorId="3915005D" wp14:editId="75BBC7E6">
            <wp:extent cx="5724525" cy="2767013"/>
            <wp:effectExtent l="0" t="0" r="0" b="0"/>
            <wp:docPr id="53" name="Chart 5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758F4B" w14:textId="10537758" w:rsidR="00494D06" w:rsidRPr="0014082E" w:rsidRDefault="00494D06" w:rsidP="0014082E">
      <w:pPr>
        <w:pStyle w:val="Heading6"/>
        <w:rPr>
          <w:rFonts w:eastAsia="Calibri"/>
        </w:rPr>
      </w:pPr>
      <w:bookmarkStart w:id="123" w:name="_Ref465432729"/>
      <w:bookmarkStart w:id="124" w:name="_Toc468277470"/>
      <w:bookmarkStart w:id="125" w:name="_Toc4156033"/>
      <w:r w:rsidRPr="0014082E">
        <w:rPr>
          <w:rFonts w:eastAsia="Calibri"/>
        </w:rPr>
        <w:t xml:space="preserve">Slika </w:t>
      </w:r>
      <w:r w:rsidR="0019556A" w:rsidRPr="005808FC">
        <w:fldChar w:fldCharType="begin"/>
      </w:r>
      <w:r w:rsidR="0019556A">
        <w:rPr>
          <w:rFonts w:eastAsia="Calibri"/>
        </w:rPr>
        <w:instrText xml:space="preserve"> STYLEREF 1 \s </w:instrText>
      </w:r>
      <w:r w:rsidR="0019556A" w:rsidRPr="005808FC">
        <w:rPr>
          <w:rFonts w:eastAsia="Calibri"/>
        </w:rPr>
        <w:fldChar w:fldCharType="separate"/>
      </w:r>
      <w:r w:rsidR="0019556A">
        <w:rPr>
          <w:rFonts w:eastAsia="Calibri"/>
          <w:noProof/>
        </w:rPr>
        <w:t>5</w:t>
      </w:r>
      <w:r w:rsidR="0019556A" w:rsidRPr="005808FC">
        <w:fldChar w:fldCharType="end"/>
      </w:r>
      <w:r w:rsidR="0019556A">
        <w:rPr>
          <w:rFonts w:eastAsia="Calibri"/>
        </w:rPr>
        <w:t>.</w:t>
      </w:r>
      <w:r w:rsidR="0019556A" w:rsidRPr="005808FC">
        <w:fldChar w:fldCharType="begin"/>
      </w:r>
      <w:r w:rsidR="0019556A">
        <w:rPr>
          <w:rFonts w:eastAsia="Calibri"/>
        </w:rPr>
        <w:instrText xml:space="preserve"> SEQ Slika \* ARABIC \s 1 </w:instrText>
      </w:r>
      <w:r w:rsidR="0019556A" w:rsidRPr="005808FC">
        <w:rPr>
          <w:rFonts w:eastAsia="Calibri"/>
        </w:rPr>
        <w:fldChar w:fldCharType="separate"/>
      </w:r>
      <w:r w:rsidR="0019556A">
        <w:rPr>
          <w:rFonts w:eastAsia="Calibri"/>
          <w:noProof/>
        </w:rPr>
        <w:t>3</w:t>
      </w:r>
      <w:r w:rsidR="0019556A" w:rsidRPr="005808FC">
        <w:fldChar w:fldCharType="end"/>
      </w:r>
      <w:bookmarkEnd w:id="123"/>
      <w:r w:rsidRPr="0014082E">
        <w:rPr>
          <w:rFonts w:eastAsia="Calibri"/>
        </w:rPr>
        <w:t xml:space="preserve"> </w:t>
      </w:r>
      <w:r w:rsidR="000509A0">
        <w:rPr>
          <w:rFonts w:eastAsia="Calibri"/>
        </w:rPr>
        <w:t xml:space="preserve">- </w:t>
      </w:r>
      <w:r w:rsidRPr="0014082E">
        <w:rPr>
          <w:rFonts w:eastAsia="Calibri"/>
        </w:rPr>
        <w:t>Udio pojedinog podsektora u ukupnom Kontrolnom inventaru emisija CO</w:t>
      </w:r>
      <w:r w:rsidRPr="0014082E">
        <w:rPr>
          <w:rFonts w:eastAsia="Calibri"/>
          <w:vertAlign w:val="subscript"/>
        </w:rPr>
        <w:t>2</w:t>
      </w:r>
      <w:r w:rsidRPr="0014082E">
        <w:rPr>
          <w:rFonts w:eastAsia="Calibri"/>
        </w:rPr>
        <w:t xml:space="preserve"> sektora zgradarstva za 2015. godinu</w:t>
      </w:r>
      <w:bookmarkEnd w:id="124"/>
      <w:bookmarkEnd w:id="125"/>
    </w:p>
    <w:p w14:paraId="59595803" w14:textId="7C151CFE" w:rsidR="00922031" w:rsidRPr="005808FC" w:rsidRDefault="00494D06" w:rsidP="005808FC">
      <w:pPr>
        <w:spacing w:after="0"/>
        <w:rPr>
          <w:rFonts w:eastAsia="Calibri"/>
        </w:rPr>
      </w:pPr>
      <w:r w:rsidRPr="00291DF5">
        <w:rPr>
          <w:rFonts w:eastAsia="Calibri"/>
          <w:color w:val="000000"/>
          <w:lang w:eastAsia="hr-HR"/>
        </w:rPr>
        <w:t>Promatrajući sektor zgradarstva najveći udio u ukupnim emis</w:t>
      </w:r>
      <w:r w:rsidRPr="005808FC">
        <w:rPr>
          <w:rFonts w:eastAsia="Calibri"/>
          <w:color w:val="000000"/>
          <w:lang w:eastAsia="hr-HR"/>
        </w:rPr>
        <w:t>ijama čine stanovi - kućanstva 58,77%, zgrade komercijalnih</w:t>
      </w:r>
      <w:r w:rsidR="000509A0">
        <w:rPr>
          <w:rFonts w:eastAsia="Calibri"/>
          <w:color w:val="000000"/>
          <w:lang w:eastAsia="hr-HR"/>
        </w:rPr>
        <w:t xml:space="preserve"> i </w:t>
      </w:r>
      <w:r w:rsidRPr="00291DF5">
        <w:rPr>
          <w:rFonts w:eastAsia="Calibri"/>
          <w:color w:val="000000"/>
          <w:lang w:eastAsia="hr-HR"/>
        </w:rPr>
        <w:t>uslužnih djelatnost doprinose s udjelom od 33,73%, dok stambene</w:t>
      </w:r>
      <w:r w:rsidR="000509A0">
        <w:rPr>
          <w:rFonts w:eastAsia="Calibri"/>
          <w:color w:val="000000"/>
          <w:lang w:eastAsia="hr-HR"/>
        </w:rPr>
        <w:t xml:space="preserve"> i </w:t>
      </w:r>
      <w:r w:rsidRPr="00291DF5">
        <w:rPr>
          <w:rFonts w:eastAsia="Calibri"/>
          <w:color w:val="000000"/>
          <w:lang w:eastAsia="hr-HR"/>
        </w:rPr>
        <w:t>javne zgrade u vlasništvu Grada Zagreba doprinose ukupnim emisijama s 7,50</w:t>
      </w:r>
      <w:r w:rsidR="000509A0">
        <w:rPr>
          <w:rFonts w:eastAsia="Calibri"/>
          <w:color w:val="000000"/>
          <w:lang w:eastAsia="hr-HR"/>
        </w:rPr>
        <w:t>%</w:t>
      </w:r>
      <w:r w:rsidRPr="00291DF5">
        <w:rPr>
          <w:rFonts w:eastAsia="Calibri"/>
          <w:color w:val="000000"/>
          <w:lang w:eastAsia="hr-HR"/>
        </w:rPr>
        <w:t>.</w:t>
      </w:r>
      <w:r w:rsidRPr="005808FC">
        <w:rPr>
          <w:rFonts w:eastAsia="Calibri"/>
        </w:rPr>
        <w:t xml:space="preserve"> </w:t>
      </w:r>
    </w:p>
    <w:p w14:paraId="2006E346" w14:textId="1DB8E5EC" w:rsidR="00494D06" w:rsidRPr="00922031" w:rsidRDefault="00494D06" w:rsidP="00AB1AAA">
      <w:pPr>
        <w:spacing w:after="0"/>
        <w:rPr>
          <w:rFonts w:eastAsia="Calibri" w:cstheme="minorHAnsi"/>
          <w:highlight w:val="yellow"/>
        </w:rPr>
      </w:pPr>
      <w:r w:rsidRPr="00922031">
        <w:rPr>
          <w:rFonts w:eastAsia="Calibri" w:cstheme="minorHAnsi"/>
          <w:highlight w:val="yellow"/>
        </w:rPr>
        <w:br w:type="page"/>
      </w:r>
    </w:p>
    <w:p w14:paraId="4349C2A8" w14:textId="77777777" w:rsidR="00494D06" w:rsidRPr="00922031" w:rsidRDefault="00494D06" w:rsidP="00F5641B">
      <w:pPr>
        <w:pStyle w:val="Heading2"/>
      </w:pPr>
      <w:bookmarkStart w:id="126" w:name="_Toc260042168"/>
      <w:bookmarkStart w:id="127" w:name="_Toc294180602"/>
      <w:bookmarkStart w:id="128" w:name="_Toc329344477"/>
      <w:bookmarkStart w:id="129" w:name="_Toc468345385"/>
      <w:bookmarkStart w:id="130" w:name="_Toc4156088"/>
      <w:r w:rsidRPr="00922031">
        <w:lastRenderedPageBreak/>
        <w:t>Kontrolni inventar emisija CO</w:t>
      </w:r>
      <w:r w:rsidRPr="00922031">
        <w:rPr>
          <w:vertAlign w:val="subscript"/>
        </w:rPr>
        <w:t>2</w:t>
      </w:r>
      <w:r w:rsidRPr="00922031">
        <w:t xml:space="preserve"> iz sektora prometa</w:t>
      </w:r>
      <w:bookmarkEnd w:id="126"/>
      <w:bookmarkEnd w:id="127"/>
      <w:bookmarkEnd w:id="128"/>
      <w:r w:rsidRPr="00922031">
        <w:t xml:space="preserve"> za 2015. godinu</w:t>
      </w:r>
      <w:bookmarkEnd w:id="129"/>
      <w:bookmarkEnd w:id="130"/>
    </w:p>
    <w:p w14:paraId="21E95500" w14:textId="3EDAFB5C" w:rsidR="00494D06" w:rsidRPr="005808FC" w:rsidRDefault="00494D06" w:rsidP="005808FC">
      <w:pPr>
        <w:spacing w:line="240" w:lineRule="auto"/>
        <w:rPr>
          <w:rFonts w:eastAsia="Calibri"/>
        </w:rPr>
      </w:pPr>
      <w:r w:rsidRPr="00291DF5">
        <w:rPr>
          <w:rFonts w:eastAsia="Calibri"/>
        </w:rPr>
        <w:t>U urbanim je sredinama sektor prometa, osobito cestovni promet, najznačajniji je čimbenik onečišćenja zraka, koji u velikoj mjeri pridonosi stvaranju stakleničkih plinova - CO</w:t>
      </w:r>
      <w:r w:rsidRPr="005808FC">
        <w:rPr>
          <w:rFonts w:eastAsia="Calibri"/>
          <w:vertAlign w:val="subscript"/>
        </w:rPr>
        <w:t>2</w:t>
      </w:r>
      <w:r w:rsidRPr="005808FC">
        <w:rPr>
          <w:rFonts w:eastAsia="Calibri"/>
        </w:rPr>
        <w:t>, CH</w:t>
      </w:r>
      <w:r w:rsidRPr="005808FC">
        <w:rPr>
          <w:rFonts w:eastAsia="Calibri"/>
          <w:vertAlign w:val="subscript"/>
        </w:rPr>
        <w:t>4</w:t>
      </w:r>
      <w:r w:rsidR="000509A0">
        <w:rPr>
          <w:rFonts w:eastAsia="Calibri"/>
        </w:rPr>
        <w:t xml:space="preserve"> i </w:t>
      </w:r>
      <w:r w:rsidRPr="00291DF5">
        <w:rPr>
          <w:rFonts w:eastAsia="Calibri"/>
        </w:rPr>
        <w:t>N</w:t>
      </w:r>
      <w:r w:rsidRPr="005808FC">
        <w:rPr>
          <w:rFonts w:eastAsia="Calibri"/>
          <w:vertAlign w:val="subscript"/>
        </w:rPr>
        <w:t>2</w:t>
      </w:r>
      <w:r w:rsidRPr="005808FC">
        <w:rPr>
          <w:rFonts w:eastAsia="Calibri"/>
        </w:rPr>
        <w:t>O. Emisija CO</w:t>
      </w:r>
      <w:r w:rsidRPr="005808FC">
        <w:rPr>
          <w:rFonts w:eastAsia="Calibri"/>
          <w:vertAlign w:val="subscript"/>
        </w:rPr>
        <w:t>2</w:t>
      </w:r>
      <w:r w:rsidRPr="005808FC">
        <w:rPr>
          <w:rFonts w:eastAsia="Calibri"/>
        </w:rPr>
        <w:t xml:space="preserve"> iz motornih vozila ovisna je o brojnim parametrima od kojih su glavni kakvoća goriva, konstrukcijske izvedbe motora</w:t>
      </w:r>
      <w:r w:rsidR="000509A0">
        <w:rPr>
          <w:rFonts w:eastAsia="Calibri"/>
        </w:rPr>
        <w:t xml:space="preserve"> i </w:t>
      </w:r>
      <w:r w:rsidRPr="00291DF5">
        <w:rPr>
          <w:rFonts w:eastAsia="Calibri"/>
        </w:rPr>
        <w:t>vozila, režim vožnje, vanjski meteorološki uvjeti, održavanje motora</w:t>
      </w:r>
      <w:r w:rsidR="000509A0">
        <w:rPr>
          <w:rFonts w:eastAsia="Calibri"/>
        </w:rPr>
        <w:t xml:space="preserve"> i </w:t>
      </w:r>
      <w:r w:rsidRPr="00291DF5">
        <w:rPr>
          <w:rFonts w:eastAsia="Calibri"/>
        </w:rPr>
        <w:t>njegova starosti,</w:t>
      </w:r>
      <w:r w:rsidR="000509A0">
        <w:rPr>
          <w:rFonts w:eastAsia="Calibri"/>
        </w:rPr>
        <w:t xml:space="preserve"> i </w:t>
      </w:r>
      <w:r w:rsidRPr="00291DF5">
        <w:rPr>
          <w:rFonts w:eastAsia="Calibri"/>
        </w:rPr>
        <w:t>dr.</w:t>
      </w:r>
    </w:p>
    <w:p w14:paraId="0F6E9BAC" w14:textId="77777777" w:rsidR="00494D06" w:rsidRPr="005808FC" w:rsidRDefault="00494D06" w:rsidP="005808FC">
      <w:pPr>
        <w:spacing w:line="240" w:lineRule="auto"/>
        <w:rPr>
          <w:rFonts w:eastAsia="Calibri"/>
        </w:rPr>
      </w:pPr>
      <w:r w:rsidRPr="005808FC">
        <w:rPr>
          <w:rFonts w:eastAsia="Calibri"/>
        </w:rPr>
        <w:t>Kontrolni inventar emisija CO</w:t>
      </w:r>
      <w:r w:rsidRPr="005808FC">
        <w:rPr>
          <w:rFonts w:eastAsia="Calibri"/>
          <w:vertAlign w:val="subscript"/>
        </w:rPr>
        <w:t>2</w:t>
      </w:r>
      <w:r w:rsidRPr="005808FC">
        <w:rPr>
          <w:rFonts w:eastAsia="Calibri"/>
        </w:rPr>
        <w:t xml:space="preserve"> iz sektora prometa za 2015. godinu podijeljen je na tri osnovna podsektora: </w:t>
      </w:r>
    </w:p>
    <w:p w14:paraId="2156D194" w14:textId="71E9BF14" w:rsidR="00494D06" w:rsidRPr="005808FC" w:rsidRDefault="00494D06" w:rsidP="005808FC">
      <w:pPr>
        <w:numPr>
          <w:ilvl w:val="0"/>
          <w:numId w:val="39"/>
        </w:numPr>
        <w:spacing w:after="0" w:line="240" w:lineRule="auto"/>
        <w:contextualSpacing/>
        <w:rPr>
          <w:rFonts w:eastAsia="Calibri"/>
        </w:rPr>
      </w:pPr>
      <w:r w:rsidRPr="00291DF5">
        <w:rPr>
          <w:rFonts w:eastAsia="Calibri"/>
        </w:rPr>
        <w:t>Kontrolni inventar emisije CO</w:t>
      </w:r>
      <w:r w:rsidRPr="005808FC">
        <w:rPr>
          <w:rFonts w:eastAsia="Calibri"/>
          <w:vertAlign w:val="subscript"/>
        </w:rPr>
        <w:t>2</w:t>
      </w:r>
      <w:r w:rsidRPr="005808FC">
        <w:rPr>
          <w:rFonts w:eastAsia="Calibri"/>
        </w:rPr>
        <w:t xml:space="preserve"> vozila u vlasništvu</w:t>
      </w:r>
      <w:r w:rsidR="000509A0">
        <w:rPr>
          <w:rFonts w:eastAsia="Calibri"/>
        </w:rPr>
        <w:t xml:space="preserve"> i </w:t>
      </w:r>
      <w:r w:rsidRPr="00291DF5">
        <w:rPr>
          <w:rFonts w:eastAsia="Calibri"/>
        </w:rPr>
        <w:t>korištenju Grada Zagreba;</w:t>
      </w:r>
    </w:p>
    <w:p w14:paraId="1AB2E82B" w14:textId="50C4E689" w:rsidR="00494D06" w:rsidRPr="005808FC" w:rsidRDefault="00494D06" w:rsidP="005808FC">
      <w:pPr>
        <w:numPr>
          <w:ilvl w:val="0"/>
          <w:numId w:val="39"/>
        </w:numPr>
        <w:spacing w:after="0" w:line="240" w:lineRule="auto"/>
        <w:contextualSpacing/>
        <w:rPr>
          <w:rFonts w:eastAsia="Calibri"/>
        </w:rPr>
      </w:pPr>
      <w:r w:rsidRPr="005808FC">
        <w:rPr>
          <w:rFonts w:eastAsia="Calibri"/>
        </w:rPr>
        <w:t>Kontrolni inventar emisije CO</w:t>
      </w:r>
      <w:r w:rsidRPr="005808FC">
        <w:rPr>
          <w:rFonts w:eastAsia="Calibri"/>
          <w:vertAlign w:val="subscript"/>
        </w:rPr>
        <w:t>2</w:t>
      </w:r>
      <w:r w:rsidR="00B25B9E" w:rsidRPr="00693B4B">
        <w:rPr>
          <w:rFonts w:eastAsia="Calibri"/>
        </w:rPr>
        <w:t xml:space="preserve"> </w:t>
      </w:r>
      <w:r w:rsidRPr="005808FC">
        <w:rPr>
          <w:rFonts w:eastAsia="Calibri"/>
        </w:rPr>
        <w:t>javnog prijevoza i</w:t>
      </w:r>
    </w:p>
    <w:p w14:paraId="5C818572" w14:textId="2F54471F" w:rsidR="00494D06" w:rsidRPr="005808FC" w:rsidRDefault="00494D06" w:rsidP="005808FC">
      <w:pPr>
        <w:numPr>
          <w:ilvl w:val="0"/>
          <w:numId w:val="39"/>
        </w:numPr>
        <w:spacing w:line="240" w:lineRule="auto"/>
        <w:ind w:left="714" w:hanging="357"/>
        <w:rPr>
          <w:rFonts w:eastAsia="Calibri"/>
        </w:rPr>
      </w:pPr>
      <w:r w:rsidRPr="005808FC">
        <w:rPr>
          <w:rFonts w:eastAsia="Calibri"/>
        </w:rPr>
        <w:t>Kontrolni inventar emisije CO</w:t>
      </w:r>
      <w:r w:rsidRPr="005808FC">
        <w:rPr>
          <w:rFonts w:eastAsia="Calibri"/>
          <w:vertAlign w:val="subscript"/>
        </w:rPr>
        <w:t>2</w:t>
      </w:r>
      <w:r w:rsidR="00B25B9E" w:rsidRPr="005808FC">
        <w:rPr>
          <w:rFonts w:eastAsia="Calibri"/>
          <w:vertAlign w:val="subscript"/>
        </w:rPr>
        <w:t xml:space="preserve"> </w:t>
      </w:r>
      <w:r w:rsidRPr="005808FC">
        <w:rPr>
          <w:rFonts w:eastAsia="Calibri"/>
        </w:rPr>
        <w:t>osobnih</w:t>
      </w:r>
      <w:r w:rsidR="000509A0">
        <w:rPr>
          <w:rFonts w:eastAsia="Calibri"/>
        </w:rPr>
        <w:t xml:space="preserve"> i </w:t>
      </w:r>
      <w:r w:rsidRPr="00291DF5">
        <w:rPr>
          <w:rFonts w:eastAsia="Calibri"/>
        </w:rPr>
        <w:t>komer</w:t>
      </w:r>
      <w:r w:rsidRPr="005808FC">
        <w:rPr>
          <w:rFonts w:eastAsia="Calibri"/>
        </w:rPr>
        <w:t>cijalnih vozila.</w:t>
      </w:r>
    </w:p>
    <w:p w14:paraId="6FE95FB8" w14:textId="6C0050AF" w:rsidR="00494D06" w:rsidRPr="005808FC" w:rsidRDefault="00494D06" w:rsidP="005808FC">
      <w:pPr>
        <w:spacing w:line="240" w:lineRule="auto"/>
        <w:rPr>
          <w:rFonts w:eastAsia="Calibri"/>
        </w:rPr>
      </w:pPr>
      <w:bookmarkStart w:id="131" w:name="_Toc256080808"/>
      <w:r w:rsidRPr="005808FC">
        <w:rPr>
          <w:rFonts w:eastAsia="Calibri"/>
        </w:rPr>
        <w:t>Prikaz Kontrolnog inventara emisija CO</w:t>
      </w:r>
      <w:r w:rsidRPr="005808FC">
        <w:rPr>
          <w:rFonts w:eastAsia="Calibri"/>
          <w:vertAlign w:val="subscript"/>
        </w:rPr>
        <w:t>2</w:t>
      </w:r>
      <w:r w:rsidRPr="005808FC">
        <w:rPr>
          <w:rFonts w:eastAsia="Calibri"/>
        </w:rPr>
        <w:t xml:space="preserve"> za podsektore sektora prometa za 2015. godinu dan je u </w:t>
      </w:r>
      <w:r w:rsidRPr="005808FC">
        <w:fldChar w:fldCharType="begin"/>
      </w:r>
      <w:r w:rsidRPr="00256FE9">
        <w:rPr>
          <w:rFonts w:eastAsia="Calibri" w:cstheme="minorHAnsi"/>
        </w:rPr>
        <w:instrText xml:space="preserve"> REF _Ref465681571 \h  \* MERGEFORMAT </w:instrText>
      </w:r>
      <w:r w:rsidRPr="005808FC">
        <w:rPr>
          <w:rFonts w:eastAsia="Calibri" w:cstheme="minorHAnsi"/>
        </w:rPr>
        <w:fldChar w:fldCharType="separate"/>
      </w:r>
      <w:r w:rsidRPr="005808FC">
        <w:rPr>
          <w:rFonts w:eastAsia="Calibri"/>
        </w:rPr>
        <w:t xml:space="preserve">Tablici </w:t>
      </w:r>
      <w:r w:rsidR="00256FE9" w:rsidRPr="005808FC">
        <w:rPr>
          <w:rFonts w:eastAsia="Calibri"/>
          <w:noProof/>
        </w:rPr>
        <w:t>5</w:t>
      </w:r>
      <w:r w:rsidRPr="005808FC">
        <w:rPr>
          <w:rFonts w:eastAsia="Calibri"/>
          <w:noProof/>
        </w:rPr>
        <w:t>.3</w:t>
      </w:r>
      <w:r w:rsidRPr="005808FC">
        <w:fldChar w:fldCharType="end"/>
      </w:r>
      <w:r w:rsidRPr="00291DF5">
        <w:rPr>
          <w:rFonts w:eastAsia="Calibri"/>
        </w:rPr>
        <w:t>.</w:t>
      </w:r>
    </w:p>
    <w:p w14:paraId="670A18F7" w14:textId="5EA3B8FA" w:rsidR="00494D06" w:rsidRPr="005808FC" w:rsidRDefault="0082211F">
      <w:pPr>
        <w:pStyle w:val="Caption"/>
        <w:rPr>
          <w:rFonts w:eastAsia="Calibri" w:cstheme="minorBidi"/>
          <w:lang w:val="it-IT"/>
        </w:rPr>
      </w:pPr>
      <w:bookmarkStart w:id="132" w:name="_Toc317250210"/>
      <w:bookmarkStart w:id="133" w:name="_Toc294180969"/>
      <w:bookmarkStart w:id="134" w:name="_Toc294180693"/>
      <w:bookmarkStart w:id="135" w:name="_Toc258934003"/>
      <w:bookmarkStart w:id="136" w:name="_Toc323121197"/>
      <w:bookmarkStart w:id="137" w:name="_Toc448137130"/>
      <w:bookmarkStart w:id="138" w:name="_Toc468277515"/>
      <w:bookmarkStart w:id="139" w:name="_Toc4156008"/>
      <w:r w:rsidRPr="00F158D4">
        <w:rPr>
          <w:lang w:val="it-IT"/>
        </w:rPr>
        <w:t xml:space="preserve">Tablica </w:t>
      </w:r>
      <w:r w:rsidR="0019556A">
        <w:fldChar w:fldCharType="begin"/>
      </w:r>
      <w:r w:rsidR="0019556A" w:rsidRPr="00F158D4">
        <w:rPr>
          <w:lang w:val="it-IT"/>
        </w:rPr>
        <w:instrText xml:space="preserve"> STYLEREF 1 \s </w:instrText>
      </w:r>
      <w:r w:rsidR="0019556A">
        <w:fldChar w:fldCharType="separate"/>
      </w:r>
      <w:r w:rsidR="0019556A" w:rsidRPr="00F158D4">
        <w:rPr>
          <w:noProof/>
          <w:lang w:val="it-IT"/>
        </w:rPr>
        <w:t>5</w:t>
      </w:r>
      <w:r w:rsidR="0019556A">
        <w:fldChar w:fldCharType="end"/>
      </w:r>
      <w:r w:rsidR="0019556A" w:rsidRPr="00F158D4">
        <w:rPr>
          <w:lang w:val="it-IT"/>
        </w:rPr>
        <w:t>.</w:t>
      </w:r>
      <w:r w:rsidR="0019556A">
        <w:fldChar w:fldCharType="begin"/>
      </w:r>
      <w:r w:rsidR="0019556A" w:rsidRPr="00F158D4">
        <w:rPr>
          <w:lang w:val="it-IT"/>
        </w:rPr>
        <w:instrText xml:space="preserve"> SEQ Tablica \* ARABIC \s 1 </w:instrText>
      </w:r>
      <w:r w:rsidR="0019556A">
        <w:fldChar w:fldCharType="separate"/>
      </w:r>
      <w:r w:rsidR="0019556A" w:rsidRPr="00F158D4">
        <w:rPr>
          <w:noProof/>
          <w:lang w:val="it-IT"/>
        </w:rPr>
        <w:t>3</w:t>
      </w:r>
      <w:r w:rsidR="0019556A">
        <w:fldChar w:fldCharType="end"/>
      </w:r>
      <w:r w:rsidRPr="00F158D4">
        <w:rPr>
          <w:lang w:val="it-IT"/>
        </w:rPr>
        <w:t xml:space="preserve"> -</w:t>
      </w:r>
      <w:r w:rsidR="00494D06" w:rsidRPr="00291DF5">
        <w:rPr>
          <w:rFonts w:eastAsia="Calibri" w:cstheme="minorBidi"/>
          <w:b/>
          <w:bCs/>
          <w:lang w:val="it-IT"/>
        </w:rPr>
        <w:t xml:space="preserve"> </w:t>
      </w:r>
      <w:r w:rsidR="00494D06" w:rsidRPr="005808FC">
        <w:rPr>
          <w:rFonts w:eastAsia="Calibri" w:cstheme="minorBidi"/>
          <w:lang w:val="it-IT"/>
        </w:rPr>
        <w:t>Kontrolni inventar</w:t>
      </w:r>
      <w:r w:rsidR="00494D06" w:rsidRPr="005808FC">
        <w:rPr>
          <w:rFonts w:eastAsia="Calibri" w:cstheme="minorBidi"/>
          <w:b/>
          <w:bCs/>
          <w:lang w:val="it-IT"/>
        </w:rPr>
        <w:t xml:space="preserve"> </w:t>
      </w:r>
      <w:r w:rsidR="00494D06" w:rsidRPr="005808FC">
        <w:rPr>
          <w:rFonts w:eastAsia="Calibri" w:cstheme="minorBidi"/>
          <w:lang w:val="it-IT"/>
        </w:rPr>
        <w:t>emisije CO</w:t>
      </w:r>
      <w:r w:rsidR="00494D06" w:rsidRPr="005808FC">
        <w:rPr>
          <w:rFonts w:eastAsia="Calibri" w:cstheme="minorBidi"/>
          <w:vertAlign w:val="subscript"/>
          <w:lang w:val="it-IT"/>
        </w:rPr>
        <w:t>2</w:t>
      </w:r>
      <w:r w:rsidR="00494D06" w:rsidRPr="005808FC">
        <w:rPr>
          <w:rFonts w:eastAsia="Calibri" w:cstheme="minorBidi"/>
          <w:lang w:val="it-IT"/>
        </w:rPr>
        <w:t xml:space="preserve"> sektora promet</w:t>
      </w:r>
      <w:bookmarkEnd w:id="132"/>
      <w:bookmarkEnd w:id="133"/>
      <w:bookmarkEnd w:id="134"/>
      <w:bookmarkEnd w:id="135"/>
      <w:bookmarkEnd w:id="136"/>
      <w:bookmarkEnd w:id="137"/>
      <w:r w:rsidR="00494D06" w:rsidRPr="005808FC">
        <w:rPr>
          <w:rFonts w:eastAsia="Calibri" w:cstheme="minorBidi"/>
          <w:lang w:val="it-IT"/>
        </w:rPr>
        <w:t xml:space="preserve"> za 2015. godinu</w:t>
      </w:r>
      <w:bookmarkEnd w:id="138"/>
      <w:bookmarkEnd w:id="139"/>
    </w:p>
    <w:tbl>
      <w:tblPr>
        <w:tblW w:w="4942" w:type="pct"/>
        <w:tblInd w:w="108" w:type="dxa"/>
        <w:tblLook w:val="04A0" w:firstRow="1" w:lastRow="0" w:firstColumn="1" w:lastColumn="0" w:noHBand="0" w:noVBand="1"/>
      </w:tblPr>
      <w:tblGrid>
        <w:gridCol w:w="1770"/>
        <w:gridCol w:w="2430"/>
        <w:gridCol w:w="1905"/>
        <w:gridCol w:w="1625"/>
        <w:gridCol w:w="1186"/>
      </w:tblGrid>
      <w:tr w:rsidR="00494D06" w:rsidRPr="00922031" w14:paraId="53AA1586" w14:textId="77777777" w:rsidTr="005808FC">
        <w:trPr>
          <w:trHeight w:val="56"/>
        </w:trPr>
        <w:tc>
          <w:tcPr>
            <w:tcW w:w="941" w:type="pct"/>
            <w:tcBorders>
              <w:top w:val="nil"/>
              <w:left w:val="nil"/>
              <w:bottom w:val="nil"/>
              <w:right w:val="nil"/>
            </w:tcBorders>
            <w:shd w:val="clear" w:color="auto" w:fill="auto"/>
            <w:noWrap/>
            <w:hideMark/>
          </w:tcPr>
          <w:p w14:paraId="096CB724" w14:textId="77777777" w:rsidR="00494D06" w:rsidRPr="00922031" w:rsidRDefault="00494D06" w:rsidP="00494D06">
            <w:pPr>
              <w:spacing w:after="0" w:line="240" w:lineRule="auto"/>
              <w:rPr>
                <w:rFonts w:eastAsia="Times New Roman" w:cstheme="minorHAnsi"/>
                <w:color w:val="000000"/>
                <w:sz w:val="18"/>
                <w:szCs w:val="18"/>
                <w:lang w:eastAsia="hr-HR"/>
              </w:rPr>
            </w:pPr>
          </w:p>
        </w:tc>
        <w:tc>
          <w:tcPr>
            <w:tcW w:w="4059"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2ABA99C6"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PROMET - Emisija (t CO</w:t>
            </w:r>
            <w:r w:rsidRPr="005808FC">
              <w:rPr>
                <w:rFonts w:eastAsia="Times New Roman"/>
                <w:b/>
                <w:bCs/>
                <w:color w:val="000000"/>
                <w:sz w:val="18"/>
                <w:szCs w:val="18"/>
                <w:vertAlign w:val="subscript"/>
                <w:lang w:eastAsia="hr-HR"/>
              </w:rPr>
              <w:t>2</w:t>
            </w:r>
            <w:r w:rsidRPr="005808FC">
              <w:rPr>
                <w:rFonts w:eastAsia="Times New Roman"/>
                <w:b/>
                <w:bCs/>
                <w:color w:val="000000"/>
                <w:sz w:val="18"/>
                <w:szCs w:val="18"/>
                <w:lang w:eastAsia="hr-HR"/>
              </w:rPr>
              <w:t>)</w:t>
            </w:r>
          </w:p>
        </w:tc>
      </w:tr>
      <w:tr w:rsidR="00494D06" w:rsidRPr="00922031" w14:paraId="49DC2AAC" w14:textId="77777777" w:rsidTr="005808FC">
        <w:trPr>
          <w:trHeight w:val="108"/>
        </w:trPr>
        <w:tc>
          <w:tcPr>
            <w:tcW w:w="94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08924B"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UKUPNO</w:t>
            </w:r>
          </w:p>
        </w:tc>
        <w:tc>
          <w:tcPr>
            <w:tcW w:w="1376" w:type="pct"/>
            <w:tcBorders>
              <w:top w:val="nil"/>
              <w:left w:val="nil"/>
              <w:bottom w:val="nil"/>
              <w:right w:val="nil"/>
            </w:tcBorders>
            <w:shd w:val="clear" w:color="auto" w:fill="C6D9F1" w:themeFill="text2" w:themeFillTint="33"/>
            <w:vAlign w:val="center"/>
            <w:hideMark/>
          </w:tcPr>
          <w:p w14:paraId="46E10E34" w14:textId="4F39369E"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Vozila u vlasništvu</w:t>
            </w:r>
            <w:r w:rsidR="000509A0">
              <w:rPr>
                <w:rFonts w:eastAsia="Times New Roman"/>
                <w:b/>
                <w:bCs/>
                <w:color w:val="000000"/>
                <w:sz w:val="18"/>
                <w:szCs w:val="18"/>
                <w:lang w:eastAsia="hr-HR"/>
              </w:rPr>
              <w:t xml:space="preserve"> i </w:t>
            </w:r>
            <w:r w:rsidRPr="00291DF5">
              <w:rPr>
                <w:rFonts w:eastAsia="Times New Roman"/>
                <w:b/>
                <w:bCs/>
                <w:color w:val="000000"/>
                <w:sz w:val="18"/>
                <w:szCs w:val="18"/>
                <w:lang w:eastAsia="hr-HR"/>
              </w:rPr>
              <w:t>korištenju Grada</w:t>
            </w:r>
          </w:p>
        </w:tc>
        <w:tc>
          <w:tcPr>
            <w:tcW w:w="1081"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2EABB4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Javni prijevoz</w:t>
            </w:r>
          </w:p>
        </w:tc>
        <w:tc>
          <w:tcPr>
            <w:tcW w:w="924" w:type="pct"/>
            <w:tcBorders>
              <w:top w:val="nil"/>
              <w:left w:val="nil"/>
              <w:bottom w:val="single" w:sz="4" w:space="0" w:color="auto"/>
              <w:right w:val="single" w:sz="4" w:space="0" w:color="auto"/>
            </w:tcBorders>
            <w:shd w:val="clear" w:color="auto" w:fill="C6D9F1" w:themeFill="text2" w:themeFillTint="33"/>
            <w:vAlign w:val="center"/>
            <w:hideMark/>
          </w:tcPr>
          <w:p w14:paraId="421E88B3" w14:textId="60F13ABD"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Osobna</w:t>
            </w:r>
            <w:r w:rsidR="000509A0">
              <w:rPr>
                <w:rFonts w:eastAsia="Times New Roman"/>
                <w:b/>
                <w:bCs/>
                <w:color w:val="000000"/>
                <w:sz w:val="18"/>
                <w:szCs w:val="18"/>
                <w:lang w:eastAsia="hr-HR"/>
              </w:rPr>
              <w:t xml:space="preserve"> i </w:t>
            </w:r>
            <w:r w:rsidRPr="00291DF5">
              <w:rPr>
                <w:rFonts w:eastAsia="Times New Roman"/>
                <w:b/>
                <w:bCs/>
                <w:color w:val="000000"/>
                <w:sz w:val="18"/>
                <w:szCs w:val="18"/>
                <w:lang w:eastAsia="hr-HR"/>
              </w:rPr>
              <w:t>komercijalna vozila</w:t>
            </w:r>
          </w:p>
        </w:tc>
        <w:tc>
          <w:tcPr>
            <w:tcW w:w="678" w:type="pct"/>
            <w:tcBorders>
              <w:top w:val="nil"/>
              <w:left w:val="nil"/>
              <w:bottom w:val="single" w:sz="4" w:space="0" w:color="auto"/>
              <w:right w:val="single" w:sz="4" w:space="0" w:color="auto"/>
            </w:tcBorders>
            <w:shd w:val="clear" w:color="auto" w:fill="C6D9F1" w:themeFill="text2" w:themeFillTint="33"/>
            <w:vAlign w:val="center"/>
            <w:hideMark/>
          </w:tcPr>
          <w:p w14:paraId="286F1DEF"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Ukupno</w:t>
            </w:r>
          </w:p>
        </w:tc>
      </w:tr>
      <w:tr w:rsidR="00494D06" w:rsidRPr="00922031" w14:paraId="69E6214F"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1E5DE1F3"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Motorni benzin</w:t>
            </w:r>
          </w:p>
        </w:tc>
        <w:tc>
          <w:tcPr>
            <w:tcW w:w="1376" w:type="pct"/>
            <w:tcBorders>
              <w:top w:val="single" w:sz="4" w:space="0" w:color="auto"/>
              <w:left w:val="nil"/>
              <w:bottom w:val="single" w:sz="4" w:space="0" w:color="auto"/>
              <w:right w:val="single" w:sz="4" w:space="0" w:color="auto"/>
            </w:tcBorders>
            <w:shd w:val="clear" w:color="auto" w:fill="auto"/>
            <w:hideMark/>
          </w:tcPr>
          <w:p w14:paraId="12B1FC7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439,23</w:t>
            </w:r>
          </w:p>
        </w:tc>
        <w:tc>
          <w:tcPr>
            <w:tcW w:w="1081" w:type="pct"/>
            <w:tcBorders>
              <w:top w:val="nil"/>
              <w:left w:val="nil"/>
              <w:bottom w:val="single" w:sz="4" w:space="0" w:color="auto"/>
              <w:right w:val="single" w:sz="4" w:space="0" w:color="auto"/>
            </w:tcBorders>
            <w:shd w:val="clear" w:color="auto" w:fill="auto"/>
            <w:hideMark/>
          </w:tcPr>
          <w:p w14:paraId="512F759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924" w:type="pct"/>
            <w:tcBorders>
              <w:top w:val="nil"/>
              <w:left w:val="nil"/>
              <w:bottom w:val="single" w:sz="4" w:space="0" w:color="auto"/>
              <w:right w:val="single" w:sz="4" w:space="0" w:color="auto"/>
            </w:tcBorders>
            <w:shd w:val="clear" w:color="auto" w:fill="auto"/>
            <w:hideMark/>
          </w:tcPr>
          <w:p w14:paraId="24BEEE3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371 838,77</w:t>
            </w:r>
          </w:p>
        </w:tc>
        <w:tc>
          <w:tcPr>
            <w:tcW w:w="678" w:type="pct"/>
            <w:tcBorders>
              <w:top w:val="nil"/>
              <w:left w:val="nil"/>
              <w:bottom w:val="single" w:sz="4" w:space="0" w:color="auto"/>
              <w:right w:val="single" w:sz="4" w:space="0" w:color="auto"/>
            </w:tcBorders>
            <w:shd w:val="clear" w:color="auto" w:fill="auto"/>
            <w:hideMark/>
          </w:tcPr>
          <w:p w14:paraId="4BC5449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372 278,01</w:t>
            </w:r>
          </w:p>
        </w:tc>
      </w:tr>
      <w:tr w:rsidR="00494D06" w:rsidRPr="00922031" w14:paraId="1C15B98D"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3C98D194"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Dizel</w:t>
            </w:r>
          </w:p>
        </w:tc>
        <w:tc>
          <w:tcPr>
            <w:tcW w:w="1376" w:type="pct"/>
            <w:tcBorders>
              <w:top w:val="nil"/>
              <w:left w:val="nil"/>
              <w:bottom w:val="single" w:sz="4" w:space="0" w:color="auto"/>
              <w:right w:val="single" w:sz="4" w:space="0" w:color="auto"/>
            </w:tcBorders>
            <w:shd w:val="clear" w:color="auto" w:fill="auto"/>
            <w:hideMark/>
          </w:tcPr>
          <w:p w14:paraId="4DACFA9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9 470,62</w:t>
            </w:r>
          </w:p>
        </w:tc>
        <w:tc>
          <w:tcPr>
            <w:tcW w:w="1081" w:type="pct"/>
            <w:tcBorders>
              <w:top w:val="nil"/>
              <w:left w:val="nil"/>
              <w:bottom w:val="single" w:sz="4" w:space="0" w:color="auto"/>
              <w:right w:val="single" w:sz="4" w:space="0" w:color="auto"/>
            </w:tcBorders>
            <w:shd w:val="clear" w:color="auto" w:fill="auto"/>
            <w:hideMark/>
          </w:tcPr>
          <w:p w14:paraId="0016A5A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25 685,17</w:t>
            </w:r>
          </w:p>
        </w:tc>
        <w:tc>
          <w:tcPr>
            <w:tcW w:w="924" w:type="pct"/>
            <w:tcBorders>
              <w:top w:val="nil"/>
              <w:left w:val="nil"/>
              <w:bottom w:val="single" w:sz="4" w:space="0" w:color="auto"/>
              <w:right w:val="single" w:sz="4" w:space="0" w:color="auto"/>
            </w:tcBorders>
            <w:shd w:val="clear" w:color="auto" w:fill="auto"/>
            <w:hideMark/>
          </w:tcPr>
          <w:p w14:paraId="7FDD20D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635 886,83</w:t>
            </w:r>
          </w:p>
        </w:tc>
        <w:tc>
          <w:tcPr>
            <w:tcW w:w="678" w:type="pct"/>
            <w:tcBorders>
              <w:top w:val="nil"/>
              <w:left w:val="nil"/>
              <w:bottom w:val="single" w:sz="4" w:space="0" w:color="auto"/>
              <w:right w:val="single" w:sz="4" w:space="0" w:color="auto"/>
            </w:tcBorders>
            <w:shd w:val="clear" w:color="auto" w:fill="auto"/>
            <w:hideMark/>
          </w:tcPr>
          <w:p w14:paraId="61412AD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671 042,61</w:t>
            </w:r>
          </w:p>
        </w:tc>
      </w:tr>
      <w:tr w:rsidR="00494D06" w:rsidRPr="00922031" w14:paraId="24C0AC53"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087C0D39"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LPG</w:t>
            </w:r>
          </w:p>
        </w:tc>
        <w:tc>
          <w:tcPr>
            <w:tcW w:w="1376" w:type="pct"/>
            <w:tcBorders>
              <w:top w:val="nil"/>
              <w:left w:val="nil"/>
              <w:bottom w:val="single" w:sz="4" w:space="0" w:color="auto"/>
              <w:right w:val="single" w:sz="4" w:space="0" w:color="auto"/>
            </w:tcBorders>
            <w:shd w:val="clear" w:color="auto" w:fill="auto"/>
            <w:hideMark/>
          </w:tcPr>
          <w:p w14:paraId="1A1403A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1081" w:type="pct"/>
            <w:tcBorders>
              <w:top w:val="nil"/>
              <w:left w:val="nil"/>
              <w:bottom w:val="single" w:sz="4" w:space="0" w:color="auto"/>
              <w:right w:val="single" w:sz="4" w:space="0" w:color="auto"/>
            </w:tcBorders>
            <w:shd w:val="clear" w:color="auto" w:fill="auto"/>
            <w:hideMark/>
          </w:tcPr>
          <w:p w14:paraId="0CDBC24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924" w:type="pct"/>
            <w:tcBorders>
              <w:top w:val="nil"/>
              <w:left w:val="nil"/>
              <w:bottom w:val="single" w:sz="4" w:space="0" w:color="auto"/>
              <w:right w:val="single" w:sz="4" w:space="0" w:color="auto"/>
            </w:tcBorders>
            <w:shd w:val="clear" w:color="auto" w:fill="auto"/>
            <w:hideMark/>
          </w:tcPr>
          <w:p w14:paraId="65B8FDA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28 042,65</w:t>
            </w:r>
          </w:p>
        </w:tc>
        <w:tc>
          <w:tcPr>
            <w:tcW w:w="678" w:type="pct"/>
            <w:tcBorders>
              <w:top w:val="nil"/>
              <w:left w:val="nil"/>
              <w:bottom w:val="single" w:sz="4" w:space="0" w:color="auto"/>
              <w:right w:val="single" w:sz="4" w:space="0" w:color="auto"/>
            </w:tcBorders>
            <w:shd w:val="clear" w:color="auto" w:fill="auto"/>
            <w:hideMark/>
          </w:tcPr>
          <w:p w14:paraId="04E6C92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28 042,65</w:t>
            </w:r>
          </w:p>
        </w:tc>
      </w:tr>
      <w:tr w:rsidR="00494D06" w:rsidRPr="00922031" w14:paraId="4AABE101"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0E9FB1FD"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Stlačeni prirodni plin</w:t>
            </w:r>
          </w:p>
        </w:tc>
        <w:tc>
          <w:tcPr>
            <w:tcW w:w="1376" w:type="pct"/>
            <w:tcBorders>
              <w:top w:val="nil"/>
              <w:left w:val="nil"/>
              <w:bottom w:val="single" w:sz="4" w:space="0" w:color="auto"/>
              <w:right w:val="single" w:sz="4" w:space="0" w:color="auto"/>
            </w:tcBorders>
            <w:shd w:val="clear" w:color="auto" w:fill="auto"/>
            <w:hideMark/>
          </w:tcPr>
          <w:p w14:paraId="1F7BF57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55,82</w:t>
            </w:r>
          </w:p>
        </w:tc>
        <w:tc>
          <w:tcPr>
            <w:tcW w:w="1081" w:type="pct"/>
            <w:tcBorders>
              <w:top w:val="nil"/>
              <w:left w:val="nil"/>
              <w:bottom w:val="single" w:sz="4" w:space="0" w:color="auto"/>
              <w:right w:val="single" w:sz="4" w:space="0" w:color="auto"/>
            </w:tcBorders>
            <w:shd w:val="clear" w:color="auto" w:fill="auto"/>
            <w:hideMark/>
          </w:tcPr>
          <w:p w14:paraId="7185167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6 109,80</w:t>
            </w:r>
          </w:p>
        </w:tc>
        <w:tc>
          <w:tcPr>
            <w:tcW w:w="924" w:type="pct"/>
            <w:tcBorders>
              <w:top w:val="nil"/>
              <w:left w:val="nil"/>
              <w:bottom w:val="single" w:sz="4" w:space="0" w:color="auto"/>
              <w:right w:val="single" w:sz="4" w:space="0" w:color="auto"/>
            </w:tcBorders>
            <w:shd w:val="clear" w:color="auto" w:fill="auto"/>
            <w:hideMark/>
          </w:tcPr>
          <w:p w14:paraId="19BCE36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678" w:type="pct"/>
            <w:tcBorders>
              <w:top w:val="nil"/>
              <w:left w:val="nil"/>
              <w:bottom w:val="single" w:sz="4" w:space="0" w:color="auto"/>
              <w:right w:val="single" w:sz="4" w:space="0" w:color="auto"/>
            </w:tcBorders>
            <w:shd w:val="clear" w:color="auto" w:fill="auto"/>
            <w:hideMark/>
          </w:tcPr>
          <w:p w14:paraId="7E6D859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6 165,62</w:t>
            </w:r>
          </w:p>
        </w:tc>
      </w:tr>
      <w:tr w:rsidR="00494D06" w:rsidRPr="00922031" w14:paraId="4A798846"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3EE3BEB4"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Električna energija</w:t>
            </w:r>
          </w:p>
        </w:tc>
        <w:tc>
          <w:tcPr>
            <w:tcW w:w="1376" w:type="pct"/>
            <w:tcBorders>
              <w:top w:val="nil"/>
              <w:left w:val="nil"/>
              <w:bottom w:val="single" w:sz="4" w:space="0" w:color="auto"/>
              <w:right w:val="single" w:sz="4" w:space="0" w:color="auto"/>
            </w:tcBorders>
            <w:shd w:val="clear" w:color="auto" w:fill="auto"/>
            <w:hideMark/>
          </w:tcPr>
          <w:p w14:paraId="4217C2F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1081" w:type="pct"/>
            <w:tcBorders>
              <w:top w:val="nil"/>
              <w:left w:val="nil"/>
              <w:bottom w:val="single" w:sz="4" w:space="0" w:color="auto"/>
              <w:right w:val="single" w:sz="4" w:space="0" w:color="auto"/>
            </w:tcBorders>
            <w:shd w:val="clear" w:color="auto" w:fill="auto"/>
            <w:hideMark/>
          </w:tcPr>
          <w:p w14:paraId="249FC48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23 426,05</w:t>
            </w:r>
          </w:p>
        </w:tc>
        <w:tc>
          <w:tcPr>
            <w:tcW w:w="924" w:type="pct"/>
            <w:tcBorders>
              <w:top w:val="nil"/>
              <w:left w:val="nil"/>
              <w:bottom w:val="single" w:sz="4" w:space="0" w:color="auto"/>
              <w:right w:val="single" w:sz="4" w:space="0" w:color="auto"/>
            </w:tcBorders>
            <w:shd w:val="clear" w:color="auto" w:fill="auto"/>
            <w:hideMark/>
          </w:tcPr>
          <w:p w14:paraId="2042D1A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w:t>
            </w:r>
          </w:p>
        </w:tc>
        <w:tc>
          <w:tcPr>
            <w:tcW w:w="678" w:type="pct"/>
            <w:tcBorders>
              <w:top w:val="nil"/>
              <w:left w:val="nil"/>
              <w:bottom w:val="single" w:sz="4" w:space="0" w:color="auto"/>
              <w:right w:val="single" w:sz="4" w:space="0" w:color="auto"/>
            </w:tcBorders>
            <w:shd w:val="clear" w:color="auto" w:fill="auto"/>
            <w:hideMark/>
          </w:tcPr>
          <w:p w14:paraId="3E72858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23 426,05</w:t>
            </w:r>
          </w:p>
        </w:tc>
      </w:tr>
      <w:tr w:rsidR="00494D06" w:rsidRPr="00922031" w14:paraId="49142236" w14:textId="77777777" w:rsidTr="005808FC">
        <w:trPr>
          <w:trHeight w:val="56"/>
        </w:trPr>
        <w:tc>
          <w:tcPr>
            <w:tcW w:w="941" w:type="pct"/>
            <w:tcBorders>
              <w:top w:val="nil"/>
              <w:left w:val="single" w:sz="4" w:space="0" w:color="auto"/>
              <w:bottom w:val="single" w:sz="4" w:space="0" w:color="auto"/>
              <w:right w:val="single" w:sz="4" w:space="0" w:color="auto"/>
            </w:tcBorders>
            <w:shd w:val="clear" w:color="auto" w:fill="F2DBDB" w:themeFill="accent2" w:themeFillTint="33"/>
            <w:noWrap/>
            <w:hideMark/>
          </w:tcPr>
          <w:p w14:paraId="336DC56A" w14:textId="77777777" w:rsidR="00494D06" w:rsidRPr="005808FC" w:rsidRDefault="00494D06" w:rsidP="005808FC">
            <w:pPr>
              <w:spacing w:after="0" w:line="240" w:lineRule="auto"/>
              <w:rPr>
                <w:rFonts w:eastAsia="Times New Roman"/>
                <w:b/>
                <w:color w:val="000000" w:themeColor="text1"/>
                <w:sz w:val="18"/>
                <w:szCs w:val="18"/>
                <w:lang w:eastAsia="hr-HR"/>
              </w:rPr>
            </w:pPr>
            <w:r w:rsidRPr="00291DF5">
              <w:rPr>
                <w:rFonts w:eastAsia="Times New Roman"/>
                <w:b/>
                <w:bCs/>
                <w:color w:val="000000"/>
                <w:sz w:val="18"/>
                <w:szCs w:val="18"/>
                <w:lang w:eastAsia="hr-HR"/>
              </w:rPr>
              <w:t>Ukupno</w:t>
            </w:r>
          </w:p>
        </w:tc>
        <w:tc>
          <w:tcPr>
            <w:tcW w:w="1376" w:type="pct"/>
            <w:tcBorders>
              <w:top w:val="nil"/>
              <w:left w:val="nil"/>
              <w:bottom w:val="single" w:sz="4" w:space="0" w:color="auto"/>
              <w:right w:val="single" w:sz="4" w:space="0" w:color="auto"/>
            </w:tcBorders>
            <w:shd w:val="clear" w:color="auto" w:fill="auto"/>
            <w:hideMark/>
          </w:tcPr>
          <w:p w14:paraId="153B4123"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9 965,68</w:t>
            </w:r>
          </w:p>
        </w:tc>
        <w:tc>
          <w:tcPr>
            <w:tcW w:w="1081" w:type="pct"/>
            <w:tcBorders>
              <w:top w:val="nil"/>
              <w:left w:val="nil"/>
              <w:bottom w:val="single" w:sz="4" w:space="0" w:color="auto"/>
              <w:right w:val="single" w:sz="4" w:space="0" w:color="auto"/>
            </w:tcBorders>
            <w:shd w:val="clear" w:color="auto" w:fill="auto"/>
            <w:hideMark/>
          </w:tcPr>
          <w:p w14:paraId="1D3E9616"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55 221,01</w:t>
            </w:r>
          </w:p>
        </w:tc>
        <w:tc>
          <w:tcPr>
            <w:tcW w:w="924" w:type="pct"/>
            <w:tcBorders>
              <w:top w:val="nil"/>
              <w:left w:val="nil"/>
              <w:bottom w:val="single" w:sz="4" w:space="0" w:color="auto"/>
              <w:right w:val="single" w:sz="4" w:space="0" w:color="auto"/>
            </w:tcBorders>
            <w:shd w:val="clear" w:color="auto" w:fill="auto"/>
            <w:hideMark/>
          </w:tcPr>
          <w:p w14:paraId="05109094"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 xml:space="preserve">1 035 </w:t>
            </w:r>
            <w:r w:rsidRPr="005808FC">
              <w:rPr>
                <w:rFonts w:eastAsia="Times New Roman"/>
                <w:b/>
                <w:bCs/>
                <w:color w:val="000000"/>
                <w:sz w:val="18"/>
                <w:szCs w:val="18"/>
                <w:lang w:eastAsia="hr-HR"/>
              </w:rPr>
              <w:t>768,25</w:t>
            </w:r>
          </w:p>
        </w:tc>
        <w:tc>
          <w:tcPr>
            <w:tcW w:w="678" w:type="pct"/>
            <w:tcBorders>
              <w:top w:val="nil"/>
              <w:left w:val="nil"/>
              <w:bottom w:val="single" w:sz="4" w:space="0" w:color="auto"/>
              <w:right w:val="single" w:sz="4" w:space="0" w:color="auto"/>
            </w:tcBorders>
            <w:shd w:val="clear" w:color="auto" w:fill="auto"/>
            <w:hideMark/>
          </w:tcPr>
          <w:p w14:paraId="67873549"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1 100 954,94</w:t>
            </w:r>
          </w:p>
        </w:tc>
      </w:tr>
    </w:tbl>
    <w:p w14:paraId="247152A7" w14:textId="216761B8" w:rsidR="00494D06" w:rsidRPr="005808FC" w:rsidRDefault="00494D06" w:rsidP="005808FC">
      <w:pPr>
        <w:spacing w:before="240" w:line="240" w:lineRule="auto"/>
        <w:rPr>
          <w:rFonts w:eastAsia="Calibri"/>
          <w:color w:val="000000" w:themeColor="text1"/>
        </w:rPr>
      </w:pPr>
      <w:r w:rsidRPr="00291DF5">
        <w:rPr>
          <w:rFonts w:eastAsia="Calibri"/>
        </w:rPr>
        <w:t>Ukupni Kontrolni inventar emisija CO</w:t>
      </w:r>
      <w:r w:rsidRPr="005808FC">
        <w:rPr>
          <w:rFonts w:eastAsia="Calibri"/>
          <w:vertAlign w:val="subscript"/>
        </w:rPr>
        <w:t>2</w:t>
      </w:r>
      <w:r w:rsidRPr="005808FC">
        <w:rPr>
          <w:rFonts w:eastAsia="Calibri"/>
        </w:rPr>
        <w:t xml:space="preserve"> iz </w:t>
      </w:r>
      <w:r w:rsidRPr="005808FC">
        <w:rPr>
          <w:rFonts w:eastAsia="Calibri"/>
          <w:color w:val="000000"/>
        </w:rPr>
        <w:t xml:space="preserve">sektora promet u 2015. godini iznosio je 1 100 954,94 </w:t>
      </w:r>
      <w:r w:rsidRPr="005808FC">
        <w:rPr>
          <w:rFonts w:eastAsia="Calibri"/>
          <w:color w:val="000000"/>
          <w:lang w:eastAsia="hr-HR"/>
        </w:rPr>
        <w:t xml:space="preserve">t, od čega </w:t>
      </w:r>
      <w:r w:rsidRPr="005808FC">
        <w:rPr>
          <w:rFonts w:eastAsia="Calibri"/>
          <w:color w:val="000000"/>
        </w:rPr>
        <w:t xml:space="preserve">najveći udio čini emisija iz dizela s udjelom od 60,95% te emisija iz potrošnje motornog benzina od 33,81%, </w:t>
      </w:r>
      <w:r w:rsidRPr="005808FC">
        <w:fldChar w:fldCharType="begin"/>
      </w:r>
      <w:r w:rsidRPr="00256FE9">
        <w:rPr>
          <w:rFonts w:eastAsia="Calibri" w:cstheme="minorHAnsi"/>
          <w:color w:val="000000"/>
        </w:rPr>
        <w:instrText xml:space="preserve"> REF _Ref465681850 \h  \* MERGEFORMAT </w:instrText>
      </w:r>
      <w:r w:rsidRPr="005808FC">
        <w:rPr>
          <w:rFonts w:eastAsia="Calibri" w:cstheme="minorHAnsi"/>
          <w:color w:val="000000"/>
        </w:rPr>
        <w:fldChar w:fldCharType="separate"/>
      </w:r>
      <w:r w:rsidRPr="005808FC">
        <w:rPr>
          <w:rFonts w:eastAsia="Calibri"/>
        </w:rPr>
        <w:t xml:space="preserve">Slika </w:t>
      </w:r>
      <w:r w:rsidR="00256FE9" w:rsidRPr="005808FC">
        <w:rPr>
          <w:rFonts w:eastAsia="Calibri"/>
          <w:noProof/>
        </w:rPr>
        <w:t>5</w:t>
      </w:r>
      <w:r w:rsidRPr="005808FC">
        <w:rPr>
          <w:rFonts w:eastAsia="Calibri"/>
          <w:noProof/>
        </w:rPr>
        <w:t>.4</w:t>
      </w:r>
      <w:r w:rsidRPr="005808FC">
        <w:fldChar w:fldCharType="end"/>
      </w:r>
      <w:r w:rsidRPr="00291DF5">
        <w:rPr>
          <w:rFonts w:eastAsia="Calibri"/>
          <w:color w:val="000000"/>
        </w:rPr>
        <w:t xml:space="preserve">. </w:t>
      </w:r>
      <w:r w:rsidRPr="005808FC">
        <w:rPr>
          <w:rFonts w:eastAsia="Calibri"/>
          <w:color w:val="000000"/>
          <w:lang w:eastAsia="hr-HR"/>
        </w:rPr>
        <w:t xml:space="preserve">Na </w:t>
      </w:r>
      <w:r w:rsidRPr="005808FC">
        <w:fldChar w:fldCharType="begin"/>
      </w:r>
      <w:r w:rsidRPr="00256FE9">
        <w:rPr>
          <w:rFonts w:eastAsia="Calibri" w:cstheme="minorHAnsi"/>
          <w:color w:val="000000"/>
          <w:lang w:eastAsia="hr-HR"/>
        </w:rPr>
        <w:instrText xml:space="preserve"> REF _Ref465681967 \h  \* MERGEFORMAT </w:instrText>
      </w:r>
      <w:r w:rsidRPr="005808FC">
        <w:rPr>
          <w:rFonts w:eastAsia="Calibri" w:cstheme="minorHAnsi"/>
          <w:color w:val="000000"/>
          <w:lang w:eastAsia="hr-HR"/>
        </w:rPr>
        <w:fldChar w:fldCharType="separate"/>
      </w:r>
      <w:r w:rsidRPr="005808FC">
        <w:rPr>
          <w:rFonts w:eastAsia="Calibri"/>
        </w:rPr>
        <w:t xml:space="preserve">Slici </w:t>
      </w:r>
      <w:r w:rsidR="00256FE9" w:rsidRPr="005808FC">
        <w:rPr>
          <w:rFonts w:eastAsia="Calibri"/>
          <w:noProof/>
        </w:rPr>
        <w:t>5</w:t>
      </w:r>
      <w:r w:rsidRPr="005808FC">
        <w:rPr>
          <w:rFonts w:eastAsia="Calibri"/>
          <w:noProof/>
        </w:rPr>
        <w:t>.5</w:t>
      </w:r>
      <w:r w:rsidRPr="005808FC">
        <w:fldChar w:fldCharType="end"/>
      </w:r>
      <w:r w:rsidRPr="00291DF5">
        <w:rPr>
          <w:rFonts w:eastAsia="Calibri"/>
          <w:color w:val="000000"/>
          <w:lang w:eastAsia="hr-HR"/>
        </w:rPr>
        <w:t>. je vidljivo da ako promatramo podsektore najveći udio u ukupnom Kontrolnom inventaru čini podsektor osobna</w:t>
      </w:r>
      <w:r w:rsidR="000509A0">
        <w:rPr>
          <w:rFonts w:eastAsia="Calibri"/>
          <w:color w:val="000000"/>
          <w:lang w:eastAsia="hr-HR"/>
        </w:rPr>
        <w:t xml:space="preserve"> i </w:t>
      </w:r>
      <w:r w:rsidRPr="00291DF5">
        <w:rPr>
          <w:rFonts w:eastAsia="Calibri"/>
          <w:color w:val="000000"/>
          <w:lang w:eastAsia="hr-HR"/>
        </w:rPr>
        <w:t xml:space="preserve">komercijalna vozila od 94,08%. </w:t>
      </w:r>
    </w:p>
    <w:p w14:paraId="69A8D9DF" w14:textId="37A0B367" w:rsidR="000509A0" w:rsidRPr="00922031" w:rsidRDefault="00494D06" w:rsidP="005808FC">
      <w:pPr>
        <w:jc w:val="center"/>
        <w:rPr>
          <w:noProof/>
          <w:lang w:eastAsia="hr-HR"/>
        </w:rPr>
      </w:pPr>
      <w:r w:rsidRPr="00922031">
        <w:rPr>
          <w:rFonts w:cstheme="minorHAnsi"/>
          <w:noProof/>
          <w:lang w:eastAsia="hr-HR"/>
        </w:rPr>
        <w:drawing>
          <wp:inline distT="0" distB="0" distL="0" distR="0" wp14:anchorId="3FF0B3C6" wp14:editId="65CD8539">
            <wp:extent cx="4124325" cy="2009775"/>
            <wp:effectExtent l="0" t="0" r="0" b="0"/>
            <wp:docPr id="47" name="Chart 47">
              <a:extLst xmlns:a="http://schemas.openxmlformats.org/drawingml/2006/main">
                <a:ext uri="{FF2B5EF4-FFF2-40B4-BE49-F238E27FC236}">
                  <a16:creationId xmlns:a16="http://schemas.microsoft.com/office/drawing/2014/main" id="{C564EA53-FFCF-4ABD-8ED2-5C60FA644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30E23F" w14:textId="6F61CB8A" w:rsidR="00494D06" w:rsidRPr="005808FC" w:rsidRDefault="00494D06" w:rsidP="005808FC">
      <w:pPr>
        <w:rPr>
          <w:rStyle w:val="slikeprave"/>
        </w:rPr>
      </w:pPr>
      <w:bookmarkStart w:id="140" w:name="_Ref465681850"/>
      <w:bookmarkStart w:id="141" w:name="_Toc317250195"/>
      <w:bookmarkStart w:id="142" w:name="_Toc323121175"/>
      <w:bookmarkStart w:id="143" w:name="_Toc448137104"/>
      <w:bookmarkStart w:id="144" w:name="_Toc468277471"/>
      <w:bookmarkStart w:id="145" w:name="_Toc4156034"/>
      <w:r w:rsidRPr="005808FC">
        <w:rPr>
          <w:rStyle w:val="slikeprave"/>
        </w:rPr>
        <w:t xml:space="preserve">Slika </w:t>
      </w:r>
      <w:r w:rsidR="0019556A" w:rsidRPr="005808FC">
        <w:rPr>
          <w:rStyle w:val="slikeprave"/>
        </w:rPr>
        <w:fldChar w:fldCharType="begin"/>
      </w:r>
      <w:r w:rsidR="0019556A" w:rsidRPr="005808FC">
        <w:rPr>
          <w:rStyle w:val="slikeprave"/>
        </w:rPr>
        <w:instrText xml:space="preserve"> STYLEREF 1 \s </w:instrText>
      </w:r>
      <w:r w:rsidR="0019556A" w:rsidRPr="005808FC">
        <w:rPr>
          <w:rStyle w:val="slikeprave"/>
        </w:rPr>
        <w:fldChar w:fldCharType="separate"/>
      </w:r>
      <w:r w:rsidR="0019556A" w:rsidRPr="005808FC">
        <w:rPr>
          <w:rStyle w:val="slikeprave"/>
        </w:rPr>
        <w:t>5</w:t>
      </w:r>
      <w:r w:rsidR="0019556A" w:rsidRPr="005808FC">
        <w:rPr>
          <w:rStyle w:val="slikeprave"/>
        </w:rPr>
        <w:fldChar w:fldCharType="end"/>
      </w:r>
      <w:r w:rsidR="0019556A" w:rsidRPr="005808FC">
        <w:rPr>
          <w:rStyle w:val="slikeprave"/>
        </w:rPr>
        <w:t>.</w:t>
      </w:r>
      <w:r w:rsidR="0019556A" w:rsidRPr="005808FC">
        <w:rPr>
          <w:rStyle w:val="slikeprave"/>
        </w:rPr>
        <w:fldChar w:fldCharType="begin"/>
      </w:r>
      <w:r w:rsidR="0019556A" w:rsidRPr="005808FC">
        <w:rPr>
          <w:rStyle w:val="slikeprave"/>
        </w:rPr>
        <w:instrText xml:space="preserve"> SEQ Slika \* ARABIC \s 1 </w:instrText>
      </w:r>
      <w:r w:rsidR="0019556A" w:rsidRPr="005808FC">
        <w:rPr>
          <w:rStyle w:val="slikeprave"/>
        </w:rPr>
        <w:fldChar w:fldCharType="separate"/>
      </w:r>
      <w:r w:rsidR="0019556A" w:rsidRPr="005808FC">
        <w:rPr>
          <w:rStyle w:val="slikeprave"/>
        </w:rPr>
        <w:t>4</w:t>
      </w:r>
      <w:r w:rsidR="0019556A" w:rsidRPr="005808FC">
        <w:rPr>
          <w:rStyle w:val="slikeprave"/>
        </w:rPr>
        <w:fldChar w:fldCharType="end"/>
      </w:r>
      <w:bookmarkEnd w:id="140"/>
      <w:r w:rsidRPr="005808FC">
        <w:rPr>
          <w:rStyle w:val="slikeprave"/>
        </w:rPr>
        <w:t xml:space="preserve"> </w:t>
      </w:r>
      <w:r w:rsidR="000509A0">
        <w:rPr>
          <w:rStyle w:val="slikeprave"/>
        </w:rPr>
        <w:t xml:space="preserve">- </w:t>
      </w:r>
      <w:r w:rsidRPr="005808FC">
        <w:rPr>
          <w:rStyle w:val="slikeprave"/>
        </w:rPr>
        <w:t>Udio pojedinog energenta u ukupnom Kontrolnom inventaru CO</w:t>
      </w:r>
      <w:r w:rsidRPr="00C77777">
        <w:rPr>
          <w:rStyle w:val="slikeprave"/>
          <w:vertAlign w:val="subscript"/>
        </w:rPr>
        <w:t>2</w:t>
      </w:r>
      <w:r w:rsidRPr="005808FC">
        <w:rPr>
          <w:rStyle w:val="slikeprave"/>
        </w:rPr>
        <w:t xml:space="preserve"> iz sektora promet</w:t>
      </w:r>
      <w:bookmarkEnd w:id="141"/>
      <w:bookmarkEnd w:id="142"/>
      <w:bookmarkEnd w:id="143"/>
      <w:r w:rsidRPr="005808FC">
        <w:rPr>
          <w:rStyle w:val="slikeprave"/>
        </w:rPr>
        <w:t xml:space="preserve"> za 2015. godinu</w:t>
      </w:r>
      <w:bookmarkEnd w:id="144"/>
      <w:bookmarkEnd w:id="145"/>
    </w:p>
    <w:p w14:paraId="79643059" w14:textId="77777777" w:rsidR="00494D06" w:rsidRPr="00922031" w:rsidRDefault="00494D06" w:rsidP="00494D06">
      <w:pPr>
        <w:spacing w:after="0" w:line="240" w:lineRule="auto"/>
        <w:ind w:firstLine="708"/>
        <w:jc w:val="center"/>
        <w:rPr>
          <w:rFonts w:cstheme="minorHAnsi"/>
          <w:noProof/>
          <w:lang w:eastAsia="hr-HR"/>
        </w:rPr>
      </w:pPr>
      <w:r w:rsidRPr="00922031">
        <w:rPr>
          <w:rFonts w:cstheme="minorHAnsi"/>
          <w:noProof/>
          <w:lang w:eastAsia="hr-HR"/>
        </w:rPr>
        <w:lastRenderedPageBreak/>
        <w:drawing>
          <wp:inline distT="0" distB="0" distL="0" distR="0" wp14:anchorId="3B64D6EF" wp14:editId="26965ABA">
            <wp:extent cx="4591050" cy="2536166"/>
            <wp:effectExtent l="0" t="0" r="0" b="0"/>
            <wp:docPr id="54" name="Chart 54">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9FBFA5" w14:textId="350D57E2" w:rsidR="00494D06" w:rsidRPr="006D77A6" w:rsidRDefault="00494D06" w:rsidP="003847C4">
      <w:pPr>
        <w:pStyle w:val="Heading6"/>
        <w:rPr>
          <w:rFonts w:eastAsia="Calibri"/>
        </w:rPr>
      </w:pPr>
      <w:bookmarkStart w:id="146" w:name="_Ref465681967"/>
      <w:bookmarkStart w:id="147" w:name="_Toc317250196"/>
      <w:bookmarkStart w:id="148" w:name="_Toc323121176"/>
      <w:bookmarkStart w:id="149" w:name="_Toc448137105"/>
      <w:bookmarkStart w:id="150" w:name="_Toc468277472"/>
      <w:bookmarkStart w:id="151" w:name="_Toc4156035"/>
      <w:r w:rsidRPr="00291DF5">
        <w:rPr>
          <w:rFonts w:eastAsia="Calibri"/>
        </w:rPr>
        <w:t xml:space="preserve">Slika </w:t>
      </w:r>
      <w:r w:rsidR="0019556A" w:rsidRPr="005808FC">
        <w:fldChar w:fldCharType="begin"/>
      </w:r>
      <w:r w:rsidR="0019556A">
        <w:rPr>
          <w:rFonts w:eastAsia="Calibri"/>
          <w:bCs/>
        </w:rPr>
        <w:instrText xml:space="preserve"> STYLEREF 1 \s </w:instrText>
      </w:r>
      <w:r w:rsidR="0019556A" w:rsidRPr="005808FC">
        <w:rPr>
          <w:rFonts w:eastAsia="Calibri"/>
          <w:bCs/>
        </w:rPr>
        <w:fldChar w:fldCharType="separate"/>
      </w:r>
      <w:r w:rsidR="0019556A" w:rsidRPr="005808FC">
        <w:rPr>
          <w:rFonts w:eastAsia="Calibri"/>
          <w:noProof/>
        </w:rPr>
        <w:t>5</w:t>
      </w:r>
      <w:r w:rsidR="0019556A" w:rsidRPr="005808FC">
        <w:fldChar w:fldCharType="end"/>
      </w:r>
      <w:r w:rsidR="0019556A" w:rsidRPr="00291DF5">
        <w:rPr>
          <w:rFonts w:eastAsia="Calibri"/>
        </w:rPr>
        <w:t>.</w:t>
      </w:r>
      <w:r w:rsidR="0019556A" w:rsidRPr="005808FC">
        <w:fldChar w:fldCharType="begin"/>
      </w:r>
      <w:r w:rsidR="0019556A">
        <w:rPr>
          <w:rFonts w:eastAsia="Calibri"/>
          <w:bCs/>
        </w:rPr>
        <w:instrText xml:space="preserve"> SEQ Slika \* ARABIC \s 1 </w:instrText>
      </w:r>
      <w:r w:rsidR="0019556A" w:rsidRPr="005808FC">
        <w:rPr>
          <w:rFonts w:eastAsia="Calibri"/>
          <w:bCs/>
        </w:rPr>
        <w:fldChar w:fldCharType="separate"/>
      </w:r>
      <w:r w:rsidR="0019556A" w:rsidRPr="005808FC">
        <w:rPr>
          <w:rFonts w:eastAsia="Calibri"/>
          <w:noProof/>
        </w:rPr>
        <w:t>5</w:t>
      </w:r>
      <w:r w:rsidR="0019556A" w:rsidRPr="005808FC">
        <w:fldChar w:fldCharType="end"/>
      </w:r>
      <w:bookmarkEnd w:id="146"/>
      <w:r w:rsidRPr="00291DF5">
        <w:rPr>
          <w:rFonts w:eastAsia="Calibri"/>
        </w:rPr>
        <w:t xml:space="preserve"> </w:t>
      </w:r>
      <w:r w:rsidR="000509A0">
        <w:rPr>
          <w:rFonts w:eastAsia="Calibri"/>
        </w:rPr>
        <w:t xml:space="preserve">- </w:t>
      </w:r>
      <w:r w:rsidRPr="006D77A6">
        <w:rPr>
          <w:rFonts w:eastAsia="Calibri"/>
        </w:rPr>
        <w:t>Udio pojedinog podsektora sektora promet u ukupnom Kontrolnom inventaru emisija CO</w:t>
      </w:r>
      <w:r w:rsidRPr="006D77A6">
        <w:rPr>
          <w:rFonts w:eastAsia="Calibri"/>
          <w:vertAlign w:val="subscript"/>
        </w:rPr>
        <w:t>2</w:t>
      </w:r>
      <w:r w:rsidRPr="006D77A6">
        <w:rPr>
          <w:rFonts w:eastAsia="Calibri"/>
        </w:rPr>
        <w:t xml:space="preserve"> </w:t>
      </w:r>
      <w:bookmarkEnd w:id="147"/>
      <w:bookmarkEnd w:id="148"/>
      <w:bookmarkEnd w:id="149"/>
      <w:r w:rsidRPr="006D77A6">
        <w:rPr>
          <w:rFonts w:eastAsia="Calibri"/>
        </w:rPr>
        <w:t>za 2015. godinu</w:t>
      </w:r>
      <w:bookmarkEnd w:id="150"/>
      <w:bookmarkEnd w:id="151"/>
    </w:p>
    <w:p w14:paraId="7287D369" w14:textId="77777777" w:rsidR="00494D06" w:rsidRPr="00922031" w:rsidRDefault="00494D06" w:rsidP="00F5641B">
      <w:pPr>
        <w:pStyle w:val="Heading2"/>
      </w:pPr>
      <w:bookmarkStart w:id="152" w:name="_Toc260042174"/>
      <w:bookmarkStart w:id="153" w:name="_Toc294180608"/>
      <w:bookmarkStart w:id="154" w:name="_Toc329344480"/>
      <w:bookmarkStart w:id="155" w:name="_Toc468345387"/>
      <w:bookmarkStart w:id="156" w:name="_Toc4156089"/>
      <w:bookmarkEnd w:id="131"/>
      <w:r w:rsidRPr="00922031">
        <w:t>Kontrolni inventar emisija CO</w:t>
      </w:r>
      <w:r w:rsidRPr="00922031">
        <w:rPr>
          <w:vertAlign w:val="subscript"/>
        </w:rPr>
        <w:t>2</w:t>
      </w:r>
      <w:r w:rsidRPr="00922031">
        <w:t xml:space="preserve"> iz sektora javne rasvjete</w:t>
      </w:r>
      <w:bookmarkEnd w:id="152"/>
      <w:bookmarkEnd w:id="153"/>
      <w:bookmarkEnd w:id="154"/>
      <w:r w:rsidRPr="00922031">
        <w:t xml:space="preserve"> Grada Zagreba u 2015. godini</w:t>
      </w:r>
      <w:bookmarkEnd w:id="155"/>
      <w:bookmarkEnd w:id="156"/>
    </w:p>
    <w:p w14:paraId="5FC6655E" w14:textId="2B0F3CA1" w:rsidR="00494D06" w:rsidRPr="00922031" w:rsidRDefault="00494D06" w:rsidP="005808FC">
      <w:pPr>
        <w:spacing w:line="240" w:lineRule="auto"/>
      </w:pPr>
      <w:bookmarkStart w:id="157" w:name="_Toc258934004"/>
      <w:bookmarkStart w:id="158" w:name="_Toc294180694"/>
      <w:bookmarkStart w:id="159" w:name="_Toc294180970"/>
      <w:bookmarkStart w:id="160" w:name="_Toc329344556"/>
      <w:r w:rsidRPr="00291DF5">
        <w:t>Emisije CO</w:t>
      </w:r>
      <w:r w:rsidRPr="005808FC">
        <w:rPr>
          <w:vertAlign w:val="subscript"/>
        </w:rPr>
        <w:t>2</w:t>
      </w:r>
      <w:r w:rsidRPr="005808FC">
        <w:t xml:space="preserve"> sektora javne rasvjete Grada Zagreba obuhvaćaju emisije iz električne</w:t>
      </w:r>
      <w:r w:rsidR="000509A0">
        <w:t xml:space="preserve"> i </w:t>
      </w:r>
      <w:r w:rsidRPr="00291DF5">
        <w:t xml:space="preserve">plinske </w:t>
      </w:r>
      <w:r w:rsidRPr="005808FC">
        <w:t xml:space="preserve">mreže javne rasvjete. Udio plinske u ukupnoj mreži javne rasvjete Grada je gotovo zanemariv. </w:t>
      </w:r>
    </w:p>
    <w:p w14:paraId="592BBBA9" w14:textId="027947C5" w:rsidR="00494D06" w:rsidRPr="00256FE9" w:rsidRDefault="00494D06" w:rsidP="005808FC">
      <w:pPr>
        <w:spacing w:line="240" w:lineRule="auto"/>
      </w:pPr>
      <w:r w:rsidRPr="00291DF5">
        <w:t xml:space="preserve">U </w:t>
      </w:r>
      <w:r w:rsidRPr="005808FC">
        <w:fldChar w:fldCharType="begin"/>
      </w:r>
      <w:r w:rsidRPr="00256FE9">
        <w:rPr>
          <w:rFonts w:cstheme="minorHAnsi"/>
        </w:rPr>
        <w:instrText xml:space="preserve"> REF _Ref465412821 \h  \* MERGEFORMAT </w:instrText>
      </w:r>
      <w:r w:rsidRPr="005808FC">
        <w:rPr>
          <w:rFonts w:cstheme="minorHAnsi"/>
        </w:rPr>
        <w:fldChar w:fldCharType="separate"/>
      </w:r>
      <w:r w:rsidRPr="005808FC">
        <w:rPr>
          <w:rFonts w:eastAsia="Calibri"/>
        </w:rPr>
        <w:t xml:space="preserve">Tablici </w:t>
      </w:r>
      <w:r w:rsidR="00256FE9" w:rsidRPr="005808FC">
        <w:rPr>
          <w:rFonts w:eastAsia="Calibri"/>
          <w:noProof/>
        </w:rPr>
        <w:t>5</w:t>
      </w:r>
      <w:r w:rsidRPr="005808FC">
        <w:rPr>
          <w:rFonts w:eastAsia="Calibri"/>
          <w:noProof/>
        </w:rPr>
        <w:t>.4</w:t>
      </w:r>
      <w:r w:rsidRPr="005808FC">
        <w:fldChar w:fldCharType="end"/>
      </w:r>
      <w:r w:rsidRPr="00291DF5">
        <w:t xml:space="preserve"> dane su potrošnje električne energije</w:t>
      </w:r>
      <w:r w:rsidR="000509A0">
        <w:t xml:space="preserve"> i </w:t>
      </w:r>
      <w:r w:rsidRPr="00291DF5">
        <w:t>plina</w:t>
      </w:r>
      <w:r w:rsidR="000509A0">
        <w:t xml:space="preserve"> i </w:t>
      </w:r>
      <w:r w:rsidRPr="00291DF5">
        <w:t>pripadajući Kontrolni inventar emisije CO</w:t>
      </w:r>
      <w:r w:rsidRPr="005808FC">
        <w:rPr>
          <w:vertAlign w:val="subscript"/>
        </w:rPr>
        <w:t>2</w:t>
      </w:r>
      <w:r w:rsidRPr="005808FC">
        <w:t xml:space="preserve"> za električnu</w:t>
      </w:r>
      <w:r w:rsidR="000509A0">
        <w:t xml:space="preserve"> i </w:t>
      </w:r>
      <w:r w:rsidRPr="00291DF5">
        <w:t>plinsku mrežu javne rasvjete u 2015. godini.</w:t>
      </w:r>
    </w:p>
    <w:p w14:paraId="7DCB2D8A" w14:textId="331FB8EB" w:rsidR="00494D06" w:rsidRPr="005808FC" w:rsidRDefault="0082211F">
      <w:pPr>
        <w:pStyle w:val="Caption"/>
        <w:rPr>
          <w:rFonts w:eastAsia="Calibri" w:cstheme="minorBidi"/>
          <w:lang w:val="it-IT"/>
        </w:rPr>
      </w:pPr>
      <w:bookmarkStart w:id="161" w:name="_Toc468277516"/>
      <w:bookmarkStart w:id="162" w:name="_Toc4156009"/>
      <w:r w:rsidRPr="00F158D4">
        <w:rPr>
          <w:lang w:val="it-IT"/>
        </w:rPr>
        <w:t xml:space="preserve">Tablica </w:t>
      </w:r>
      <w:r w:rsidR="0019556A">
        <w:fldChar w:fldCharType="begin"/>
      </w:r>
      <w:r w:rsidR="0019556A" w:rsidRPr="00F158D4">
        <w:rPr>
          <w:lang w:val="it-IT"/>
        </w:rPr>
        <w:instrText xml:space="preserve"> STYLEREF 1 \s </w:instrText>
      </w:r>
      <w:r w:rsidR="0019556A">
        <w:fldChar w:fldCharType="separate"/>
      </w:r>
      <w:r w:rsidR="0019556A" w:rsidRPr="00F158D4">
        <w:rPr>
          <w:noProof/>
          <w:lang w:val="it-IT"/>
        </w:rPr>
        <w:t>5</w:t>
      </w:r>
      <w:r w:rsidR="0019556A">
        <w:fldChar w:fldCharType="end"/>
      </w:r>
      <w:r w:rsidR="0019556A" w:rsidRPr="00F158D4">
        <w:rPr>
          <w:lang w:val="it-IT"/>
        </w:rPr>
        <w:t>.</w:t>
      </w:r>
      <w:r w:rsidR="0019556A">
        <w:fldChar w:fldCharType="begin"/>
      </w:r>
      <w:r w:rsidR="0019556A" w:rsidRPr="00F158D4">
        <w:rPr>
          <w:lang w:val="it-IT"/>
        </w:rPr>
        <w:instrText xml:space="preserve"> SEQ Tablica \* ARABIC \s 1 </w:instrText>
      </w:r>
      <w:r w:rsidR="0019556A">
        <w:fldChar w:fldCharType="separate"/>
      </w:r>
      <w:r w:rsidR="0019556A" w:rsidRPr="00F158D4">
        <w:rPr>
          <w:noProof/>
          <w:lang w:val="it-IT"/>
        </w:rPr>
        <w:t>4</w:t>
      </w:r>
      <w:r w:rsidR="0019556A">
        <w:fldChar w:fldCharType="end"/>
      </w:r>
      <w:r w:rsidRPr="00F158D4">
        <w:rPr>
          <w:lang w:val="it-IT"/>
        </w:rPr>
        <w:t xml:space="preserve"> -</w:t>
      </w:r>
      <w:r w:rsidR="00494D06" w:rsidRPr="00291DF5">
        <w:rPr>
          <w:rFonts w:eastAsia="Calibri" w:cstheme="minorBidi"/>
          <w:b/>
          <w:bCs/>
          <w:lang w:val="it-IT"/>
        </w:rPr>
        <w:t xml:space="preserve"> </w:t>
      </w:r>
      <w:r w:rsidR="00494D06" w:rsidRPr="005808FC">
        <w:rPr>
          <w:rFonts w:eastAsia="Calibri" w:cstheme="minorBidi"/>
          <w:lang w:val="it-IT"/>
        </w:rPr>
        <w:t>Potrošnja električne energije</w:t>
      </w:r>
      <w:r w:rsidR="000509A0">
        <w:rPr>
          <w:rFonts w:eastAsia="Calibri" w:cstheme="minorBidi"/>
          <w:lang w:val="it-IT"/>
        </w:rPr>
        <w:t xml:space="preserve"> i </w:t>
      </w:r>
      <w:r w:rsidR="00494D06" w:rsidRPr="00291DF5">
        <w:rPr>
          <w:rFonts w:eastAsia="Calibri" w:cstheme="minorBidi"/>
          <w:lang w:val="it-IT"/>
        </w:rPr>
        <w:t>plina</w:t>
      </w:r>
      <w:bookmarkEnd w:id="157"/>
      <w:bookmarkEnd w:id="158"/>
      <w:bookmarkEnd w:id="159"/>
      <w:bookmarkEnd w:id="160"/>
      <w:r w:rsidR="000509A0">
        <w:rPr>
          <w:rFonts w:eastAsia="Calibri" w:cstheme="minorBidi"/>
          <w:lang w:val="it-IT"/>
        </w:rPr>
        <w:t xml:space="preserve"> i </w:t>
      </w:r>
      <w:r w:rsidR="00494D06" w:rsidRPr="00291DF5">
        <w:rPr>
          <w:rFonts w:eastAsia="Calibri" w:cstheme="minorBidi"/>
          <w:lang w:val="it-IT"/>
        </w:rPr>
        <w:t>pripadajući Kontrolni inventar emisije CO</w:t>
      </w:r>
      <w:r w:rsidR="00494D06" w:rsidRPr="005808FC">
        <w:rPr>
          <w:rFonts w:eastAsia="Calibri" w:cstheme="minorBidi"/>
          <w:vertAlign w:val="subscript"/>
          <w:lang w:val="it-IT"/>
        </w:rPr>
        <w:t xml:space="preserve">2 </w:t>
      </w:r>
      <w:r w:rsidR="00494D06" w:rsidRPr="005808FC">
        <w:rPr>
          <w:rFonts w:eastAsia="Calibri" w:cstheme="minorBidi"/>
          <w:lang w:val="it-IT"/>
        </w:rPr>
        <w:t>u 2015. godini</w:t>
      </w:r>
      <w:bookmarkEnd w:id="161"/>
      <w:bookmarkEnd w:id="162"/>
    </w:p>
    <w:tbl>
      <w:tblPr>
        <w:tblW w:w="5039" w:type="pct"/>
        <w:tblInd w:w="85" w:type="dxa"/>
        <w:tblLayout w:type="fixed"/>
        <w:tblLook w:val="04A0" w:firstRow="1" w:lastRow="0" w:firstColumn="1" w:lastColumn="0" w:noHBand="0" w:noVBand="1"/>
      </w:tblPr>
      <w:tblGrid>
        <w:gridCol w:w="1345"/>
        <w:gridCol w:w="1241"/>
        <w:gridCol w:w="834"/>
        <w:gridCol w:w="1065"/>
        <w:gridCol w:w="1079"/>
        <w:gridCol w:w="1394"/>
        <w:gridCol w:w="1058"/>
        <w:gridCol w:w="1070"/>
      </w:tblGrid>
      <w:tr w:rsidR="00D653DF" w:rsidRPr="00922031" w14:paraId="1D7C25D8" w14:textId="77777777" w:rsidTr="005808FC">
        <w:trPr>
          <w:trHeight w:val="548"/>
        </w:trPr>
        <w:tc>
          <w:tcPr>
            <w:tcW w:w="74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69EFD97" w14:textId="77777777" w:rsidR="00494D06" w:rsidRPr="005808FC" w:rsidRDefault="00494D06" w:rsidP="005808FC">
            <w:pPr>
              <w:spacing w:after="0" w:line="240" w:lineRule="auto"/>
              <w:rPr>
                <w:rFonts w:eastAsia="Times New Roman"/>
                <w:b/>
                <w:bCs/>
                <w:sz w:val="20"/>
                <w:szCs w:val="20"/>
                <w:lang w:eastAsia="hr-HR"/>
              </w:rPr>
            </w:pPr>
            <w:r w:rsidRPr="00291DF5">
              <w:rPr>
                <w:rFonts w:eastAsia="Times New Roman"/>
                <w:b/>
                <w:bCs/>
                <w:sz w:val="20"/>
                <w:szCs w:val="20"/>
                <w:lang w:eastAsia="hr-HR"/>
              </w:rPr>
              <w:t> </w:t>
            </w:r>
          </w:p>
        </w:tc>
        <w:tc>
          <w:tcPr>
            <w:tcW w:w="1142" w:type="pct"/>
            <w:gridSpan w:val="2"/>
            <w:tcBorders>
              <w:top w:val="single" w:sz="4" w:space="0" w:color="auto"/>
              <w:left w:val="nil"/>
              <w:bottom w:val="single" w:sz="4" w:space="0" w:color="auto"/>
              <w:right w:val="single" w:sz="4" w:space="0" w:color="000000" w:themeColor="text1"/>
            </w:tcBorders>
            <w:shd w:val="clear" w:color="auto" w:fill="C6D9F1" w:themeFill="text2" w:themeFillTint="33"/>
            <w:hideMark/>
          </w:tcPr>
          <w:p w14:paraId="4C7390CD"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Potrošnja električne energije</w:t>
            </w:r>
          </w:p>
        </w:tc>
        <w:tc>
          <w:tcPr>
            <w:tcW w:w="1180" w:type="pct"/>
            <w:gridSpan w:val="2"/>
            <w:tcBorders>
              <w:top w:val="single" w:sz="4" w:space="0" w:color="auto"/>
              <w:left w:val="nil"/>
              <w:bottom w:val="single" w:sz="4" w:space="0" w:color="auto"/>
              <w:right w:val="single" w:sz="4" w:space="0" w:color="000000" w:themeColor="text1"/>
            </w:tcBorders>
            <w:shd w:val="clear" w:color="auto" w:fill="C6D9F1" w:themeFill="text2" w:themeFillTint="33"/>
            <w:hideMark/>
          </w:tcPr>
          <w:p w14:paraId="0886E78F"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Potrošnja plina</w:t>
            </w:r>
          </w:p>
        </w:tc>
        <w:tc>
          <w:tcPr>
            <w:tcW w:w="767" w:type="pct"/>
            <w:tcBorders>
              <w:top w:val="single" w:sz="4" w:space="0" w:color="auto"/>
              <w:left w:val="nil"/>
              <w:bottom w:val="single" w:sz="4" w:space="0" w:color="auto"/>
              <w:right w:val="single" w:sz="4" w:space="0" w:color="auto"/>
            </w:tcBorders>
            <w:shd w:val="clear" w:color="auto" w:fill="C6D9F1" w:themeFill="text2" w:themeFillTint="33"/>
            <w:hideMark/>
          </w:tcPr>
          <w:p w14:paraId="3A6E1FAF"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Emisija električne energije</w:t>
            </w:r>
          </w:p>
        </w:tc>
        <w:tc>
          <w:tcPr>
            <w:tcW w:w="582" w:type="pct"/>
            <w:tcBorders>
              <w:top w:val="single" w:sz="4" w:space="0" w:color="auto"/>
              <w:left w:val="nil"/>
              <w:bottom w:val="single" w:sz="4" w:space="0" w:color="auto"/>
              <w:right w:val="single" w:sz="4" w:space="0" w:color="auto"/>
            </w:tcBorders>
            <w:shd w:val="clear" w:color="auto" w:fill="C6D9F1" w:themeFill="text2" w:themeFillTint="33"/>
            <w:hideMark/>
          </w:tcPr>
          <w:p w14:paraId="2DC24209"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 xml:space="preserve">Emisija </w:t>
            </w:r>
            <w:r w:rsidRPr="005808FC">
              <w:rPr>
                <w:rFonts w:eastAsia="Times New Roman"/>
                <w:b/>
                <w:bCs/>
                <w:sz w:val="20"/>
                <w:szCs w:val="20"/>
                <w:lang w:eastAsia="hr-HR"/>
              </w:rPr>
              <w:t>prirodni plin</w:t>
            </w:r>
          </w:p>
        </w:tc>
        <w:tc>
          <w:tcPr>
            <w:tcW w:w="589" w:type="pct"/>
            <w:tcBorders>
              <w:top w:val="single" w:sz="4" w:space="0" w:color="auto"/>
              <w:left w:val="nil"/>
              <w:bottom w:val="single" w:sz="4" w:space="0" w:color="auto"/>
              <w:right w:val="single" w:sz="4" w:space="0" w:color="auto"/>
            </w:tcBorders>
            <w:shd w:val="clear" w:color="auto" w:fill="C6D9F1" w:themeFill="text2" w:themeFillTint="33"/>
            <w:noWrap/>
            <w:hideMark/>
          </w:tcPr>
          <w:p w14:paraId="106C155C"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Emisija</w:t>
            </w:r>
          </w:p>
        </w:tc>
      </w:tr>
      <w:tr w:rsidR="005808FC" w:rsidRPr="00922031" w14:paraId="0D50A0AD" w14:textId="77777777" w:rsidTr="005808FC">
        <w:trPr>
          <w:trHeight w:val="70"/>
        </w:trPr>
        <w:tc>
          <w:tcPr>
            <w:tcW w:w="74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48485" w14:textId="77777777" w:rsidR="00494D06" w:rsidRPr="00922031" w:rsidRDefault="00494D06" w:rsidP="00494D06">
            <w:pPr>
              <w:spacing w:after="0" w:line="240" w:lineRule="auto"/>
              <w:rPr>
                <w:rFonts w:eastAsia="Times New Roman" w:cstheme="minorHAnsi"/>
                <w:b/>
                <w:bCs/>
                <w:sz w:val="20"/>
                <w:szCs w:val="20"/>
                <w:lang w:eastAsia="hr-HR"/>
              </w:rPr>
            </w:pPr>
          </w:p>
        </w:tc>
        <w:tc>
          <w:tcPr>
            <w:tcW w:w="683" w:type="pct"/>
            <w:tcBorders>
              <w:top w:val="nil"/>
              <w:left w:val="nil"/>
              <w:bottom w:val="single" w:sz="4" w:space="0" w:color="auto"/>
              <w:right w:val="single" w:sz="4" w:space="0" w:color="auto"/>
            </w:tcBorders>
            <w:shd w:val="clear" w:color="auto" w:fill="C6D9F1" w:themeFill="text2" w:themeFillTint="33"/>
            <w:hideMark/>
          </w:tcPr>
          <w:p w14:paraId="141CACE0"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kWh</w:t>
            </w:r>
          </w:p>
        </w:tc>
        <w:tc>
          <w:tcPr>
            <w:tcW w:w="458" w:type="pct"/>
            <w:tcBorders>
              <w:top w:val="nil"/>
              <w:left w:val="nil"/>
              <w:bottom w:val="single" w:sz="4" w:space="0" w:color="auto"/>
              <w:right w:val="single" w:sz="4" w:space="0" w:color="auto"/>
            </w:tcBorders>
            <w:shd w:val="clear" w:color="auto" w:fill="C6D9F1" w:themeFill="text2" w:themeFillTint="33"/>
            <w:hideMark/>
          </w:tcPr>
          <w:p w14:paraId="2B20B696"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TJ</w:t>
            </w:r>
          </w:p>
        </w:tc>
        <w:tc>
          <w:tcPr>
            <w:tcW w:w="586" w:type="pct"/>
            <w:tcBorders>
              <w:top w:val="nil"/>
              <w:left w:val="nil"/>
              <w:bottom w:val="single" w:sz="4" w:space="0" w:color="auto"/>
              <w:right w:val="single" w:sz="4" w:space="0" w:color="auto"/>
            </w:tcBorders>
            <w:shd w:val="clear" w:color="auto" w:fill="C6D9F1" w:themeFill="text2" w:themeFillTint="33"/>
            <w:hideMark/>
          </w:tcPr>
          <w:p w14:paraId="21096E96"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m</w:t>
            </w:r>
            <w:r w:rsidRPr="005808FC">
              <w:rPr>
                <w:rFonts w:eastAsia="Times New Roman"/>
                <w:b/>
                <w:bCs/>
                <w:sz w:val="20"/>
                <w:szCs w:val="20"/>
                <w:vertAlign w:val="superscript"/>
                <w:lang w:eastAsia="hr-HR"/>
              </w:rPr>
              <w:t>3</w:t>
            </w:r>
          </w:p>
        </w:tc>
        <w:tc>
          <w:tcPr>
            <w:tcW w:w="594" w:type="pct"/>
            <w:tcBorders>
              <w:top w:val="nil"/>
              <w:left w:val="nil"/>
              <w:bottom w:val="single" w:sz="4" w:space="0" w:color="auto"/>
              <w:right w:val="single" w:sz="4" w:space="0" w:color="auto"/>
            </w:tcBorders>
            <w:shd w:val="clear" w:color="auto" w:fill="C6D9F1" w:themeFill="text2" w:themeFillTint="33"/>
            <w:hideMark/>
          </w:tcPr>
          <w:p w14:paraId="01E43F05"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TJ</w:t>
            </w:r>
          </w:p>
        </w:tc>
        <w:tc>
          <w:tcPr>
            <w:tcW w:w="767" w:type="pct"/>
            <w:tcBorders>
              <w:top w:val="nil"/>
              <w:left w:val="nil"/>
              <w:bottom w:val="single" w:sz="4" w:space="0" w:color="auto"/>
              <w:right w:val="single" w:sz="4" w:space="0" w:color="auto"/>
            </w:tcBorders>
            <w:shd w:val="clear" w:color="auto" w:fill="C6D9F1" w:themeFill="text2" w:themeFillTint="33"/>
            <w:noWrap/>
            <w:hideMark/>
          </w:tcPr>
          <w:p w14:paraId="2C526415"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t CO</w:t>
            </w:r>
            <w:r w:rsidRPr="005808FC">
              <w:rPr>
                <w:rFonts w:eastAsia="Times New Roman"/>
                <w:b/>
                <w:bCs/>
                <w:sz w:val="20"/>
                <w:szCs w:val="20"/>
                <w:vertAlign w:val="subscript"/>
                <w:lang w:eastAsia="hr-HR"/>
              </w:rPr>
              <w:t>2</w:t>
            </w:r>
          </w:p>
        </w:tc>
        <w:tc>
          <w:tcPr>
            <w:tcW w:w="582" w:type="pct"/>
            <w:tcBorders>
              <w:top w:val="nil"/>
              <w:left w:val="nil"/>
              <w:bottom w:val="single" w:sz="4" w:space="0" w:color="auto"/>
              <w:right w:val="single" w:sz="4" w:space="0" w:color="auto"/>
            </w:tcBorders>
            <w:shd w:val="clear" w:color="auto" w:fill="C6D9F1" w:themeFill="text2" w:themeFillTint="33"/>
            <w:noWrap/>
            <w:hideMark/>
          </w:tcPr>
          <w:p w14:paraId="6FD6351F"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t CO</w:t>
            </w:r>
            <w:r w:rsidRPr="005808FC">
              <w:rPr>
                <w:rFonts w:eastAsia="Times New Roman"/>
                <w:b/>
                <w:bCs/>
                <w:sz w:val="20"/>
                <w:szCs w:val="20"/>
                <w:vertAlign w:val="subscript"/>
                <w:lang w:eastAsia="hr-HR"/>
              </w:rPr>
              <w:t>2</w:t>
            </w:r>
          </w:p>
        </w:tc>
        <w:tc>
          <w:tcPr>
            <w:tcW w:w="589" w:type="pct"/>
            <w:tcBorders>
              <w:top w:val="nil"/>
              <w:left w:val="nil"/>
              <w:bottom w:val="single" w:sz="4" w:space="0" w:color="auto"/>
              <w:right w:val="single" w:sz="4" w:space="0" w:color="auto"/>
            </w:tcBorders>
            <w:shd w:val="clear" w:color="auto" w:fill="C6D9F1" w:themeFill="text2" w:themeFillTint="33"/>
            <w:noWrap/>
            <w:hideMark/>
          </w:tcPr>
          <w:p w14:paraId="07C0DFA6" w14:textId="77777777" w:rsidR="00494D06" w:rsidRPr="005808FC" w:rsidRDefault="00494D06" w:rsidP="005808FC">
            <w:pPr>
              <w:spacing w:after="0" w:line="240" w:lineRule="auto"/>
              <w:jc w:val="center"/>
              <w:rPr>
                <w:rFonts w:eastAsia="Times New Roman"/>
                <w:b/>
                <w:bCs/>
                <w:sz w:val="20"/>
                <w:szCs w:val="20"/>
                <w:lang w:eastAsia="hr-HR"/>
              </w:rPr>
            </w:pPr>
            <w:r w:rsidRPr="00291DF5">
              <w:rPr>
                <w:rFonts w:eastAsia="Times New Roman"/>
                <w:b/>
                <w:bCs/>
                <w:sz w:val="20"/>
                <w:szCs w:val="20"/>
                <w:lang w:eastAsia="hr-HR"/>
              </w:rPr>
              <w:t>t CO</w:t>
            </w:r>
            <w:r w:rsidRPr="005808FC">
              <w:rPr>
                <w:rFonts w:eastAsia="Times New Roman"/>
                <w:b/>
                <w:bCs/>
                <w:sz w:val="20"/>
                <w:szCs w:val="20"/>
                <w:vertAlign w:val="subscript"/>
                <w:lang w:eastAsia="hr-HR"/>
              </w:rPr>
              <w:t>2</w:t>
            </w:r>
          </w:p>
        </w:tc>
      </w:tr>
      <w:tr w:rsidR="00D653DF" w:rsidRPr="00922031" w14:paraId="0C328CFB" w14:textId="77777777" w:rsidTr="005808FC">
        <w:trPr>
          <w:trHeight w:val="300"/>
        </w:trPr>
        <w:tc>
          <w:tcPr>
            <w:tcW w:w="740" w:type="pct"/>
            <w:tcBorders>
              <w:top w:val="nil"/>
              <w:left w:val="single" w:sz="4" w:space="0" w:color="auto"/>
              <w:bottom w:val="single" w:sz="4" w:space="0" w:color="auto"/>
              <w:right w:val="single" w:sz="4" w:space="0" w:color="auto"/>
            </w:tcBorders>
            <w:shd w:val="clear" w:color="auto" w:fill="F2DBDB" w:themeFill="accent2" w:themeFillTint="33"/>
            <w:hideMark/>
          </w:tcPr>
          <w:p w14:paraId="6930B741" w14:textId="77777777" w:rsidR="00494D06" w:rsidRPr="005808FC" w:rsidRDefault="00494D06" w:rsidP="005808FC">
            <w:pPr>
              <w:spacing w:after="0" w:line="240" w:lineRule="auto"/>
              <w:rPr>
                <w:rFonts w:eastAsia="Times New Roman"/>
                <w:b/>
                <w:bCs/>
                <w:sz w:val="20"/>
                <w:szCs w:val="20"/>
                <w:lang w:eastAsia="hr-HR"/>
              </w:rPr>
            </w:pPr>
            <w:r w:rsidRPr="00291DF5">
              <w:rPr>
                <w:rFonts w:eastAsia="Times New Roman"/>
                <w:b/>
                <w:bCs/>
                <w:sz w:val="20"/>
                <w:szCs w:val="20"/>
                <w:lang w:eastAsia="hr-HR"/>
              </w:rPr>
              <w:t>Sektor javna rasvjeta</w:t>
            </w:r>
          </w:p>
        </w:tc>
        <w:tc>
          <w:tcPr>
            <w:tcW w:w="683" w:type="pct"/>
            <w:tcBorders>
              <w:top w:val="nil"/>
              <w:left w:val="nil"/>
              <w:bottom w:val="single" w:sz="4" w:space="0" w:color="auto"/>
              <w:right w:val="single" w:sz="4" w:space="0" w:color="auto"/>
            </w:tcBorders>
            <w:shd w:val="clear" w:color="auto" w:fill="auto"/>
            <w:noWrap/>
            <w:vAlign w:val="center"/>
            <w:hideMark/>
          </w:tcPr>
          <w:p w14:paraId="0CF3317A"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81 294 000</w:t>
            </w:r>
          </w:p>
        </w:tc>
        <w:tc>
          <w:tcPr>
            <w:tcW w:w="458" w:type="pct"/>
            <w:tcBorders>
              <w:top w:val="nil"/>
              <w:left w:val="nil"/>
              <w:bottom w:val="single" w:sz="4" w:space="0" w:color="auto"/>
              <w:right w:val="single" w:sz="4" w:space="0" w:color="auto"/>
            </w:tcBorders>
            <w:shd w:val="clear" w:color="auto" w:fill="auto"/>
            <w:vAlign w:val="center"/>
            <w:hideMark/>
          </w:tcPr>
          <w:p w14:paraId="68BDC845"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292,66</w:t>
            </w:r>
          </w:p>
        </w:tc>
        <w:tc>
          <w:tcPr>
            <w:tcW w:w="586" w:type="pct"/>
            <w:tcBorders>
              <w:top w:val="nil"/>
              <w:left w:val="nil"/>
              <w:bottom w:val="single" w:sz="4" w:space="0" w:color="auto"/>
              <w:right w:val="single" w:sz="4" w:space="0" w:color="auto"/>
            </w:tcBorders>
            <w:shd w:val="clear" w:color="auto" w:fill="auto"/>
            <w:vAlign w:val="center"/>
            <w:hideMark/>
          </w:tcPr>
          <w:p w14:paraId="53B8ECB0"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304 860</w:t>
            </w:r>
          </w:p>
        </w:tc>
        <w:tc>
          <w:tcPr>
            <w:tcW w:w="594" w:type="pct"/>
            <w:tcBorders>
              <w:top w:val="nil"/>
              <w:left w:val="nil"/>
              <w:bottom w:val="single" w:sz="4" w:space="0" w:color="auto"/>
              <w:right w:val="single" w:sz="4" w:space="0" w:color="auto"/>
            </w:tcBorders>
            <w:shd w:val="clear" w:color="auto" w:fill="auto"/>
            <w:vAlign w:val="center"/>
            <w:hideMark/>
          </w:tcPr>
          <w:p w14:paraId="785CEBCF"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10,42</w:t>
            </w:r>
          </w:p>
        </w:tc>
        <w:tc>
          <w:tcPr>
            <w:tcW w:w="767" w:type="pct"/>
            <w:tcBorders>
              <w:top w:val="nil"/>
              <w:left w:val="nil"/>
              <w:bottom w:val="single" w:sz="4" w:space="0" w:color="auto"/>
              <w:right w:val="single" w:sz="4" w:space="0" w:color="auto"/>
            </w:tcBorders>
            <w:shd w:val="clear" w:color="auto" w:fill="auto"/>
            <w:vAlign w:val="center"/>
            <w:hideMark/>
          </w:tcPr>
          <w:p w14:paraId="1FCF562B"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26 827,02</w:t>
            </w:r>
          </w:p>
        </w:tc>
        <w:tc>
          <w:tcPr>
            <w:tcW w:w="582" w:type="pct"/>
            <w:tcBorders>
              <w:top w:val="nil"/>
              <w:left w:val="nil"/>
              <w:bottom w:val="single" w:sz="4" w:space="0" w:color="auto"/>
              <w:right w:val="single" w:sz="4" w:space="0" w:color="auto"/>
            </w:tcBorders>
            <w:shd w:val="clear" w:color="auto" w:fill="auto"/>
            <w:vAlign w:val="center"/>
            <w:hideMark/>
          </w:tcPr>
          <w:p w14:paraId="70296DBC"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584,82</w:t>
            </w:r>
          </w:p>
        </w:tc>
        <w:tc>
          <w:tcPr>
            <w:tcW w:w="589" w:type="pct"/>
            <w:tcBorders>
              <w:top w:val="nil"/>
              <w:left w:val="nil"/>
              <w:bottom w:val="single" w:sz="4" w:space="0" w:color="auto"/>
              <w:right w:val="single" w:sz="4" w:space="0" w:color="auto"/>
            </w:tcBorders>
            <w:shd w:val="clear" w:color="auto" w:fill="auto"/>
            <w:vAlign w:val="center"/>
            <w:hideMark/>
          </w:tcPr>
          <w:p w14:paraId="0063B565" w14:textId="77777777" w:rsidR="00494D06" w:rsidRPr="005808FC" w:rsidRDefault="00494D06" w:rsidP="005808FC">
            <w:pPr>
              <w:spacing w:after="0" w:line="240" w:lineRule="auto"/>
              <w:jc w:val="center"/>
              <w:rPr>
                <w:rFonts w:eastAsia="Times New Roman"/>
                <w:sz w:val="20"/>
                <w:szCs w:val="20"/>
                <w:lang w:eastAsia="hr-HR"/>
              </w:rPr>
            </w:pPr>
            <w:r w:rsidRPr="00291DF5">
              <w:rPr>
                <w:rFonts w:eastAsia="Times New Roman"/>
                <w:sz w:val="20"/>
                <w:szCs w:val="20"/>
                <w:lang w:eastAsia="hr-HR"/>
              </w:rPr>
              <w:t>27 411,84</w:t>
            </w:r>
          </w:p>
        </w:tc>
      </w:tr>
    </w:tbl>
    <w:p w14:paraId="0A572FE3" w14:textId="77777777" w:rsidR="00494D06" w:rsidRPr="00922031" w:rsidRDefault="00494D06" w:rsidP="005808FC">
      <w:pPr>
        <w:spacing w:before="240" w:after="0" w:line="240" w:lineRule="auto"/>
      </w:pPr>
      <w:r w:rsidRPr="00291DF5">
        <w:rPr>
          <w:rFonts w:eastAsia="Calibri"/>
        </w:rPr>
        <w:t>Ukupni Kontrolni inventar emisija CO</w:t>
      </w:r>
      <w:r w:rsidRPr="005808FC">
        <w:rPr>
          <w:rFonts w:eastAsia="Calibri"/>
          <w:vertAlign w:val="subscript"/>
        </w:rPr>
        <w:t>2</w:t>
      </w:r>
      <w:r w:rsidRPr="005808FC">
        <w:rPr>
          <w:rFonts w:eastAsia="Calibri"/>
        </w:rPr>
        <w:t xml:space="preserve"> iz sektora javna rasvjeta u 2015. godini iznosi </w:t>
      </w:r>
      <w:r w:rsidRPr="005808FC">
        <w:rPr>
          <w:rFonts w:eastAsia="Calibri"/>
          <w:color w:val="000000"/>
          <w:lang w:eastAsia="hr-HR"/>
        </w:rPr>
        <w:t xml:space="preserve">27 411,84 </w:t>
      </w:r>
      <w:r w:rsidRPr="005808FC">
        <w:rPr>
          <w:rFonts w:eastAsia="Calibri"/>
        </w:rPr>
        <w:t>t CO</w:t>
      </w:r>
      <w:r w:rsidRPr="005808FC">
        <w:rPr>
          <w:rFonts w:eastAsia="Calibri"/>
          <w:vertAlign w:val="subscript"/>
        </w:rPr>
        <w:t>2</w:t>
      </w:r>
      <w:r w:rsidRPr="005808FC">
        <w:rPr>
          <w:rFonts w:eastAsia="Calibri"/>
        </w:rPr>
        <w:t>, od čega je udio emisija plinske rasvjete iznosi svega 2,13%.</w:t>
      </w:r>
      <w:r w:rsidRPr="005808FC">
        <w:rPr>
          <w:rFonts w:eastAsia="Times New Roman"/>
          <w:b/>
          <w:bCs/>
        </w:rPr>
        <w:br w:type="page"/>
      </w:r>
    </w:p>
    <w:p w14:paraId="4DD4C9E2" w14:textId="77777777" w:rsidR="00494D06" w:rsidRPr="00922031" w:rsidRDefault="00494D06" w:rsidP="00F5641B">
      <w:pPr>
        <w:pStyle w:val="Heading2"/>
      </w:pPr>
      <w:bookmarkStart w:id="163" w:name="_Toc4156090"/>
      <w:r w:rsidRPr="00922031">
        <w:lastRenderedPageBreak/>
        <w:t>Ukupni Kontrolni inventar emisija CO</w:t>
      </w:r>
      <w:r w:rsidRPr="00922031">
        <w:rPr>
          <w:vertAlign w:val="subscript"/>
        </w:rPr>
        <w:t>2</w:t>
      </w:r>
      <w:r w:rsidRPr="00922031">
        <w:t xml:space="preserve"> Grada Zagreba</w:t>
      </w:r>
      <w:bookmarkEnd w:id="163"/>
    </w:p>
    <w:p w14:paraId="3633511D" w14:textId="4DF788B5" w:rsidR="007053EB" w:rsidRDefault="007053EB" w:rsidP="007053EB">
      <w:pPr>
        <w:pStyle w:val="Heading3"/>
      </w:pPr>
      <w:bookmarkStart w:id="164" w:name="_Toc4156091"/>
      <w:r>
        <w:t>Energetska potrošnja Grada Zagreba – Kontrolni inventar</w:t>
      </w:r>
      <w:bookmarkEnd w:id="164"/>
      <w:r w:rsidRPr="00922031">
        <w:t xml:space="preserve"> </w:t>
      </w:r>
    </w:p>
    <w:p w14:paraId="7751B70C" w14:textId="74E19F81" w:rsidR="00494D06" w:rsidRPr="00256FE9" w:rsidRDefault="00494D06" w:rsidP="005808FC">
      <w:pPr>
        <w:spacing w:line="240" w:lineRule="auto"/>
      </w:pPr>
      <w:r w:rsidRPr="00291DF5">
        <w:rPr>
          <w:color w:val="333333"/>
        </w:rPr>
        <w:t>Kontrolni i</w:t>
      </w:r>
      <w:r w:rsidRPr="005808FC">
        <w:t>nventar emisija CO</w:t>
      </w:r>
      <w:r w:rsidRPr="005808FC">
        <w:rPr>
          <w:vertAlign w:val="subscript"/>
        </w:rPr>
        <w:t>2</w:t>
      </w:r>
      <w:r w:rsidRPr="005808FC">
        <w:t xml:space="preserve"> Grada Zagreba za 2015. godinu obuhvaća emisije CO</w:t>
      </w:r>
      <w:r w:rsidRPr="005808FC">
        <w:rPr>
          <w:vertAlign w:val="subscript"/>
        </w:rPr>
        <w:t>2</w:t>
      </w:r>
      <w:r w:rsidRPr="005808FC">
        <w:t xml:space="preserve"> iz sektora zgradarstva, prometa</w:t>
      </w:r>
      <w:r w:rsidR="000509A0">
        <w:t xml:space="preserve"> i </w:t>
      </w:r>
      <w:r w:rsidRPr="00291DF5">
        <w:t xml:space="preserve">javne rasvjete bazirane na energetskim potrošnjama pojedinih sektora, </w:t>
      </w:r>
      <w:r w:rsidRPr="005808FC">
        <w:fldChar w:fldCharType="begin"/>
      </w:r>
      <w:r w:rsidRPr="00256FE9">
        <w:rPr>
          <w:rFonts w:cstheme="minorHAnsi"/>
        </w:rPr>
        <w:instrText xml:space="preserve"> REF _Ref466037735 \h  \* MERGEFORMAT </w:instrText>
      </w:r>
      <w:r w:rsidRPr="005808FC">
        <w:rPr>
          <w:rFonts w:cstheme="minorHAnsi"/>
        </w:rPr>
        <w:fldChar w:fldCharType="separate"/>
      </w:r>
      <w:r w:rsidRPr="005808FC">
        <w:rPr>
          <w:rFonts w:eastAsia="Calibri"/>
        </w:rPr>
        <w:t xml:space="preserve">Tablica </w:t>
      </w:r>
      <w:r w:rsidR="00256FE9" w:rsidRPr="005808FC">
        <w:rPr>
          <w:rFonts w:eastAsia="Calibri"/>
          <w:noProof/>
        </w:rPr>
        <w:t>5</w:t>
      </w:r>
      <w:r w:rsidRPr="005808FC">
        <w:rPr>
          <w:rFonts w:eastAsia="Calibri"/>
          <w:noProof/>
        </w:rPr>
        <w:t>.5</w:t>
      </w:r>
      <w:r w:rsidRPr="005808FC">
        <w:fldChar w:fldCharType="end"/>
      </w:r>
      <w:r w:rsidR="000509A0">
        <w:t xml:space="preserve"> i </w:t>
      </w:r>
      <w:r w:rsidRPr="005808FC">
        <w:fldChar w:fldCharType="begin"/>
      </w:r>
      <w:r w:rsidRPr="00256FE9">
        <w:rPr>
          <w:rFonts w:cstheme="minorHAnsi"/>
        </w:rPr>
        <w:instrText xml:space="preserve"> REF _Ref466038029 \h  \* MERGEFORMAT </w:instrText>
      </w:r>
      <w:r w:rsidRPr="005808FC">
        <w:rPr>
          <w:rFonts w:cstheme="minorHAnsi"/>
        </w:rPr>
        <w:fldChar w:fldCharType="separate"/>
      </w:r>
      <w:r w:rsidRPr="005808FC">
        <w:rPr>
          <w:rFonts w:eastAsia="Calibri"/>
        </w:rPr>
        <w:t xml:space="preserve">Slika </w:t>
      </w:r>
      <w:r w:rsidR="00256FE9" w:rsidRPr="005808FC">
        <w:rPr>
          <w:rFonts w:eastAsia="Calibri"/>
          <w:noProof/>
        </w:rPr>
        <w:t>5</w:t>
      </w:r>
      <w:r w:rsidRPr="005808FC">
        <w:rPr>
          <w:rFonts w:eastAsia="Calibri"/>
          <w:noProof/>
        </w:rPr>
        <w:t>.6</w:t>
      </w:r>
      <w:r w:rsidRPr="005808FC">
        <w:fldChar w:fldCharType="end"/>
      </w:r>
      <w:r w:rsidRPr="00291DF5">
        <w:t>.</w:t>
      </w:r>
    </w:p>
    <w:p w14:paraId="14E83967" w14:textId="43781386" w:rsidR="00494D06" w:rsidRPr="005808FC" w:rsidRDefault="0082211F">
      <w:pPr>
        <w:pStyle w:val="Caption"/>
        <w:rPr>
          <w:rFonts w:cstheme="minorBidi"/>
          <w:lang w:val="it-IT"/>
        </w:rPr>
      </w:pPr>
      <w:bookmarkStart w:id="165" w:name="_Toc4156010"/>
      <w:r w:rsidRPr="00F158D4">
        <w:rPr>
          <w:lang w:val="it-IT"/>
        </w:rPr>
        <w:t xml:space="preserve">Tablica </w:t>
      </w:r>
      <w:r w:rsidR="0019556A">
        <w:fldChar w:fldCharType="begin"/>
      </w:r>
      <w:r w:rsidR="0019556A" w:rsidRPr="00F158D4">
        <w:rPr>
          <w:lang w:val="it-IT"/>
        </w:rPr>
        <w:instrText xml:space="preserve"> STYLEREF 1 \s </w:instrText>
      </w:r>
      <w:r w:rsidR="0019556A">
        <w:fldChar w:fldCharType="separate"/>
      </w:r>
      <w:r w:rsidR="0019556A" w:rsidRPr="00F158D4">
        <w:rPr>
          <w:noProof/>
          <w:lang w:val="it-IT"/>
        </w:rPr>
        <w:t>5</w:t>
      </w:r>
      <w:r w:rsidR="0019556A">
        <w:fldChar w:fldCharType="end"/>
      </w:r>
      <w:r w:rsidR="0019556A" w:rsidRPr="00F158D4">
        <w:rPr>
          <w:lang w:val="it-IT"/>
        </w:rPr>
        <w:t>.</w:t>
      </w:r>
      <w:r w:rsidR="0019556A">
        <w:fldChar w:fldCharType="begin"/>
      </w:r>
      <w:r w:rsidR="0019556A" w:rsidRPr="00F158D4">
        <w:rPr>
          <w:lang w:val="it-IT"/>
        </w:rPr>
        <w:instrText xml:space="preserve"> SEQ Tablica \* ARABIC \s 1 </w:instrText>
      </w:r>
      <w:r w:rsidR="0019556A">
        <w:fldChar w:fldCharType="separate"/>
      </w:r>
      <w:r w:rsidR="0019556A" w:rsidRPr="00F158D4">
        <w:rPr>
          <w:noProof/>
          <w:lang w:val="it-IT"/>
        </w:rPr>
        <w:t>5</w:t>
      </w:r>
      <w:r w:rsidR="0019556A">
        <w:fldChar w:fldCharType="end"/>
      </w:r>
      <w:r w:rsidRPr="00F158D4">
        <w:rPr>
          <w:lang w:val="it-IT"/>
        </w:rPr>
        <w:t xml:space="preserve"> -</w:t>
      </w:r>
      <w:r w:rsidR="00494D06" w:rsidRPr="00291DF5">
        <w:rPr>
          <w:rFonts w:cstheme="minorBidi"/>
          <w:lang w:val="it-IT"/>
        </w:rPr>
        <w:t xml:space="preserve"> Podjela energetske </w:t>
      </w:r>
      <w:r w:rsidR="00494D06" w:rsidRPr="005808FC">
        <w:rPr>
          <w:rFonts w:cstheme="minorBidi"/>
          <w:lang w:val="it-IT"/>
        </w:rPr>
        <w:t>potrošnje pojedinih sektora po energentima u 2015. godini</w:t>
      </w:r>
      <w:bookmarkEnd w:id="165"/>
    </w:p>
    <w:tbl>
      <w:tblPr>
        <w:tblW w:w="5266" w:type="pct"/>
        <w:tblLayout w:type="fixed"/>
        <w:tblLook w:val="04A0" w:firstRow="1" w:lastRow="0" w:firstColumn="1" w:lastColumn="0" w:noHBand="0" w:noVBand="1"/>
      </w:tblPr>
      <w:tblGrid>
        <w:gridCol w:w="2245"/>
        <w:gridCol w:w="1472"/>
        <w:gridCol w:w="1071"/>
        <w:gridCol w:w="1269"/>
        <w:gridCol w:w="1783"/>
        <w:gridCol w:w="1656"/>
      </w:tblGrid>
      <w:tr w:rsidR="00494D06" w:rsidRPr="00922031" w14:paraId="029B4AEE" w14:textId="77777777" w:rsidTr="005808FC">
        <w:trPr>
          <w:trHeight w:val="240"/>
        </w:trPr>
        <w:tc>
          <w:tcPr>
            <w:tcW w:w="1182" w:type="pct"/>
            <w:vMerge w:val="restart"/>
            <w:tcBorders>
              <w:top w:val="single" w:sz="4" w:space="0" w:color="auto"/>
              <w:left w:val="single" w:sz="4" w:space="0" w:color="auto"/>
              <w:bottom w:val="single" w:sz="4" w:space="0" w:color="000000" w:themeColor="text1"/>
              <w:right w:val="single" w:sz="4" w:space="0" w:color="auto"/>
            </w:tcBorders>
            <w:shd w:val="clear" w:color="auto" w:fill="C6D9F1" w:themeFill="text2" w:themeFillTint="33"/>
            <w:noWrap/>
            <w:vAlign w:val="center"/>
            <w:hideMark/>
          </w:tcPr>
          <w:p w14:paraId="2BEEE994" w14:textId="77777777" w:rsidR="00494D06" w:rsidRPr="005808FC" w:rsidRDefault="00494D06" w:rsidP="005808FC">
            <w:pPr>
              <w:spacing w:after="0" w:line="240" w:lineRule="auto"/>
              <w:rPr>
                <w:rFonts w:eastAsia="Times New Roman"/>
                <w:b/>
                <w:color w:val="000000" w:themeColor="text1"/>
                <w:sz w:val="18"/>
                <w:szCs w:val="18"/>
                <w:lang w:eastAsia="hr-HR"/>
              </w:rPr>
            </w:pPr>
            <w:r w:rsidRPr="00291DF5">
              <w:rPr>
                <w:rFonts w:eastAsia="Times New Roman"/>
                <w:b/>
                <w:bCs/>
                <w:color w:val="000000"/>
                <w:sz w:val="18"/>
                <w:szCs w:val="18"/>
                <w:lang w:eastAsia="hr-HR"/>
              </w:rPr>
              <w:t>Energent</w:t>
            </w:r>
          </w:p>
        </w:tc>
        <w:tc>
          <w:tcPr>
            <w:tcW w:w="2946" w:type="pct"/>
            <w:gridSpan w:val="4"/>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07839F59"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Potrošnja goriva TJ</w:t>
            </w:r>
          </w:p>
        </w:tc>
        <w:tc>
          <w:tcPr>
            <w:tcW w:w="872" w:type="pct"/>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5F84BEDF"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w:t>
            </w:r>
          </w:p>
        </w:tc>
      </w:tr>
      <w:tr w:rsidR="00494D06" w:rsidRPr="00922031" w14:paraId="11BE4A3D" w14:textId="77777777" w:rsidTr="005808FC">
        <w:trPr>
          <w:trHeight w:val="240"/>
        </w:trPr>
        <w:tc>
          <w:tcPr>
            <w:tcW w:w="1182"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1A963EBE" w14:textId="77777777" w:rsidR="00494D06" w:rsidRPr="00922031" w:rsidRDefault="00494D06" w:rsidP="00494D06">
            <w:pPr>
              <w:spacing w:after="0" w:line="240" w:lineRule="auto"/>
              <w:rPr>
                <w:rFonts w:eastAsia="Times New Roman" w:cstheme="minorHAnsi"/>
                <w:b/>
                <w:bCs/>
                <w:color w:val="000000"/>
                <w:sz w:val="18"/>
                <w:szCs w:val="18"/>
                <w:lang w:eastAsia="hr-HR"/>
              </w:rPr>
            </w:pPr>
          </w:p>
        </w:tc>
        <w:tc>
          <w:tcPr>
            <w:tcW w:w="775" w:type="pct"/>
            <w:tcBorders>
              <w:top w:val="nil"/>
              <w:left w:val="nil"/>
              <w:bottom w:val="single" w:sz="4" w:space="0" w:color="auto"/>
              <w:right w:val="single" w:sz="4" w:space="0" w:color="auto"/>
            </w:tcBorders>
            <w:shd w:val="clear" w:color="auto" w:fill="C6D9F1" w:themeFill="text2" w:themeFillTint="33"/>
            <w:vAlign w:val="bottom"/>
            <w:hideMark/>
          </w:tcPr>
          <w:p w14:paraId="10F1ADEF"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Promet</w:t>
            </w:r>
          </w:p>
        </w:tc>
        <w:tc>
          <w:tcPr>
            <w:tcW w:w="564" w:type="pct"/>
            <w:tcBorders>
              <w:top w:val="nil"/>
              <w:left w:val="nil"/>
              <w:bottom w:val="single" w:sz="4" w:space="0" w:color="auto"/>
              <w:right w:val="single" w:sz="4" w:space="0" w:color="auto"/>
            </w:tcBorders>
            <w:shd w:val="clear" w:color="auto" w:fill="C6D9F1" w:themeFill="text2" w:themeFillTint="33"/>
            <w:vAlign w:val="bottom"/>
            <w:hideMark/>
          </w:tcPr>
          <w:p w14:paraId="22AA691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Javna rasvjeta</w:t>
            </w:r>
          </w:p>
        </w:tc>
        <w:tc>
          <w:tcPr>
            <w:tcW w:w="668" w:type="pct"/>
            <w:tcBorders>
              <w:top w:val="nil"/>
              <w:left w:val="nil"/>
              <w:bottom w:val="single" w:sz="4" w:space="0" w:color="auto"/>
              <w:right w:val="single" w:sz="4" w:space="0" w:color="auto"/>
            </w:tcBorders>
            <w:shd w:val="clear" w:color="auto" w:fill="C6D9F1" w:themeFill="text2" w:themeFillTint="33"/>
            <w:noWrap/>
            <w:vAlign w:val="bottom"/>
            <w:hideMark/>
          </w:tcPr>
          <w:p w14:paraId="7E8D7056"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Zgradarstvo</w:t>
            </w:r>
          </w:p>
        </w:tc>
        <w:tc>
          <w:tcPr>
            <w:tcW w:w="939" w:type="pct"/>
            <w:tcBorders>
              <w:top w:val="nil"/>
              <w:left w:val="nil"/>
              <w:bottom w:val="single" w:sz="4" w:space="0" w:color="auto"/>
              <w:right w:val="single" w:sz="4" w:space="0" w:color="auto"/>
            </w:tcBorders>
            <w:shd w:val="clear" w:color="auto" w:fill="C6D9F1" w:themeFill="text2" w:themeFillTint="33"/>
            <w:noWrap/>
            <w:vAlign w:val="bottom"/>
            <w:hideMark/>
          </w:tcPr>
          <w:p w14:paraId="131B982B"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Ukupno po energentima</w:t>
            </w:r>
          </w:p>
        </w:tc>
        <w:tc>
          <w:tcPr>
            <w:tcW w:w="872" w:type="pct"/>
            <w:tcBorders>
              <w:top w:val="nil"/>
              <w:left w:val="nil"/>
              <w:bottom w:val="single" w:sz="4" w:space="0" w:color="auto"/>
              <w:right w:val="single" w:sz="4" w:space="0" w:color="auto"/>
            </w:tcBorders>
            <w:shd w:val="clear" w:color="auto" w:fill="C6D9F1" w:themeFill="text2" w:themeFillTint="33"/>
            <w:vAlign w:val="bottom"/>
            <w:hideMark/>
          </w:tcPr>
          <w:p w14:paraId="24A96617"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Udio po energentima</w:t>
            </w:r>
          </w:p>
        </w:tc>
      </w:tr>
      <w:tr w:rsidR="00494D06" w:rsidRPr="00922031" w14:paraId="335820E3"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4C32BD62"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Dizel</w:t>
            </w:r>
          </w:p>
        </w:tc>
        <w:tc>
          <w:tcPr>
            <w:tcW w:w="775" w:type="pct"/>
            <w:tcBorders>
              <w:top w:val="nil"/>
              <w:left w:val="nil"/>
              <w:bottom w:val="single" w:sz="4" w:space="0" w:color="auto"/>
              <w:right w:val="single" w:sz="4" w:space="0" w:color="auto"/>
            </w:tcBorders>
            <w:shd w:val="clear" w:color="auto" w:fill="auto"/>
            <w:noWrap/>
            <w:vAlign w:val="bottom"/>
            <w:hideMark/>
          </w:tcPr>
          <w:p w14:paraId="51982D6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9 079,38</w:t>
            </w:r>
          </w:p>
        </w:tc>
        <w:tc>
          <w:tcPr>
            <w:tcW w:w="564" w:type="pct"/>
            <w:tcBorders>
              <w:top w:val="nil"/>
              <w:left w:val="nil"/>
              <w:bottom w:val="single" w:sz="4" w:space="0" w:color="auto"/>
              <w:right w:val="single" w:sz="4" w:space="0" w:color="auto"/>
            </w:tcBorders>
            <w:shd w:val="clear" w:color="auto" w:fill="auto"/>
            <w:noWrap/>
            <w:vAlign w:val="bottom"/>
            <w:hideMark/>
          </w:tcPr>
          <w:p w14:paraId="5613536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3E72DDE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39" w:type="pct"/>
            <w:tcBorders>
              <w:top w:val="nil"/>
              <w:left w:val="nil"/>
              <w:bottom w:val="single" w:sz="4" w:space="0" w:color="auto"/>
              <w:right w:val="single" w:sz="4" w:space="0" w:color="auto"/>
            </w:tcBorders>
            <w:shd w:val="clear" w:color="auto" w:fill="auto"/>
            <w:noWrap/>
            <w:vAlign w:val="bottom"/>
            <w:hideMark/>
          </w:tcPr>
          <w:p w14:paraId="57B8823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9 079,38</w:t>
            </w:r>
          </w:p>
        </w:tc>
        <w:tc>
          <w:tcPr>
            <w:tcW w:w="872" w:type="pct"/>
            <w:tcBorders>
              <w:top w:val="nil"/>
              <w:left w:val="nil"/>
              <w:bottom w:val="single" w:sz="4" w:space="0" w:color="auto"/>
              <w:right w:val="single" w:sz="4" w:space="0" w:color="auto"/>
            </w:tcBorders>
            <w:shd w:val="clear" w:color="auto" w:fill="auto"/>
            <w:vAlign w:val="bottom"/>
            <w:hideMark/>
          </w:tcPr>
          <w:p w14:paraId="5C68963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20,97%</w:t>
            </w:r>
          </w:p>
        </w:tc>
      </w:tr>
      <w:tr w:rsidR="00494D06" w:rsidRPr="00922031" w14:paraId="55BA3319"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6F27AEE"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Motorni benzin</w:t>
            </w:r>
          </w:p>
        </w:tc>
        <w:tc>
          <w:tcPr>
            <w:tcW w:w="775" w:type="pct"/>
            <w:tcBorders>
              <w:top w:val="nil"/>
              <w:left w:val="nil"/>
              <w:bottom w:val="single" w:sz="4" w:space="0" w:color="auto"/>
              <w:right w:val="single" w:sz="4" w:space="0" w:color="auto"/>
            </w:tcBorders>
            <w:shd w:val="clear" w:color="auto" w:fill="auto"/>
            <w:noWrap/>
            <w:vAlign w:val="bottom"/>
            <w:hideMark/>
          </w:tcPr>
          <w:p w14:paraId="2F62EDD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5 312,56</w:t>
            </w:r>
          </w:p>
        </w:tc>
        <w:tc>
          <w:tcPr>
            <w:tcW w:w="564" w:type="pct"/>
            <w:tcBorders>
              <w:top w:val="nil"/>
              <w:left w:val="nil"/>
              <w:bottom w:val="single" w:sz="4" w:space="0" w:color="auto"/>
              <w:right w:val="single" w:sz="4" w:space="0" w:color="auto"/>
            </w:tcBorders>
            <w:shd w:val="clear" w:color="auto" w:fill="auto"/>
            <w:noWrap/>
            <w:vAlign w:val="bottom"/>
            <w:hideMark/>
          </w:tcPr>
          <w:p w14:paraId="014AB10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29768A0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39" w:type="pct"/>
            <w:tcBorders>
              <w:top w:val="nil"/>
              <w:left w:val="nil"/>
              <w:bottom w:val="single" w:sz="4" w:space="0" w:color="auto"/>
              <w:right w:val="single" w:sz="4" w:space="0" w:color="auto"/>
            </w:tcBorders>
            <w:shd w:val="clear" w:color="auto" w:fill="auto"/>
            <w:noWrap/>
            <w:vAlign w:val="bottom"/>
            <w:hideMark/>
          </w:tcPr>
          <w:p w14:paraId="4398F2C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5 312,56</w:t>
            </w:r>
          </w:p>
        </w:tc>
        <w:tc>
          <w:tcPr>
            <w:tcW w:w="872" w:type="pct"/>
            <w:tcBorders>
              <w:top w:val="nil"/>
              <w:left w:val="nil"/>
              <w:bottom w:val="single" w:sz="4" w:space="0" w:color="auto"/>
              <w:right w:val="single" w:sz="4" w:space="0" w:color="auto"/>
            </w:tcBorders>
            <w:shd w:val="clear" w:color="auto" w:fill="auto"/>
            <w:vAlign w:val="bottom"/>
            <w:hideMark/>
          </w:tcPr>
          <w:p w14:paraId="5DA673E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12,27%</w:t>
            </w:r>
          </w:p>
        </w:tc>
      </w:tr>
      <w:tr w:rsidR="00494D06" w:rsidRPr="00922031" w14:paraId="2630CF82"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347246A"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LPG</w:t>
            </w:r>
          </w:p>
        </w:tc>
        <w:tc>
          <w:tcPr>
            <w:tcW w:w="775" w:type="pct"/>
            <w:tcBorders>
              <w:top w:val="nil"/>
              <w:left w:val="nil"/>
              <w:bottom w:val="single" w:sz="4" w:space="0" w:color="auto"/>
              <w:right w:val="single" w:sz="4" w:space="0" w:color="auto"/>
            </w:tcBorders>
            <w:shd w:val="clear" w:color="auto" w:fill="auto"/>
            <w:noWrap/>
            <w:vAlign w:val="bottom"/>
            <w:hideMark/>
          </w:tcPr>
          <w:p w14:paraId="3B4CEAA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444,73</w:t>
            </w:r>
          </w:p>
        </w:tc>
        <w:tc>
          <w:tcPr>
            <w:tcW w:w="564" w:type="pct"/>
            <w:tcBorders>
              <w:top w:val="nil"/>
              <w:left w:val="nil"/>
              <w:bottom w:val="single" w:sz="4" w:space="0" w:color="auto"/>
              <w:right w:val="single" w:sz="4" w:space="0" w:color="auto"/>
            </w:tcBorders>
            <w:shd w:val="clear" w:color="auto" w:fill="auto"/>
            <w:noWrap/>
            <w:vAlign w:val="bottom"/>
            <w:hideMark/>
          </w:tcPr>
          <w:p w14:paraId="10D2AA9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7CE8075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261,80</w:t>
            </w:r>
          </w:p>
        </w:tc>
        <w:tc>
          <w:tcPr>
            <w:tcW w:w="939" w:type="pct"/>
            <w:tcBorders>
              <w:top w:val="nil"/>
              <w:left w:val="nil"/>
              <w:bottom w:val="single" w:sz="4" w:space="0" w:color="auto"/>
              <w:right w:val="single" w:sz="4" w:space="0" w:color="auto"/>
            </w:tcBorders>
            <w:shd w:val="clear" w:color="auto" w:fill="auto"/>
            <w:noWrap/>
            <w:vAlign w:val="bottom"/>
            <w:hideMark/>
          </w:tcPr>
          <w:p w14:paraId="6C6FCC8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706,53</w:t>
            </w:r>
          </w:p>
        </w:tc>
        <w:tc>
          <w:tcPr>
            <w:tcW w:w="872" w:type="pct"/>
            <w:tcBorders>
              <w:top w:val="nil"/>
              <w:left w:val="nil"/>
              <w:bottom w:val="single" w:sz="4" w:space="0" w:color="auto"/>
              <w:right w:val="single" w:sz="4" w:space="0" w:color="auto"/>
            </w:tcBorders>
            <w:shd w:val="clear" w:color="auto" w:fill="auto"/>
            <w:vAlign w:val="bottom"/>
            <w:hideMark/>
          </w:tcPr>
          <w:p w14:paraId="180580F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1,63%</w:t>
            </w:r>
          </w:p>
        </w:tc>
      </w:tr>
      <w:tr w:rsidR="00494D06" w:rsidRPr="00922031" w14:paraId="76C43240"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399570EA"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SPP</w:t>
            </w:r>
          </w:p>
        </w:tc>
        <w:tc>
          <w:tcPr>
            <w:tcW w:w="775" w:type="pct"/>
            <w:tcBorders>
              <w:top w:val="nil"/>
              <w:left w:val="nil"/>
              <w:bottom w:val="single" w:sz="4" w:space="0" w:color="auto"/>
              <w:right w:val="single" w:sz="4" w:space="0" w:color="auto"/>
            </w:tcBorders>
            <w:shd w:val="clear" w:color="auto" w:fill="auto"/>
            <w:noWrap/>
            <w:vAlign w:val="bottom"/>
            <w:hideMark/>
          </w:tcPr>
          <w:p w14:paraId="35198DC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109,88</w:t>
            </w:r>
          </w:p>
        </w:tc>
        <w:tc>
          <w:tcPr>
            <w:tcW w:w="564" w:type="pct"/>
            <w:tcBorders>
              <w:top w:val="nil"/>
              <w:left w:val="nil"/>
              <w:bottom w:val="single" w:sz="4" w:space="0" w:color="auto"/>
              <w:right w:val="single" w:sz="4" w:space="0" w:color="auto"/>
            </w:tcBorders>
            <w:shd w:val="clear" w:color="auto" w:fill="auto"/>
            <w:noWrap/>
            <w:vAlign w:val="bottom"/>
            <w:hideMark/>
          </w:tcPr>
          <w:p w14:paraId="30621F0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3F4C5D4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39" w:type="pct"/>
            <w:tcBorders>
              <w:top w:val="nil"/>
              <w:left w:val="nil"/>
              <w:bottom w:val="single" w:sz="4" w:space="0" w:color="auto"/>
              <w:right w:val="single" w:sz="4" w:space="0" w:color="auto"/>
            </w:tcBorders>
            <w:shd w:val="clear" w:color="auto" w:fill="auto"/>
            <w:noWrap/>
            <w:vAlign w:val="bottom"/>
            <w:hideMark/>
          </w:tcPr>
          <w:p w14:paraId="6FA3468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109,88</w:t>
            </w:r>
          </w:p>
        </w:tc>
        <w:tc>
          <w:tcPr>
            <w:tcW w:w="872" w:type="pct"/>
            <w:tcBorders>
              <w:top w:val="nil"/>
              <w:left w:val="nil"/>
              <w:bottom w:val="single" w:sz="4" w:space="0" w:color="auto"/>
              <w:right w:val="single" w:sz="4" w:space="0" w:color="auto"/>
            </w:tcBorders>
            <w:shd w:val="clear" w:color="auto" w:fill="auto"/>
            <w:vAlign w:val="bottom"/>
            <w:hideMark/>
          </w:tcPr>
          <w:p w14:paraId="65D6A6A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0,25%</w:t>
            </w:r>
          </w:p>
        </w:tc>
      </w:tr>
      <w:tr w:rsidR="00494D06" w:rsidRPr="00922031" w14:paraId="4CB84C1E"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FC8BC6E"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Električna energija</w:t>
            </w:r>
          </w:p>
        </w:tc>
        <w:tc>
          <w:tcPr>
            <w:tcW w:w="775" w:type="pct"/>
            <w:tcBorders>
              <w:top w:val="nil"/>
              <w:left w:val="nil"/>
              <w:bottom w:val="single" w:sz="4" w:space="0" w:color="auto"/>
              <w:right w:val="single" w:sz="4" w:space="0" w:color="auto"/>
            </w:tcBorders>
            <w:shd w:val="clear" w:color="auto" w:fill="auto"/>
            <w:noWrap/>
            <w:vAlign w:val="bottom"/>
            <w:hideMark/>
          </w:tcPr>
          <w:p w14:paraId="32F1B97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255,56</w:t>
            </w:r>
          </w:p>
        </w:tc>
        <w:tc>
          <w:tcPr>
            <w:tcW w:w="564" w:type="pct"/>
            <w:tcBorders>
              <w:top w:val="nil"/>
              <w:left w:val="nil"/>
              <w:bottom w:val="single" w:sz="4" w:space="0" w:color="auto"/>
              <w:right w:val="single" w:sz="4" w:space="0" w:color="auto"/>
            </w:tcBorders>
            <w:shd w:val="clear" w:color="auto" w:fill="auto"/>
            <w:noWrap/>
            <w:vAlign w:val="bottom"/>
            <w:hideMark/>
          </w:tcPr>
          <w:p w14:paraId="7E655E46" w14:textId="77777777" w:rsidR="00494D06" w:rsidRPr="00C77777" w:rsidRDefault="00494D06" w:rsidP="005808FC">
            <w:pPr>
              <w:spacing w:after="0" w:line="240" w:lineRule="auto"/>
              <w:jc w:val="center"/>
              <w:rPr>
                <w:rFonts w:eastAsia="Times New Roman"/>
                <w:bCs/>
                <w:color w:val="000000" w:themeColor="text1"/>
                <w:sz w:val="18"/>
                <w:szCs w:val="18"/>
                <w:lang w:eastAsia="hr-HR"/>
              </w:rPr>
            </w:pPr>
            <w:r w:rsidRPr="00C77777">
              <w:rPr>
                <w:rFonts w:eastAsia="Times New Roman"/>
                <w:bCs/>
                <w:color w:val="000000"/>
                <w:sz w:val="18"/>
                <w:szCs w:val="18"/>
                <w:lang w:eastAsia="hr-HR"/>
              </w:rPr>
              <w:t>292,66</w:t>
            </w:r>
          </w:p>
        </w:tc>
        <w:tc>
          <w:tcPr>
            <w:tcW w:w="668" w:type="pct"/>
            <w:tcBorders>
              <w:top w:val="nil"/>
              <w:left w:val="nil"/>
              <w:bottom w:val="single" w:sz="4" w:space="0" w:color="auto"/>
              <w:right w:val="single" w:sz="4" w:space="0" w:color="auto"/>
            </w:tcBorders>
            <w:shd w:val="clear" w:color="auto" w:fill="auto"/>
            <w:noWrap/>
            <w:vAlign w:val="bottom"/>
            <w:hideMark/>
          </w:tcPr>
          <w:p w14:paraId="11DEA54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7 205,84</w:t>
            </w:r>
          </w:p>
        </w:tc>
        <w:tc>
          <w:tcPr>
            <w:tcW w:w="939" w:type="pct"/>
            <w:tcBorders>
              <w:top w:val="nil"/>
              <w:left w:val="nil"/>
              <w:bottom w:val="single" w:sz="4" w:space="0" w:color="auto"/>
              <w:right w:val="single" w:sz="4" w:space="0" w:color="auto"/>
            </w:tcBorders>
            <w:shd w:val="clear" w:color="auto" w:fill="auto"/>
            <w:noWrap/>
            <w:vAlign w:val="bottom"/>
            <w:hideMark/>
          </w:tcPr>
          <w:p w14:paraId="25778CC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7 754,05</w:t>
            </w:r>
          </w:p>
        </w:tc>
        <w:tc>
          <w:tcPr>
            <w:tcW w:w="872" w:type="pct"/>
            <w:tcBorders>
              <w:top w:val="nil"/>
              <w:left w:val="nil"/>
              <w:bottom w:val="single" w:sz="4" w:space="0" w:color="auto"/>
              <w:right w:val="single" w:sz="4" w:space="0" w:color="auto"/>
            </w:tcBorders>
            <w:shd w:val="clear" w:color="auto" w:fill="auto"/>
            <w:vAlign w:val="bottom"/>
            <w:hideMark/>
          </w:tcPr>
          <w:p w14:paraId="765F9A8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17,91%</w:t>
            </w:r>
          </w:p>
        </w:tc>
      </w:tr>
      <w:tr w:rsidR="00494D06" w:rsidRPr="00922031" w14:paraId="38425D8E"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54CE65A"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Lož ulje</w:t>
            </w:r>
          </w:p>
        </w:tc>
        <w:tc>
          <w:tcPr>
            <w:tcW w:w="775" w:type="pct"/>
            <w:tcBorders>
              <w:top w:val="nil"/>
              <w:left w:val="nil"/>
              <w:bottom w:val="single" w:sz="4" w:space="0" w:color="auto"/>
              <w:right w:val="single" w:sz="4" w:space="0" w:color="auto"/>
            </w:tcBorders>
            <w:shd w:val="clear" w:color="auto" w:fill="auto"/>
            <w:noWrap/>
            <w:vAlign w:val="bottom"/>
            <w:hideMark/>
          </w:tcPr>
          <w:p w14:paraId="022DE12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3523D343" w14:textId="77777777" w:rsidR="00494D06" w:rsidRPr="00C77777" w:rsidRDefault="00494D06" w:rsidP="005808FC">
            <w:pPr>
              <w:spacing w:after="0" w:line="240" w:lineRule="auto"/>
              <w:jc w:val="center"/>
              <w:rPr>
                <w:rFonts w:eastAsia="Times New Roman"/>
                <w:color w:val="000000" w:themeColor="text1"/>
                <w:sz w:val="18"/>
                <w:szCs w:val="18"/>
                <w:lang w:eastAsia="hr-HR"/>
              </w:rPr>
            </w:pPr>
            <w:r w:rsidRPr="00C77777">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3A6C845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824,40</w:t>
            </w:r>
          </w:p>
        </w:tc>
        <w:tc>
          <w:tcPr>
            <w:tcW w:w="939" w:type="pct"/>
            <w:tcBorders>
              <w:top w:val="nil"/>
              <w:left w:val="nil"/>
              <w:bottom w:val="single" w:sz="4" w:space="0" w:color="auto"/>
              <w:right w:val="single" w:sz="4" w:space="0" w:color="auto"/>
            </w:tcBorders>
            <w:shd w:val="clear" w:color="auto" w:fill="auto"/>
            <w:noWrap/>
            <w:vAlign w:val="bottom"/>
            <w:hideMark/>
          </w:tcPr>
          <w:p w14:paraId="701EB82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824,40</w:t>
            </w:r>
          </w:p>
        </w:tc>
        <w:tc>
          <w:tcPr>
            <w:tcW w:w="872" w:type="pct"/>
            <w:tcBorders>
              <w:top w:val="nil"/>
              <w:left w:val="nil"/>
              <w:bottom w:val="single" w:sz="4" w:space="0" w:color="auto"/>
              <w:right w:val="single" w:sz="4" w:space="0" w:color="auto"/>
            </w:tcBorders>
            <w:shd w:val="clear" w:color="auto" w:fill="auto"/>
            <w:vAlign w:val="bottom"/>
            <w:hideMark/>
          </w:tcPr>
          <w:p w14:paraId="658B9E3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1,90%</w:t>
            </w:r>
          </w:p>
        </w:tc>
      </w:tr>
      <w:tr w:rsidR="00494D06" w:rsidRPr="00922031" w14:paraId="3CFA4A05"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50BF0CB"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Prirodni plin</w:t>
            </w:r>
          </w:p>
        </w:tc>
        <w:tc>
          <w:tcPr>
            <w:tcW w:w="775" w:type="pct"/>
            <w:tcBorders>
              <w:top w:val="nil"/>
              <w:left w:val="nil"/>
              <w:bottom w:val="single" w:sz="4" w:space="0" w:color="auto"/>
              <w:right w:val="single" w:sz="4" w:space="0" w:color="auto"/>
            </w:tcBorders>
            <w:shd w:val="clear" w:color="auto" w:fill="auto"/>
            <w:noWrap/>
            <w:vAlign w:val="bottom"/>
            <w:hideMark/>
          </w:tcPr>
          <w:p w14:paraId="16217E4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1DF63E2A" w14:textId="77777777" w:rsidR="00494D06" w:rsidRPr="00C77777" w:rsidRDefault="00494D06" w:rsidP="005808FC">
            <w:pPr>
              <w:spacing w:after="0" w:line="240" w:lineRule="auto"/>
              <w:jc w:val="center"/>
              <w:rPr>
                <w:rFonts w:eastAsia="Times New Roman"/>
                <w:bCs/>
                <w:color w:val="000000" w:themeColor="text1"/>
                <w:sz w:val="18"/>
                <w:szCs w:val="18"/>
                <w:lang w:eastAsia="hr-HR"/>
              </w:rPr>
            </w:pPr>
            <w:r w:rsidRPr="00C77777">
              <w:rPr>
                <w:rFonts w:eastAsia="Times New Roman"/>
                <w:bCs/>
                <w:color w:val="000000"/>
                <w:sz w:val="18"/>
                <w:szCs w:val="18"/>
                <w:lang w:eastAsia="hr-HR"/>
              </w:rPr>
              <w:t>10,42</w:t>
            </w:r>
          </w:p>
        </w:tc>
        <w:tc>
          <w:tcPr>
            <w:tcW w:w="668" w:type="pct"/>
            <w:tcBorders>
              <w:top w:val="nil"/>
              <w:left w:val="nil"/>
              <w:bottom w:val="single" w:sz="4" w:space="0" w:color="auto"/>
              <w:right w:val="single" w:sz="4" w:space="0" w:color="auto"/>
            </w:tcBorders>
            <w:shd w:val="clear" w:color="auto" w:fill="auto"/>
            <w:noWrap/>
            <w:vAlign w:val="bottom"/>
            <w:hideMark/>
          </w:tcPr>
          <w:p w14:paraId="0ABB98F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10 949,53</w:t>
            </w:r>
          </w:p>
        </w:tc>
        <w:tc>
          <w:tcPr>
            <w:tcW w:w="939" w:type="pct"/>
            <w:tcBorders>
              <w:top w:val="nil"/>
              <w:left w:val="nil"/>
              <w:bottom w:val="single" w:sz="4" w:space="0" w:color="auto"/>
              <w:right w:val="single" w:sz="4" w:space="0" w:color="auto"/>
            </w:tcBorders>
            <w:shd w:val="clear" w:color="auto" w:fill="auto"/>
            <w:noWrap/>
            <w:vAlign w:val="bottom"/>
            <w:hideMark/>
          </w:tcPr>
          <w:p w14:paraId="59E80F0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10 959,95</w:t>
            </w:r>
          </w:p>
        </w:tc>
        <w:tc>
          <w:tcPr>
            <w:tcW w:w="872" w:type="pct"/>
            <w:tcBorders>
              <w:top w:val="nil"/>
              <w:left w:val="nil"/>
              <w:bottom w:val="single" w:sz="4" w:space="0" w:color="auto"/>
              <w:right w:val="single" w:sz="4" w:space="0" w:color="auto"/>
            </w:tcBorders>
            <w:shd w:val="clear" w:color="auto" w:fill="auto"/>
            <w:vAlign w:val="bottom"/>
            <w:hideMark/>
          </w:tcPr>
          <w:p w14:paraId="36963EF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25,31%</w:t>
            </w:r>
          </w:p>
        </w:tc>
      </w:tr>
      <w:tr w:rsidR="00494D06" w:rsidRPr="00922031" w14:paraId="4E530F9B"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8F675CF"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Ogrjevno drvo</w:t>
            </w:r>
          </w:p>
        </w:tc>
        <w:tc>
          <w:tcPr>
            <w:tcW w:w="775" w:type="pct"/>
            <w:tcBorders>
              <w:top w:val="nil"/>
              <w:left w:val="nil"/>
              <w:bottom w:val="single" w:sz="4" w:space="0" w:color="auto"/>
              <w:right w:val="single" w:sz="4" w:space="0" w:color="auto"/>
            </w:tcBorders>
            <w:shd w:val="clear" w:color="auto" w:fill="auto"/>
            <w:noWrap/>
            <w:vAlign w:val="bottom"/>
            <w:hideMark/>
          </w:tcPr>
          <w:p w14:paraId="521277C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298A684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3DD0761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2 517,50</w:t>
            </w:r>
          </w:p>
        </w:tc>
        <w:tc>
          <w:tcPr>
            <w:tcW w:w="939" w:type="pct"/>
            <w:tcBorders>
              <w:top w:val="nil"/>
              <w:left w:val="nil"/>
              <w:bottom w:val="single" w:sz="4" w:space="0" w:color="auto"/>
              <w:right w:val="single" w:sz="4" w:space="0" w:color="auto"/>
            </w:tcBorders>
            <w:shd w:val="clear" w:color="auto" w:fill="auto"/>
            <w:noWrap/>
            <w:vAlign w:val="bottom"/>
            <w:hideMark/>
          </w:tcPr>
          <w:p w14:paraId="014E3C1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2 517,50</w:t>
            </w:r>
          </w:p>
        </w:tc>
        <w:tc>
          <w:tcPr>
            <w:tcW w:w="872" w:type="pct"/>
            <w:tcBorders>
              <w:top w:val="nil"/>
              <w:left w:val="nil"/>
              <w:bottom w:val="single" w:sz="4" w:space="0" w:color="auto"/>
              <w:right w:val="single" w:sz="4" w:space="0" w:color="auto"/>
            </w:tcBorders>
            <w:shd w:val="clear" w:color="auto" w:fill="auto"/>
            <w:vAlign w:val="bottom"/>
            <w:hideMark/>
          </w:tcPr>
          <w:p w14:paraId="31636CD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5,81%</w:t>
            </w:r>
          </w:p>
        </w:tc>
      </w:tr>
      <w:tr w:rsidR="00494D06" w:rsidRPr="00922031" w14:paraId="492F0A25"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38A85AF"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Toplana</w:t>
            </w:r>
          </w:p>
        </w:tc>
        <w:tc>
          <w:tcPr>
            <w:tcW w:w="775" w:type="pct"/>
            <w:tcBorders>
              <w:top w:val="nil"/>
              <w:left w:val="nil"/>
              <w:bottom w:val="single" w:sz="4" w:space="0" w:color="auto"/>
              <w:right w:val="single" w:sz="4" w:space="0" w:color="auto"/>
            </w:tcBorders>
            <w:shd w:val="clear" w:color="auto" w:fill="auto"/>
            <w:noWrap/>
            <w:vAlign w:val="bottom"/>
            <w:hideMark/>
          </w:tcPr>
          <w:p w14:paraId="543780F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705B36E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76563E7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5 842,35</w:t>
            </w:r>
          </w:p>
        </w:tc>
        <w:tc>
          <w:tcPr>
            <w:tcW w:w="939" w:type="pct"/>
            <w:tcBorders>
              <w:top w:val="nil"/>
              <w:left w:val="nil"/>
              <w:bottom w:val="single" w:sz="4" w:space="0" w:color="auto"/>
              <w:right w:val="single" w:sz="4" w:space="0" w:color="auto"/>
            </w:tcBorders>
            <w:shd w:val="clear" w:color="auto" w:fill="auto"/>
            <w:noWrap/>
            <w:vAlign w:val="bottom"/>
            <w:hideMark/>
          </w:tcPr>
          <w:p w14:paraId="65A65F1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5 842,35</w:t>
            </w:r>
          </w:p>
        </w:tc>
        <w:tc>
          <w:tcPr>
            <w:tcW w:w="872" w:type="pct"/>
            <w:tcBorders>
              <w:top w:val="nil"/>
              <w:left w:val="nil"/>
              <w:bottom w:val="single" w:sz="4" w:space="0" w:color="auto"/>
              <w:right w:val="single" w:sz="4" w:space="0" w:color="auto"/>
            </w:tcBorders>
            <w:shd w:val="clear" w:color="auto" w:fill="auto"/>
            <w:vAlign w:val="bottom"/>
            <w:hideMark/>
          </w:tcPr>
          <w:p w14:paraId="3A9A36A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13,49%</w:t>
            </w:r>
          </w:p>
        </w:tc>
      </w:tr>
      <w:tr w:rsidR="00494D06" w:rsidRPr="00922031" w14:paraId="3BC7A67E"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CA4FBBE"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Plinske boce</w:t>
            </w:r>
          </w:p>
        </w:tc>
        <w:tc>
          <w:tcPr>
            <w:tcW w:w="775" w:type="pct"/>
            <w:tcBorders>
              <w:top w:val="nil"/>
              <w:left w:val="nil"/>
              <w:bottom w:val="single" w:sz="4" w:space="0" w:color="auto"/>
              <w:right w:val="single" w:sz="4" w:space="0" w:color="auto"/>
            </w:tcBorders>
            <w:shd w:val="clear" w:color="auto" w:fill="auto"/>
            <w:noWrap/>
            <w:vAlign w:val="bottom"/>
            <w:hideMark/>
          </w:tcPr>
          <w:p w14:paraId="505A7AB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3A23B93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078660C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29,56</w:t>
            </w:r>
          </w:p>
        </w:tc>
        <w:tc>
          <w:tcPr>
            <w:tcW w:w="939" w:type="pct"/>
            <w:tcBorders>
              <w:top w:val="nil"/>
              <w:left w:val="nil"/>
              <w:bottom w:val="single" w:sz="4" w:space="0" w:color="auto"/>
              <w:right w:val="single" w:sz="4" w:space="0" w:color="auto"/>
            </w:tcBorders>
            <w:shd w:val="clear" w:color="auto" w:fill="auto"/>
            <w:noWrap/>
            <w:vAlign w:val="bottom"/>
            <w:hideMark/>
          </w:tcPr>
          <w:p w14:paraId="493BA9A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29,56</w:t>
            </w:r>
          </w:p>
        </w:tc>
        <w:tc>
          <w:tcPr>
            <w:tcW w:w="872" w:type="pct"/>
            <w:tcBorders>
              <w:top w:val="nil"/>
              <w:left w:val="nil"/>
              <w:bottom w:val="single" w:sz="4" w:space="0" w:color="auto"/>
              <w:right w:val="single" w:sz="4" w:space="0" w:color="auto"/>
            </w:tcBorders>
            <w:shd w:val="clear" w:color="auto" w:fill="auto"/>
            <w:vAlign w:val="bottom"/>
            <w:hideMark/>
          </w:tcPr>
          <w:p w14:paraId="10E8531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0,07%</w:t>
            </w:r>
          </w:p>
        </w:tc>
      </w:tr>
      <w:tr w:rsidR="00494D06" w:rsidRPr="00922031" w14:paraId="33457BF6"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54AF827"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Mrki ugljen</w:t>
            </w:r>
          </w:p>
        </w:tc>
        <w:tc>
          <w:tcPr>
            <w:tcW w:w="775" w:type="pct"/>
            <w:tcBorders>
              <w:top w:val="nil"/>
              <w:left w:val="nil"/>
              <w:bottom w:val="single" w:sz="4" w:space="0" w:color="auto"/>
              <w:right w:val="single" w:sz="4" w:space="0" w:color="auto"/>
            </w:tcBorders>
            <w:shd w:val="clear" w:color="auto" w:fill="auto"/>
            <w:noWrap/>
            <w:vAlign w:val="bottom"/>
            <w:hideMark/>
          </w:tcPr>
          <w:p w14:paraId="581EDBD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32E4A1B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081BF44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6,84</w:t>
            </w:r>
          </w:p>
        </w:tc>
        <w:tc>
          <w:tcPr>
            <w:tcW w:w="939" w:type="pct"/>
            <w:tcBorders>
              <w:top w:val="nil"/>
              <w:left w:val="nil"/>
              <w:bottom w:val="single" w:sz="4" w:space="0" w:color="auto"/>
              <w:right w:val="single" w:sz="4" w:space="0" w:color="auto"/>
            </w:tcBorders>
            <w:shd w:val="clear" w:color="auto" w:fill="auto"/>
            <w:noWrap/>
            <w:vAlign w:val="bottom"/>
            <w:hideMark/>
          </w:tcPr>
          <w:p w14:paraId="3377B7C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6,84</w:t>
            </w:r>
          </w:p>
        </w:tc>
        <w:tc>
          <w:tcPr>
            <w:tcW w:w="872" w:type="pct"/>
            <w:tcBorders>
              <w:top w:val="nil"/>
              <w:left w:val="nil"/>
              <w:bottom w:val="single" w:sz="4" w:space="0" w:color="auto"/>
              <w:right w:val="single" w:sz="4" w:space="0" w:color="auto"/>
            </w:tcBorders>
            <w:shd w:val="clear" w:color="auto" w:fill="auto"/>
            <w:vAlign w:val="bottom"/>
            <w:hideMark/>
          </w:tcPr>
          <w:p w14:paraId="12D2925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0,02%</w:t>
            </w:r>
          </w:p>
        </w:tc>
      </w:tr>
      <w:tr w:rsidR="00494D06" w:rsidRPr="00922031" w14:paraId="7D54997F"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BB14A1D"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Lignit</w:t>
            </w:r>
          </w:p>
        </w:tc>
        <w:tc>
          <w:tcPr>
            <w:tcW w:w="775" w:type="pct"/>
            <w:tcBorders>
              <w:top w:val="nil"/>
              <w:left w:val="nil"/>
              <w:bottom w:val="single" w:sz="4" w:space="0" w:color="auto"/>
              <w:right w:val="single" w:sz="4" w:space="0" w:color="auto"/>
            </w:tcBorders>
            <w:shd w:val="clear" w:color="auto" w:fill="auto"/>
            <w:noWrap/>
            <w:vAlign w:val="bottom"/>
            <w:hideMark/>
          </w:tcPr>
          <w:p w14:paraId="2B74E16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3DF8D07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0D63269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4,32</w:t>
            </w:r>
          </w:p>
        </w:tc>
        <w:tc>
          <w:tcPr>
            <w:tcW w:w="939" w:type="pct"/>
            <w:tcBorders>
              <w:top w:val="nil"/>
              <w:left w:val="nil"/>
              <w:bottom w:val="single" w:sz="4" w:space="0" w:color="auto"/>
              <w:right w:val="single" w:sz="4" w:space="0" w:color="auto"/>
            </w:tcBorders>
            <w:shd w:val="clear" w:color="auto" w:fill="auto"/>
            <w:noWrap/>
            <w:vAlign w:val="bottom"/>
            <w:hideMark/>
          </w:tcPr>
          <w:p w14:paraId="2FCC979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4,32</w:t>
            </w:r>
          </w:p>
        </w:tc>
        <w:tc>
          <w:tcPr>
            <w:tcW w:w="872" w:type="pct"/>
            <w:tcBorders>
              <w:top w:val="nil"/>
              <w:left w:val="nil"/>
              <w:bottom w:val="single" w:sz="4" w:space="0" w:color="auto"/>
              <w:right w:val="single" w:sz="4" w:space="0" w:color="auto"/>
            </w:tcBorders>
            <w:shd w:val="clear" w:color="auto" w:fill="auto"/>
            <w:vAlign w:val="bottom"/>
            <w:hideMark/>
          </w:tcPr>
          <w:p w14:paraId="56E07E2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0,01%</w:t>
            </w:r>
          </w:p>
        </w:tc>
      </w:tr>
      <w:tr w:rsidR="00494D06" w:rsidRPr="00922031" w14:paraId="5EABD72D"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31919C97"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Energija Sunca</w:t>
            </w:r>
          </w:p>
        </w:tc>
        <w:tc>
          <w:tcPr>
            <w:tcW w:w="775" w:type="pct"/>
            <w:tcBorders>
              <w:top w:val="nil"/>
              <w:left w:val="nil"/>
              <w:bottom w:val="single" w:sz="4" w:space="0" w:color="auto"/>
              <w:right w:val="single" w:sz="4" w:space="0" w:color="auto"/>
            </w:tcBorders>
            <w:shd w:val="clear" w:color="auto" w:fill="auto"/>
            <w:noWrap/>
            <w:vAlign w:val="bottom"/>
            <w:hideMark/>
          </w:tcPr>
          <w:p w14:paraId="3A3125A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0A7E0E2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20F18E2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90,00</w:t>
            </w:r>
          </w:p>
        </w:tc>
        <w:tc>
          <w:tcPr>
            <w:tcW w:w="939" w:type="pct"/>
            <w:tcBorders>
              <w:top w:val="nil"/>
              <w:left w:val="nil"/>
              <w:bottom w:val="single" w:sz="4" w:space="0" w:color="auto"/>
              <w:right w:val="single" w:sz="4" w:space="0" w:color="auto"/>
            </w:tcBorders>
            <w:shd w:val="clear" w:color="auto" w:fill="auto"/>
            <w:noWrap/>
            <w:vAlign w:val="bottom"/>
            <w:hideMark/>
          </w:tcPr>
          <w:p w14:paraId="6DE7AA3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90,00</w:t>
            </w:r>
          </w:p>
        </w:tc>
        <w:tc>
          <w:tcPr>
            <w:tcW w:w="872" w:type="pct"/>
            <w:tcBorders>
              <w:top w:val="nil"/>
              <w:left w:val="nil"/>
              <w:bottom w:val="single" w:sz="4" w:space="0" w:color="auto"/>
              <w:right w:val="single" w:sz="4" w:space="0" w:color="auto"/>
            </w:tcBorders>
            <w:shd w:val="clear" w:color="auto" w:fill="auto"/>
            <w:vAlign w:val="bottom"/>
            <w:hideMark/>
          </w:tcPr>
          <w:p w14:paraId="6B7ABCD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0,21%</w:t>
            </w:r>
          </w:p>
        </w:tc>
      </w:tr>
      <w:tr w:rsidR="00494D06" w:rsidRPr="00922031" w14:paraId="1E58CD6D"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16ACD6A"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Petrolej</w:t>
            </w:r>
          </w:p>
        </w:tc>
        <w:tc>
          <w:tcPr>
            <w:tcW w:w="775" w:type="pct"/>
            <w:tcBorders>
              <w:top w:val="nil"/>
              <w:left w:val="nil"/>
              <w:bottom w:val="single" w:sz="4" w:space="0" w:color="auto"/>
              <w:right w:val="single" w:sz="4" w:space="0" w:color="auto"/>
            </w:tcBorders>
            <w:shd w:val="clear" w:color="auto" w:fill="auto"/>
            <w:noWrap/>
            <w:vAlign w:val="bottom"/>
            <w:hideMark/>
          </w:tcPr>
          <w:p w14:paraId="79571CD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1DFA734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2C25EE1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7,74</w:t>
            </w:r>
          </w:p>
        </w:tc>
        <w:tc>
          <w:tcPr>
            <w:tcW w:w="939" w:type="pct"/>
            <w:tcBorders>
              <w:top w:val="nil"/>
              <w:left w:val="nil"/>
              <w:bottom w:val="single" w:sz="4" w:space="0" w:color="auto"/>
              <w:right w:val="single" w:sz="4" w:space="0" w:color="auto"/>
            </w:tcBorders>
            <w:shd w:val="clear" w:color="auto" w:fill="auto"/>
            <w:noWrap/>
            <w:vAlign w:val="bottom"/>
            <w:hideMark/>
          </w:tcPr>
          <w:p w14:paraId="462CE7F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7,74</w:t>
            </w:r>
          </w:p>
        </w:tc>
        <w:tc>
          <w:tcPr>
            <w:tcW w:w="872" w:type="pct"/>
            <w:tcBorders>
              <w:top w:val="nil"/>
              <w:left w:val="nil"/>
              <w:bottom w:val="single" w:sz="4" w:space="0" w:color="auto"/>
              <w:right w:val="single" w:sz="4" w:space="0" w:color="auto"/>
            </w:tcBorders>
            <w:shd w:val="clear" w:color="auto" w:fill="auto"/>
            <w:vAlign w:val="bottom"/>
            <w:hideMark/>
          </w:tcPr>
          <w:p w14:paraId="43CCAEC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0,02%</w:t>
            </w:r>
          </w:p>
        </w:tc>
      </w:tr>
      <w:tr w:rsidR="00494D06" w:rsidRPr="00922031" w14:paraId="45F98B0C"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4FCD81A0"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Geotermalna</w:t>
            </w:r>
          </w:p>
        </w:tc>
        <w:tc>
          <w:tcPr>
            <w:tcW w:w="775" w:type="pct"/>
            <w:tcBorders>
              <w:top w:val="nil"/>
              <w:left w:val="nil"/>
              <w:bottom w:val="single" w:sz="4" w:space="0" w:color="auto"/>
              <w:right w:val="single" w:sz="4" w:space="0" w:color="auto"/>
            </w:tcBorders>
            <w:shd w:val="clear" w:color="auto" w:fill="auto"/>
            <w:noWrap/>
            <w:vAlign w:val="bottom"/>
            <w:hideMark/>
          </w:tcPr>
          <w:p w14:paraId="19F2A55A"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564" w:type="pct"/>
            <w:tcBorders>
              <w:top w:val="nil"/>
              <w:left w:val="nil"/>
              <w:bottom w:val="single" w:sz="4" w:space="0" w:color="auto"/>
              <w:right w:val="single" w:sz="4" w:space="0" w:color="auto"/>
            </w:tcBorders>
            <w:shd w:val="clear" w:color="auto" w:fill="auto"/>
            <w:noWrap/>
            <w:vAlign w:val="bottom"/>
            <w:hideMark/>
          </w:tcPr>
          <w:p w14:paraId="0CBE397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668" w:type="pct"/>
            <w:tcBorders>
              <w:top w:val="nil"/>
              <w:left w:val="nil"/>
              <w:bottom w:val="single" w:sz="4" w:space="0" w:color="auto"/>
              <w:right w:val="single" w:sz="4" w:space="0" w:color="auto"/>
            </w:tcBorders>
            <w:shd w:val="clear" w:color="auto" w:fill="auto"/>
            <w:noWrap/>
            <w:vAlign w:val="bottom"/>
            <w:hideMark/>
          </w:tcPr>
          <w:p w14:paraId="78AEBCC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60,37</w:t>
            </w:r>
          </w:p>
        </w:tc>
        <w:tc>
          <w:tcPr>
            <w:tcW w:w="939" w:type="pct"/>
            <w:tcBorders>
              <w:top w:val="nil"/>
              <w:left w:val="nil"/>
              <w:bottom w:val="single" w:sz="4" w:space="0" w:color="auto"/>
              <w:right w:val="single" w:sz="4" w:space="0" w:color="auto"/>
            </w:tcBorders>
            <w:shd w:val="clear" w:color="auto" w:fill="auto"/>
            <w:noWrap/>
            <w:vAlign w:val="bottom"/>
            <w:hideMark/>
          </w:tcPr>
          <w:p w14:paraId="628C18F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60,37</w:t>
            </w:r>
          </w:p>
        </w:tc>
        <w:tc>
          <w:tcPr>
            <w:tcW w:w="872" w:type="pct"/>
            <w:tcBorders>
              <w:top w:val="nil"/>
              <w:left w:val="nil"/>
              <w:bottom w:val="single" w:sz="4" w:space="0" w:color="auto"/>
              <w:right w:val="single" w:sz="4" w:space="0" w:color="auto"/>
            </w:tcBorders>
            <w:shd w:val="clear" w:color="auto" w:fill="auto"/>
            <w:vAlign w:val="bottom"/>
            <w:hideMark/>
          </w:tcPr>
          <w:p w14:paraId="33A7C33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0,14%</w:t>
            </w:r>
          </w:p>
        </w:tc>
      </w:tr>
      <w:tr w:rsidR="00494D06" w:rsidRPr="00922031" w14:paraId="4E064381"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1581252" w14:textId="77777777" w:rsidR="00494D06" w:rsidRPr="005808FC" w:rsidRDefault="00494D06" w:rsidP="005808FC">
            <w:pPr>
              <w:spacing w:after="0" w:line="240" w:lineRule="auto"/>
              <w:rPr>
                <w:rFonts w:eastAsia="Times New Roman"/>
                <w:b/>
                <w:color w:val="000000" w:themeColor="text1"/>
                <w:sz w:val="18"/>
                <w:szCs w:val="18"/>
                <w:lang w:eastAsia="hr-HR"/>
              </w:rPr>
            </w:pPr>
            <w:r w:rsidRPr="00291DF5">
              <w:rPr>
                <w:rFonts w:eastAsia="Times New Roman"/>
                <w:b/>
                <w:bCs/>
                <w:color w:val="000000"/>
                <w:sz w:val="18"/>
                <w:szCs w:val="18"/>
                <w:lang w:eastAsia="hr-HR"/>
              </w:rPr>
              <w:t>UKUPNO</w:t>
            </w:r>
          </w:p>
        </w:tc>
        <w:tc>
          <w:tcPr>
            <w:tcW w:w="775" w:type="pct"/>
            <w:tcBorders>
              <w:top w:val="nil"/>
              <w:left w:val="nil"/>
              <w:bottom w:val="single" w:sz="4" w:space="0" w:color="auto"/>
              <w:right w:val="single" w:sz="4" w:space="0" w:color="auto"/>
            </w:tcBorders>
            <w:shd w:val="clear" w:color="auto" w:fill="auto"/>
            <w:noWrap/>
            <w:vAlign w:val="bottom"/>
            <w:hideMark/>
          </w:tcPr>
          <w:p w14:paraId="7AC387C9"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 xml:space="preserve">15 </w:t>
            </w:r>
            <w:r w:rsidRPr="005808FC">
              <w:rPr>
                <w:rFonts w:eastAsia="Times New Roman"/>
                <w:b/>
                <w:bCs/>
                <w:color w:val="000000"/>
                <w:sz w:val="18"/>
                <w:szCs w:val="18"/>
                <w:lang w:eastAsia="hr-HR"/>
              </w:rPr>
              <w:t>202,11</w:t>
            </w:r>
          </w:p>
        </w:tc>
        <w:tc>
          <w:tcPr>
            <w:tcW w:w="564" w:type="pct"/>
            <w:tcBorders>
              <w:top w:val="nil"/>
              <w:left w:val="nil"/>
              <w:bottom w:val="single" w:sz="4" w:space="0" w:color="auto"/>
              <w:right w:val="single" w:sz="4" w:space="0" w:color="auto"/>
            </w:tcBorders>
            <w:shd w:val="clear" w:color="auto" w:fill="auto"/>
            <w:noWrap/>
            <w:vAlign w:val="bottom"/>
            <w:hideMark/>
          </w:tcPr>
          <w:p w14:paraId="3A3D2C78"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303,08</w:t>
            </w:r>
          </w:p>
        </w:tc>
        <w:tc>
          <w:tcPr>
            <w:tcW w:w="668" w:type="pct"/>
            <w:tcBorders>
              <w:top w:val="nil"/>
              <w:left w:val="nil"/>
              <w:bottom w:val="single" w:sz="4" w:space="0" w:color="auto"/>
              <w:right w:val="single" w:sz="4" w:space="0" w:color="auto"/>
            </w:tcBorders>
            <w:shd w:val="clear" w:color="auto" w:fill="auto"/>
            <w:noWrap/>
            <w:vAlign w:val="bottom"/>
            <w:hideMark/>
          </w:tcPr>
          <w:p w14:paraId="57DFDA93"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27 800,25</w:t>
            </w:r>
          </w:p>
        </w:tc>
        <w:tc>
          <w:tcPr>
            <w:tcW w:w="939" w:type="pct"/>
            <w:tcBorders>
              <w:top w:val="nil"/>
              <w:left w:val="nil"/>
              <w:bottom w:val="single" w:sz="4" w:space="0" w:color="auto"/>
              <w:right w:val="single" w:sz="4" w:space="0" w:color="auto"/>
            </w:tcBorders>
            <w:shd w:val="clear" w:color="auto" w:fill="auto"/>
            <w:noWrap/>
            <w:vAlign w:val="bottom"/>
            <w:hideMark/>
          </w:tcPr>
          <w:p w14:paraId="41D11138"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43 305,45</w:t>
            </w:r>
          </w:p>
        </w:tc>
        <w:tc>
          <w:tcPr>
            <w:tcW w:w="872" w:type="pct"/>
            <w:tcBorders>
              <w:top w:val="nil"/>
              <w:left w:val="nil"/>
              <w:bottom w:val="single" w:sz="4" w:space="0" w:color="auto"/>
              <w:right w:val="single" w:sz="4" w:space="0" w:color="auto"/>
            </w:tcBorders>
            <w:shd w:val="clear" w:color="auto" w:fill="auto"/>
            <w:noWrap/>
            <w:vAlign w:val="bottom"/>
            <w:hideMark/>
          </w:tcPr>
          <w:p w14:paraId="0C8E66B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100,00%</w:t>
            </w:r>
          </w:p>
        </w:tc>
      </w:tr>
      <w:tr w:rsidR="00494D06" w:rsidRPr="00922031" w14:paraId="3C9CF91D" w14:textId="77777777" w:rsidTr="005808FC">
        <w:trPr>
          <w:trHeight w:val="240"/>
        </w:trPr>
        <w:tc>
          <w:tcPr>
            <w:tcW w:w="1182"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1589656" w14:textId="0EB1110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Udio pojedinog sektora,</w:t>
            </w:r>
            <w:r w:rsidR="000509A0" w:rsidRPr="005808FC">
              <w:rPr>
                <w:rFonts w:eastAsia="Times New Roman"/>
                <w:b/>
                <w:color w:val="000000"/>
                <w:sz w:val="18"/>
                <w:szCs w:val="18"/>
                <w:lang w:eastAsia="hr-HR"/>
              </w:rPr>
              <w:t>%</w:t>
            </w:r>
          </w:p>
        </w:tc>
        <w:tc>
          <w:tcPr>
            <w:tcW w:w="775" w:type="pct"/>
            <w:tcBorders>
              <w:top w:val="nil"/>
              <w:left w:val="nil"/>
              <w:bottom w:val="single" w:sz="4" w:space="0" w:color="auto"/>
              <w:right w:val="single" w:sz="4" w:space="0" w:color="auto"/>
            </w:tcBorders>
            <w:shd w:val="clear" w:color="auto" w:fill="auto"/>
            <w:noWrap/>
            <w:vAlign w:val="bottom"/>
            <w:hideMark/>
          </w:tcPr>
          <w:p w14:paraId="1E8C3F5B"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35,10%</w:t>
            </w:r>
          </w:p>
        </w:tc>
        <w:tc>
          <w:tcPr>
            <w:tcW w:w="564" w:type="pct"/>
            <w:tcBorders>
              <w:top w:val="nil"/>
              <w:left w:val="nil"/>
              <w:bottom w:val="single" w:sz="4" w:space="0" w:color="auto"/>
              <w:right w:val="single" w:sz="4" w:space="0" w:color="auto"/>
            </w:tcBorders>
            <w:shd w:val="clear" w:color="auto" w:fill="auto"/>
            <w:noWrap/>
            <w:vAlign w:val="bottom"/>
            <w:hideMark/>
          </w:tcPr>
          <w:p w14:paraId="05673EEF"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0,70%</w:t>
            </w:r>
          </w:p>
        </w:tc>
        <w:tc>
          <w:tcPr>
            <w:tcW w:w="668" w:type="pct"/>
            <w:tcBorders>
              <w:top w:val="nil"/>
              <w:left w:val="nil"/>
              <w:bottom w:val="single" w:sz="4" w:space="0" w:color="auto"/>
              <w:right w:val="single" w:sz="4" w:space="0" w:color="auto"/>
            </w:tcBorders>
            <w:shd w:val="clear" w:color="auto" w:fill="auto"/>
            <w:noWrap/>
            <w:vAlign w:val="bottom"/>
            <w:hideMark/>
          </w:tcPr>
          <w:p w14:paraId="64E6052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64,20%</w:t>
            </w:r>
          </w:p>
        </w:tc>
        <w:tc>
          <w:tcPr>
            <w:tcW w:w="939" w:type="pct"/>
            <w:tcBorders>
              <w:top w:val="nil"/>
              <w:left w:val="nil"/>
              <w:bottom w:val="single" w:sz="4" w:space="0" w:color="auto"/>
              <w:right w:val="single" w:sz="4" w:space="0" w:color="auto"/>
            </w:tcBorders>
            <w:shd w:val="clear" w:color="auto" w:fill="auto"/>
            <w:noWrap/>
            <w:vAlign w:val="bottom"/>
            <w:hideMark/>
          </w:tcPr>
          <w:p w14:paraId="675FA69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100,00%</w:t>
            </w:r>
          </w:p>
        </w:tc>
        <w:tc>
          <w:tcPr>
            <w:tcW w:w="872" w:type="pct"/>
            <w:tcBorders>
              <w:top w:val="nil"/>
              <w:left w:val="nil"/>
              <w:bottom w:val="single" w:sz="4" w:space="0" w:color="auto"/>
              <w:right w:val="single" w:sz="4" w:space="0" w:color="auto"/>
            </w:tcBorders>
            <w:shd w:val="clear" w:color="auto" w:fill="auto"/>
            <w:noWrap/>
            <w:vAlign w:val="bottom"/>
            <w:hideMark/>
          </w:tcPr>
          <w:p w14:paraId="5B85F1E0"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w:t>
            </w:r>
          </w:p>
        </w:tc>
      </w:tr>
    </w:tbl>
    <w:p w14:paraId="2EB17E32" w14:textId="77777777" w:rsidR="000509A0" w:rsidRDefault="00494D06" w:rsidP="000509A0">
      <w:pPr>
        <w:jc w:val="center"/>
        <w:rPr>
          <w:rStyle w:val="slikeprave"/>
        </w:rPr>
      </w:pPr>
      <w:bookmarkStart w:id="166" w:name="_Toc523742002"/>
      <w:bookmarkStart w:id="167" w:name="_Toc523742058"/>
      <w:bookmarkStart w:id="168" w:name="_Toc523742308"/>
      <w:r w:rsidRPr="00922031">
        <w:rPr>
          <w:noProof/>
          <w:lang w:eastAsia="hr-HR"/>
        </w:rPr>
        <w:drawing>
          <wp:inline distT="0" distB="0" distL="0" distR="0" wp14:anchorId="71236B7B" wp14:editId="723EA5EF">
            <wp:extent cx="5235575" cy="3457575"/>
            <wp:effectExtent l="0" t="0" r="3175" b="0"/>
            <wp:docPr id="28" name="Chart 2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238564" w14:textId="53565A3F" w:rsidR="00494D06" w:rsidRPr="005808FC" w:rsidRDefault="00494D06">
      <w:pPr>
        <w:jc w:val="center"/>
        <w:rPr>
          <w:i/>
          <w:iCs/>
        </w:rPr>
      </w:pPr>
      <w:bookmarkStart w:id="169" w:name="_Toc4156036"/>
      <w:r w:rsidRPr="005808FC">
        <w:rPr>
          <w:rStyle w:val="slikeprave"/>
        </w:rPr>
        <w:t xml:space="preserve">Slika </w:t>
      </w:r>
      <w:r w:rsidR="0019556A" w:rsidRPr="005808FC">
        <w:rPr>
          <w:rStyle w:val="slikeprave"/>
        </w:rPr>
        <w:fldChar w:fldCharType="begin"/>
      </w:r>
      <w:r w:rsidR="0019556A" w:rsidRPr="005808FC">
        <w:rPr>
          <w:rStyle w:val="slikeprave"/>
        </w:rPr>
        <w:instrText xml:space="preserve"> STYLEREF 1 \s </w:instrText>
      </w:r>
      <w:r w:rsidR="0019556A" w:rsidRPr="005808FC">
        <w:rPr>
          <w:rStyle w:val="slikeprave"/>
        </w:rPr>
        <w:fldChar w:fldCharType="separate"/>
      </w:r>
      <w:r w:rsidR="0019556A" w:rsidRPr="005808FC">
        <w:rPr>
          <w:rStyle w:val="slikeprave"/>
        </w:rPr>
        <w:t>5</w:t>
      </w:r>
      <w:r w:rsidR="0019556A" w:rsidRPr="005808FC">
        <w:rPr>
          <w:rStyle w:val="slikeprave"/>
        </w:rPr>
        <w:fldChar w:fldCharType="end"/>
      </w:r>
      <w:r w:rsidR="0019556A" w:rsidRPr="005808FC">
        <w:rPr>
          <w:rStyle w:val="slikeprave"/>
        </w:rPr>
        <w:t>.</w:t>
      </w:r>
      <w:r w:rsidR="0019556A" w:rsidRPr="005808FC">
        <w:rPr>
          <w:rStyle w:val="slikeprave"/>
        </w:rPr>
        <w:fldChar w:fldCharType="begin"/>
      </w:r>
      <w:r w:rsidR="0019556A" w:rsidRPr="005808FC">
        <w:rPr>
          <w:rStyle w:val="slikeprave"/>
        </w:rPr>
        <w:instrText xml:space="preserve"> SEQ Slika \* ARABIC \s 1 </w:instrText>
      </w:r>
      <w:r w:rsidR="0019556A" w:rsidRPr="005808FC">
        <w:rPr>
          <w:rStyle w:val="slikeprave"/>
        </w:rPr>
        <w:fldChar w:fldCharType="separate"/>
      </w:r>
      <w:r w:rsidR="0019556A" w:rsidRPr="005808FC">
        <w:rPr>
          <w:rStyle w:val="slikeprave"/>
        </w:rPr>
        <w:t>6</w:t>
      </w:r>
      <w:r w:rsidR="0019556A" w:rsidRPr="005808FC">
        <w:rPr>
          <w:rStyle w:val="slikeprave"/>
        </w:rPr>
        <w:fldChar w:fldCharType="end"/>
      </w:r>
      <w:r w:rsidRPr="005808FC">
        <w:rPr>
          <w:rStyle w:val="slikeprave"/>
        </w:rPr>
        <w:t xml:space="preserve"> </w:t>
      </w:r>
      <w:r w:rsidR="000509A0">
        <w:rPr>
          <w:rStyle w:val="slikeprave"/>
        </w:rPr>
        <w:t xml:space="preserve">- </w:t>
      </w:r>
      <w:r w:rsidRPr="005808FC">
        <w:rPr>
          <w:rStyle w:val="slikeprave"/>
        </w:rPr>
        <w:t>Energetska potrošnja po energentu u 2015. godini</w:t>
      </w:r>
      <w:bookmarkEnd w:id="166"/>
      <w:bookmarkEnd w:id="167"/>
      <w:bookmarkEnd w:id="168"/>
      <w:bookmarkEnd w:id="169"/>
    </w:p>
    <w:p w14:paraId="0BC12765" w14:textId="45C0F0B6" w:rsidR="00494D06" w:rsidRPr="005808FC" w:rsidRDefault="00494D06">
      <w:pPr>
        <w:tabs>
          <w:tab w:val="left" w:pos="990"/>
        </w:tabs>
        <w:rPr>
          <w:lang w:eastAsia="hr-HR"/>
        </w:rPr>
      </w:pPr>
      <w:r w:rsidRPr="00291DF5">
        <w:rPr>
          <w:lang w:eastAsia="hr-HR"/>
        </w:rPr>
        <w:lastRenderedPageBreak/>
        <w:t xml:space="preserve">Prirodni plin je energent s najvećim </w:t>
      </w:r>
      <w:r w:rsidRPr="005808FC">
        <w:rPr>
          <w:lang w:eastAsia="hr-HR"/>
        </w:rPr>
        <w:t>udjelom u ukupnoj potrošnji energije. Potrošnja prirodnog plina u 2015. godini iznosila je 10 959,95 TJ, što čini 25,31% od ukupne potrošnje energije.</w:t>
      </w:r>
    </w:p>
    <w:p w14:paraId="0C110DE9" w14:textId="1583D849" w:rsidR="00494D06" w:rsidRPr="00922031" w:rsidRDefault="00494D06">
      <w:r w:rsidRPr="005808FC">
        <w:rPr>
          <w:lang w:eastAsia="hr-HR"/>
        </w:rPr>
        <w:t>Ukupna potrošnja energije promatranih sektora Grada Zagreba iznosi 43 305 TJ, od čega se 27 800 TJ troši u zgradarstvu, a slijedi sektor prometa s potrošnjom od 15 202 TJ.</w:t>
      </w:r>
      <w:r w:rsidR="00B25B9E" w:rsidRPr="005808FC">
        <w:rPr>
          <w:lang w:eastAsia="hr-HR"/>
        </w:rPr>
        <w:t xml:space="preserve"> </w:t>
      </w:r>
    </w:p>
    <w:p w14:paraId="054F4A50" w14:textId="54B3F2C3" w:rsidR="00494D06" w:rsidRPr="005808FC" w:rsidRDefault="00494D06">
      <w:pPr>
        <w:rPr>
          <w:lang w:eastAsia="hr-HR"/>
        </w:rPr>
      </w:pPr>
      <w:r w:rsidRPr="00291DF5">
        <w:rPr>
          <w:lang w:eastAsia="hr-HR"/>
        </w:rPr>
        <w:t xml:space="preserve">Na </w:t>
      </w:r>
      <w:r w:rsidRPr="005808FC">
        <w:fldChar w:fldCharType="begin"/>
      </w:r>
      <w:r w:rsidRPr="00256FE9">
        <w:rPr>
          <w:rFonts w:cstheme="minorHAnsi"/>
          <w:lang w:eastAsia="hr-HR"/>
        </w:rPr>
        <w:instrText xml:space="preserve"> REF _Ref466039012 \h  \* MERGEFORMAT </w:instrText>
      </w:r>
      <w:r w:rsidRPr="005808FC">
        <w:rPr>
          <w:rFonts w:cstheme="minorHAnsi"/>
          <w:lang w:eastAsia="hr-HR"/>
        </w:rPr>
        <w:fldChar w:fldCharType="separate"/>
      </w:r>
      <w:r w:rsidRPr="005808FC">
        <w:rPr>
          <w:rFonts w:eastAsia="Calibri"/>
        </w:rPr>
        <w:t xml:space="preserve">Slici </w:t>
      </w:r>
      <w:r w:rsidR="00256FE9" w:rsidRPr="005808FC">
        <w:rPr>
          <w:rFonts w:eastAsia="Calibri"/>
          <w:noProof/>
        </w:rPr>
        <w:t>5</w:t>
      </w:r>
      <w:r w:rsidRPr="005808FC">
        <w:rPr>
          <w:rFonts w:eastAsia="Calibri"/>
          <w:noProof/>
        </w:rPr>
        <w:t>.7</w:t>
      </w:r>
      <w:r w:rsidRPr="005808FC">
        <w:fldChar w:fldCharType="end"/>
      </w:r>
      <w:r w:rsidRPr="00291DF5">
        <w:rPr>
          <w:lang w:eastAsia="hr-HR"/>
        </w:rPr>
        <w:t xml:space="preserve"> je dana raspodjela ukupne energetske potrošnje Grada Zagreba po sektorima</w:t>
      </w:r>
      <w:r w:rsidR="000509A0">
        <w:rPr>
          <w:lang w:eastAsia="hr-HR"/>
        </w:rPr>
        <w:t xml:space="preserve"> i </w:t>
      </w:r>
      <w:r w:rsidRPr="00291DF5">
        <w:rPr>
          <w:lang w:eastAsia="hr-HR"/>
        </w:rPr>
        <w:t xml:space="preserve">energentima. </w:t>
      </w:r>
    </w:p>
    <w:p w14:paraId="41116CD1" w14:textId="77777777" w:rsidR="00494D06" w:rsidRPr="00922031" w:rsidRDefault="00494D06" w:rsidP="00494D06">
      <w:pPr>
        <w:spacing w:after="0" w:line="240" w:lineRule="auto"/>
        <w:jc w:val="center"/>
        <w:rPr>
          <w:rFonts w:cstheme="minorHAnsi"/>
          <w:noProof/>
          <w:lang w:eastAsia="hr-HR"/>
        </w:rPr>
      </w:pPr>
      <w:bookmarkStart w:id="170" w:name="_Toc258239051"/>
      <w:r w:rsidRPr="00922031">
        <w:rPr>
          <w:rFonts w:cstheme="minorHAnsi"/>
          <w:noProof/>
          <w:lang w:eastAsia="hr-HR"/>
        </w:rPr>
        <w:drawing>
          <wp:inline distT="0" distB="0" distL="0" distR="0" wp14:anchorId="6F8DD147" wp14:editId="2EA28CCD">
            <wp:extent cx="4961614" cy="3458817"/>
            <wp:effectExtent l="0" t="0" r="0" b="8890"/>
            <wp:docPr id="62" name="Chart 62">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887793" w14:textId="16750719" w:rsidR="00494D06" w:rsidRPr="006D77A6" w:rsidRDefault="00494D06" w:rsidP="006D77A6">
      <w:pPr>
        <w:pStyle w:val="Heading6"/>
      </w:pPr>
      <w:bookmarkStart w:id="171" w:name="_Toc4156037"/>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5</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7</w:t>
      </w:r>
      <w:r w:rsidR="00CA6C6C" w:rsidRPr="005808FC">
        <w:fldChar w:fldCharType="end"/>
      </w:r>
      <w:r w:rsidRPr="5886DDC2">
        <w:t xml:space="preserve"> </w:t>
      </w:r>
      <w:bookmarkEnd w:id="170"/>
      <w:r w:rsidR="000509A0">
        <w:t xml:space="preserve">- </w:t>
      </w:r>
      <w:r w:rsidRPr="006D77A6">
        <w:t>Raspodjela ukupne potrošnje energije po sektorima</w:t>
      </w:r>
      <w:r w:rsidR="000509A0">
        <w:t xml:space="preserve"> i </w:t>
      </w:r>
      <w:r w:rsidRPr="006D77A6">
        <w:t>energentima</w:t>
      </w:r>
      <w:bookmarkEnd w:id="171"/>
    </w:p>
    <w:p w14:paraId="12602097" w14:textId="2248E64C" w:rsidR="00494D06" w:rsidRPr="005808FC" w:rsidRDefault="00494D06" w:rsidP="005808FC">
      <w:pPr>
        <w:spacing w:before="240" w:after="0"/>
        <w:rPr>
          <w:color w:val="333333"/>
          <w:lang w:eastAsia="hr-HR"/>
        </w:rPr>
      </w:pPr>
      <w:r w:rsidRPr="00291DF5">
        <w:rPr>
          <w:lang w:eastAsia="hr-HR"/>
        </w:rPr>
        <w:t>Najveći udio (64,20%) u ukupnoj potrošnji energije ima sektor zgradarstva, nakon kojeg slijedi sektor prometa s 35,10%. Prirodni plin (10 949,53 TJ)</w:t>
      </w:r>
      <w:r w:rsidR="000509A0">
        <w:rPr>
          <w:lang w:eastAsia="hr-HR"/>
        </w:rPr>
        <w:t xml:space="preserve"> i </w:t>
      </w:r>
      <w:r w:rsidRPr="00291DF5">
        <w:rPr>
          <w:lang w:eastAsia="hr-HR"/>
        </w:rPr>
        <w:t>električna energija (7 205,84 TJ) su najzastupljeniji energenti</w:t>
      </w:r>
      <w:r w:rsidRPr="005808FC">
        <w:rPr>
          <w:lang w:eastAsia="hr-HR"/>
        </w:rPr>
        <w:t xml:space="preserve"> sektora zgradarstva, dok se u sektoru prometa najviše troše dizel (9 079,38 TJ)</w:t>
      </w:r>
      <w:r w:rsidR="000509A0">
        <w:rPr>
          <w:lang w:eastAsia="hr-HR"/>
        </w:rPr>
        <w:t xml:space="preserve"> i </w:t>
      </w:r>
      <w:r w:rsidRPr="00291DF5">
        <w:rPr>
          <w:lang w:eastAsia="hr-HR"/>
        </w:rPr>
        <w:t>benzin (</w:t>
      </w:r>
      <w:r w:rsidRPr="005808FC">
        <w:rPr>
          <w:rFonts w:eastAsia="Times New Roman"/>
          <w:color w:val="000000"/>
          <w:lang w:eastAsia="hr-HR"/>
        </w:rPr>
        <w:t>5 312,56 TJ</w:t>
      </w:r>
      <w:r w:rsidRPr="005808FC">
        <w:rPr>
          <w:color w:val="333333"/>
          <w:lang w:eastAsia="hr-HR"/>
        </w:rPr>
        <w:t>).</w:t>
      </w:r>
    </w:p>
    <w:p w14:paraId="689B1554" w14:textId="77777777" w:rsidR="00922031" w:rsidRPr="00922031" w:rsidRDefault="00922031">
      <w:pPr>
        <w:rPr>
          <w:rFonts w:eastAsiaTheme="majorEastAsia" w:cstheme="minorHAnsi"/>
          <w:b/>
          <w:bCs/>
          <w:sz w:val="26"/>
        </w:rPr>
      </w:pPr>
      <w:bookmarkStart w:id="172" w:name="_Toc258238937"/>
      <w:bookmarkStart w:id="173" w:name="_Toc468345389"/>
      <w:r w:rsidRPr="00922031">
        <w:rPr>
          <w:rFonts w:cstheme="minorHAnsi"/>
        </w:rPr>
        <w:br w:type="page"/>
      </w:r>
    </w:p>
    <w:p w14:paraId="3F27A84D" w14:textId="689BC5E3" w:rsidR="00494D06" w:rsidRPr="007053EB" w:rsidRDefault="007053EB" w:rsidP="007053EB">
      <w:pPr>
        <w:pStyle w:val="Heading3"/>
      </w:pPr>
      <w:bookmarkStart w:id="174" w:name="_Toc4156092"/>
      <w:r>
        <w:lastRenderedPageBreak/>
        <w:t>E</w:t>
      </w:r>
      <w:r w:rsidR="00494D06" w:rsidRPr="007053EB">
        <w:t>misije CO</w:t>
      </w:r>
      <w:r w:rsidR="00494D06" w:rsidRPr="007053EB">
        <w:rPr>
          <w:vertAlign w:val="subscript"/>
        </w:rPr>
        <w:t>2</w:t>
      </w:r>
      <w:r w:rsidR="00494D06" w:rsidRPr="007053EB">
        <w:t xml:space="preserve"> Grada Zagreba</w:t>
      </w:r>
      <w:bookmarkEnd w:id="172"/>
      <w:r w:rsidR="00494D06" w:rsidRPr="007053EB">
        <w:t xml:space="preserve"> </w:t>
      </w:r>
      <w:bookmarkEnd w:id="173"/>
      <w:r w:rsidR="007D5E3F">
        <w:t>–</w:t>
      </w:r>
      <w:r>
        <w:t xml:space="preserve"> </w:t>
      </w:r>
      <w:r w:rsidR="007D5E3F">
        <w:t>Kontrolni inventar</w:t>
      </w:r>
      <w:bookmarkEnd w:id="174"/>
    </w:p>
    <w:p w14:paraId="6F706B5C" w14:textId="5AF474E8" w:rsidR="00494D06" w:rsidRPr="00256FE9" w:rsidRDefault="00494D06" w:rsidP="005808FC">
      <w:pPr>
        <w:spacing w:line="240" w:lineRule="auto"/>
      </w:pPr>
      <w:r w:rsidRPr="00291DF5">
        <w:t>Ukupni Kontrolni inventar emisija CO</w:t>
      </w:r>
      <w:r w:rsidRPr="005808FC">
        <w:rPr>
          <w:vertAlign w:val="subscript"/>
        </w:rPr>
        <w:t>2</w:t>
      </w:r>
      <w:r w:rsidR="00B25B9E" w:rsidRPr="005808FC">
        <w:rPr>
          <w:vertAlign w:val="subscript"/>
        </w:rPr>
        <w:t xml:space="preserve"> </w:t>
      </w:r>
      <w:r w:rsidRPr="005808FC">
        <w:t xml:space="preserve">iz promatranih sektora u Gradu Zagrebu u 2015. godini iznosio je </w:t>
      </w:r>
      <w:r w:rsidRPr="005808FC">
        <w:rPr>
          <w:lang w:eastAsia="hr-HR"/>
        </w:rPr>
        <w:t>2 930</w:t>
      </w:r>
      <w:r w:rsidRPr="005808FC">
        <w:t xml:space="preserve"> kt CO</w:t>
      </w:r>
      <w:r w:rsidRPr="005808FC">
        <w:rPr>
          <w:vertAlign w:val="subscript"/>
        </w:rPr>
        <w:t>2</w:t>
      </w:r>
      <w:r w:rsidRPr="005808FC">
        <w:t xml:space="preserve">, </w:t>
      </w:r>
      <w:r w:rsidRPr="005808FC">
        <w:fldChar w:fldCharType="begin"/>
      </w:r>
      <w:r w:rsidRPr="00256FE9">
        <w:rPr>
          <w:rFonts w:cstheme="minorHAnsi"/>
        </w:rPr>
        <w:instrText xml:space="preserve"> REF _Ref467087439 \h  \* MERGEFORMAT </w:instrText>
      </w:r>
      <w:r w:rsidRPr="005808FC">
        <w:rPr>
          <w:rFonts w:cstheme="minorHAnsi"/>
        </w:rPr>
        <w:fldChar w:fldCharType="separate"/>
      </w:r>
      <w:r w:rsidRPr="005808FC">
        <w:rPr>
          <w:rFonts w:eastAsia="Calibri"/>
        </w:rPr>
        <w:t xml:space="preserve">Tablica </w:t>
      </w:r>
      <w:r w:rsidR="00256FE9" w:rsidRPr="005808FC">
        <w:rPr>
          <w:rFonts w:eastAsia="Calibri"/>
          <w:noProof/>
        </w:rPr>
        <w:t>5</w:t>
      </w:r>
      <w:r w:rsidRPr="005808FC">
        <w:rPr>
          <w:rFonts w:eastAsia="Calibri"/>
          <w:noProof/>
        </w:rPr>
        <w:t>.6</w:t>
      </w:r>
      <w:r w:rsidRPr="005808FC">
        <w:fldChar w:fldCharType="end"/>
      </w:r>
      <w:r w:rsidRPr="00291DF5">
        <w:t xml:space="preserve">. </w:t>
      </w:r>
    </w:p>
    <w:p w14:paraId="46D39D03" w14:textId="61B7A72E" w:rsidR="00494D06" w:rsidRPr="005808FC" w:rsidRDefault="0082211F">
      <w:pPr>
        <w:pStyle w:val="Caption"/>
        <w:rPr>
          <w:rFonts w:cstheme="minorBidi"/>
          <w:lang w:val="it-IT"/>
        </w:rPr>
      </w:pPr>
      <w:bookmarkStart w:id="175" w:name="_Toc4156011"/>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5</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6</w:t>
      </w:r>
      <w:r w:rsidR="0019556A">
        <w:fldChar w:fldCharType="end"/>
      </w:r>
      <w:r w:rsidRPr="005808FC">
        <w:rPr>
          <w:rFonts w:eastAsia="Calibri" w:cstheme="minorBidi"/>
          <w:b/>
          <w:bCs/>
          <w:lang w:val="it-IT"/>
        </w:rPr>
        <w:t xml:space="preserve"> -</w:t>
      </w:r>
      <w:r w:rsidR="00494D06" w:rsidRPr="005808FC">
        <w:rPr>
          <w:rFonts w:eastAsia="Calibri" w:cstheme="minorBidi"/>
          <w:lang w:val="it-IT"/>
        </w:rPr>
        <w:t>Kontrolni inventar</w:t>
      </w:r>
      <w:r w:rsidR="00494D06" w:rsidRPr="005808FC">
        <w:rPr>
          <w:rFonts w:eastAsia="Calibri" w:cstheme="minorBidi"/>
          <w:b/>
          <w:bCs/>
          <w:lang w:val="it-IT"/>
        </w:rPr>
        <w:t xml:space="preserve"> </w:t>
      </w:r>
      <w:r w:rsidR="00494D06" w:rsidRPr="005808FC">
        <w:rPr>
          <w:rFonts w:cstheme="minorBidi"/>
          <w:lang w:val="it-IT"/>
        </w:rPr>
        <w:t>emisija CO</w:t>
      </w:r>
      <w:r w:rsidR="00494D06" w:rsidRPr="005808FC">
        <w:rPr>
          <w:rFonts w:cstheme="minorBidi"/>
          <w:vertAlign w:val="subscript"/>
          <w:lang w:val="it-IT"/>
        </w:rPr>
        <w:t>2</w:t>
      </w:r>
      <w:r w:rsidR="00494D06" w:rsidRPr="005808FC">
        <w:rPr>
          <w:rFonts w:cstheme="minorBidi"/>
          <w:lang w:val="it-IT"/>
        </w:rPr>
        <w:t xml:space="preserve"> u 2015. godini po sektorima</w:t>
      </w:r>
      <w:r w:rsidR="000509A0">
        <w:rPr>
          <w:rFonts w:cstheme="minorBidi"/>
          <w:lang w:val="it-IT"/>
        </w:rPr>
        <w:t xml:space="preserve"> i </w:t>
      </w:r>
      <w:r w:rsidR="00494D06" w:rsidRPr="005808FC">
        <w:rPr>
          <w:rFonts w:cstheme="minorBidi"/>
          <w:lang w:val="it-IT"/>
        </w:rPr>
        <w:t>energentima</w:t>
      </w:r>
      <w:bookmarkEnd w:id="175"/>
    </w:p>
    <w:tbl>
      <w:tblPr>
        <w:tblW w:w="5033" w:type="pct"/>
        <w:tblLook w:val="04A0" w:firstRow="1" w:lastRow="0" w:firstColumn="1" w:lastColumn="0" w:noHBand="0" w:noVBand="1"/>
      </w:tblPr>
      <w:tblGrid>
        <w:gridCol w:w="1604"/>
        <w:gridCol w:w="1314"/>
        <w:gridCol w:w="1362"/>
        <w:gridCol w:w="1632"/>
        <w:gridCol w:w="1829"/>
        <w:gridCol w:w="1335"/>
      </w:tblGrid>
      <w:tr w:rsidR="00494D06" w:rsidRPr="00922031" w14:paraId="7C96F320" w14:textId="77777777" w:rsidTr="005808FC">
        <w:trPr>
          <w:trHeight w:val="300"/>
        </w:trPr>
        <w:tc>
          <w:tcPr>
            <w:tcW w:w="86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F3B47D8"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Energent</w:t>
            </w:r>
          </w:p>
        </w:tc>
        <w:tc>
          <w:tcPr>
            <w:tcW w:w="3396"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03FF572"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Emisija, t CO₂</w:t>
            </w:r>
          </w:p>
        </w:tc>
        <w:tc>
          <w:tcPr>
            <w:tcW w:w="739"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0B7F74D"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w:t>
            </w:r>
          </w:p>
        </w:tc>
      </w:tr>
      <w:tr w:rsidR="00494D06" w:rsidRPr="00922031" w14:paraId="32D1C319" w14:textId="77777777" w:rsidTr="005808FC">
        <w:trPr>
          <w:trHeight w:val="137"/>
        </w:trPr>
        <w:tc>
          <w:tcPr>
            <w:tcW w:w="865"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FA0EA2" w14:textId="77777777" w:rsidR="00494D06" w:rsidRPr="00700549" w:rsidRDefault="00494D06" w:rsidP="00700549">
            <w:pPr>
              <w:spacing w:after="0" w:line="240" w:lineRule="auto"/>
              <w:jc w:val="center"/>
              <w:rPr>
                <w:rFonts w:eastAsia="Times New Roman" w:cstheme="minorHAnsi"/>
                <w:b/>
                <w:bCs/>
                <w:color w:val="000000"/>
                <w:sz w:val="18"/>
                <w:szCs w:val="18"/>
                <w:lang w:eastAsia="hr-HR"/>
              </w:rPr>
            </w:pPr>
          </w:p>
        </w:tc>
        <w:tc>
          <w:tcPr>
            <w:tcW w:w="728" w:type="pct"/>
            <w:tcBorders>
              <w:top w:val="nil"/>
              <w:left w:val="nil"/>
              <w:bottom w:val="single" w:sz="4" w:space="0" w:color="auto"/>
              <w:right w:val="single" w:sz="4" w:space="0" w:color="auto"/>
            </w:tcBorders>
            <w:shd w:val="clear" w:color="auto" w:fill="C6D9F1" w:themeFill="text2" w:themeFillTint="33"/>
            <w:vAlign w:val="center"/>
            <w:hideMark/>
          </w:tcPr>
          <w:p w14:paraId="25102802"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Promet</w:t>
            </w:r>
          </w:p>
        </w:tc>
        <w:tc>
          <w:tcPr>
            <w:tcW w:w="754" w:type="pct"/>
            <w:tcBorders>
              <w:top w:val="nil"/>
              <w:left w:val="nil"/>
              <w:bottom w:val="single" w:sz="4" w:space="0" w:color="auto"/>
              <w:right w:val="single" w:sz="4" w:space="0" w:color="auto"/>
            </w:tcBorders>
            <w:shd w:val="clear" w:color="auto" w:fill="C6D9F1" w:themeFill="text2" w:themeFillTint="33"/>
            <w:vAlign w:val="center"/>
            <w:hideMark/>
          </w:tcPr>
          <w:p w14:paraId="77DB8F51"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Javna rasvjeta</w:t>
            </w:r>
          </w:p>
        </w:tc>
        <w:tc>
          <w:tcPr>
            <w:tcW w:w="903" w:type="pct"/>
            <w:tcBorders>
              <w:top w:val="nil"/>
              <w:left w:val="nil"/>
              <w:bottom w:val="single" w:sz="4" w:space="0" w:color="auto"/>
              <w:right w:val="single" w:sz="4" w:space="0" w:color="auto"/>
            </w:tcBorders>
            <w:shd w:val="clear" w:color="auto" w:fill="C6D9F1" w:themeFill="text2" w:themeFillTint="33"/>
            <w:noWrap/>
            <w:vAlign w:val="center"/>
            <w:hideMark/>
          </w:tcPr>
          <w:p w14:paraId="3D161847"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Zgradarstvo</w:t>
            </w:r>
          </w:p>
        </w:tc>
        <w:tc>
          <w:tcPr>
            <w:tcW w:w="1010" w:type="pct"/>
            <w:tcBorders>
              <w:top w:val="nil"/>
              <w:left w:val="nil"/>
              <w:bottom w:val="single" w:sz="4" w:space="0" w:color="auto"/>
              <w:right w:val="single" w:sz="4" w:space="0" w:color="auto"/>
            </w:tcBorders>
            <w:shd w:val="clear" w:color="auto" w:fill="C6D9F1" w:themeFill="text2" w:themeFillTint="33"/>
            <w:vAlign w:val="center"/>
            <w:hideMark/>
          </w:tcPr>
          <w:p w14:paraId="13AE2D65"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Ukupno po energentima</w:t>
            </w:r>
          </w:p>
        </w:tc>
        <w:tc>
          <w:tcPr>
            <w:tcW w:w="739" w:type="pct"/>
            <w:tcBorders>
              <w:top w:val="nil"/>
              <w:left w:val="nil"/>
              <w:bottom w:val="single" w:sz="4" w:space="0" w:color="auto"/>
              <w:right w:val="single" w:sz="4" w:space="0" w:color="auto"/>
            </w:tcBorders>
            <w:shd w:val="clear" w:color="auto" w:fill="C6D9F1" w:themeFill="text2" w:themeFillTint="33"/>
            <w:vAlign w:val="center"/>
            <w:hideMark/>
          </w:tcPr>
          <w:p w14:paraId="1C1027C0"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Udio po energentima</w:t>
            </w:r>
          </w:p>
        </w:tc>
      </w:tr>
      <w:tr w:rsidR="00494D06" w:rsidRPr="00922031" w14:paraId="5951425F"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34366176"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Dizel</w:t>
            </w:r>
          </w:p>
        </w:tc>
        <w:tc>
          <w:tcPr>
            <w:tcW w:w="728" w:type="pct"/>
            <w:tcBorders>
              <w:top w:val="nil"/>
              <w:left w:val="nil"/>
              <w:bottom w:val="single" w:sz="4" w:space="0" w:color="auto"/>
              <w:right w:val="single" w:sz="4" w:space="0" w:color="auto"/>
            </w:tcBorders>
            <w:shd w:val="clear" w:color="auto" w:fill="auto"/>
            <w:vAlign w:val="bottom"/>
            <w:hideMark/>
          </w:tcPr>
          <w:p w14:paraId="2545BB5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671 042,61</w:t>
            </w:r>
          </w:p>
        </w:tc>
        <w:tc>
          <w:tcPr>
            <w:tcW w:w="754" w:type="pct"/>
            <w:tcBorders>
              <w:top w:val="nil"/>
              <w:left w:val="nil"/>
              <w:bottom w:val="single" w:sz="4" w:space="0" w:color="auto"/>
              <w:right w:val="single" w:sz="4" w:space="0" w:color="auto"/>
            </w:tcBorders>
            <w:shd w:val="clear" w:color="auto" w:fill="auto"/>
            <w:noWrap/>
            <w:vAlign w:val="bottom"/>
            <w:hideMark/>
          </w:tcPr>
          <w:p w14:paraId="7F31D44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35A9541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1010" w:type="pct"/>
            <w:tcBorders>
              <w:top w:val="nil"/>
              <w:left w:val="nil"/>
              <w:bottom w:val="single" w:sz="4" w:space="0" w:color="auto"/>
              <w:right w:val="single" w:sz="4" w:space="0" w:color="auto"/>
            </w:tcBorders>
            <w:shd w:val="clear" w:color="auto" w:fill="auto"/>
            <w:noWrap/>
            <w:vAlign w:val="bottom"/>
            <w:hideMark/>
          </w:tcPr>
          <w:p w14:paraId="3C0B443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671 042,61</w:t>
            </w:r>
          </w:p>
        </w:tc>
        <w:tc>
          <w:tcPr>
            <w:tcW w:w="739" w:type="pct"/>
            <w:tcBorders>
              <w:top w:val="nil"/>
              <w:left w:val="nil"/>
              <w:bottom w:val="single" w:sz="4" w:space="0" w:color="auto"/>
              <w:right w:val="single" w:sz="4" w:space="0" w:color="auto"/>
            </w:tcBorders>
            <w:shd w:val="clear" w:color="auto" w:fill="auto"/>
            <w:vAlign w:val="bottom"/>
            <w:hideMark/>
          </w:tcPr>
          <w:p w14:paraId="1745516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22,90%</w:t>
            </w:r>
          </w:p>
        </w:tc>
      </w:tr>
      <w:tr w:rsidR="00494D06" w:rsidRPr="00922031" w14:paraId="154EA507"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D6C21D0"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Motorni benzin</w:t>
            </w:r>
          </w:p>
        </w:tc>
        <w:tc>
          <w:tcPr>
            <w:tcW w:w="728" w:type="pct"/>
            <w:tcBorders>
              <w:top w:val="nil"/>
              <w:left w:val="nil"/>
              <w:bottom w:val="single" w:sz="4" w:space="0" w:color="auto"/>
              <w:right w:val="single" w:sz="4" w:space="0" w:color="auto"/>
            </w:tcBorders>
            <w:shd w:val="clear" w:color="auto" w:fill="auto"/>
            <w:vAlign w:val="bottom"/>
            <w:hideMark/>
          </w:tcPr>
          <w:p w14:paraId="5859E03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372 278,01</w:t>
            </w:r>
          </w:p>
        </w:tc>
        <w:tc>
          <w:tcPr>
            <w:tcW w:w="754" w:type="pct"/>
            <w:tcBorders>
              <w:top w:val="nil"/>
              <w:left w:val="nil"/>
              <w:bottom w:val="single" w:sz="4" w:space="0" w:color="auto"/>
              <w:right w:val="single" w:sz="4" w:space="0" w:color="auto"/>
            </w:tcBorders>
            <w:shd w:val="clear" w:color="auto" w:fill="auto"/>
            <w:noWrap/>
            <w:vAlign w:val="bottom"/>
            <w:hideMark/>
          </w:tcPr>
          <w:p w14:paraId="0AFC361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08B2DC9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1010" w:type="pct"/>
            <w:tcBorders>
              <w:top w:val="nil"/>
              <w:left w:val="nil"/>
              <w:bottom w:val="single" w:sz="4" w:space="0" w:color="auto"/>
              <w:right w:val="single" w:sz="4" w:space="0" w:color="auto"/>
            </w:tcBorders>
            <w:shd w:val="clear" w:color="auto" w:fill="auto"/>
            <w:noWrap/>
            <w:vAlign w:val="bottom"/>
            <w:hideMark/>
          </w:tcPr>
          <w:p w14:paraId="50C5E32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372 278,01</w:t>
            </w:r>
          </w:p>
        </w:tc>
        <w:tc>
          <w:tcPr>
            <w:tcW w:w="739" w:type="pct"/>
            <w:tcBorders>
              <w:top w:val="nil"/>
              <w:left w:val="nil"/>
              <w:bottom w:val="single" w:sz="4" w:space="0" w:color="auto"/>
              <w:right w:val="single" w:sz="4" w:space="0" w:color="auto"/>
            </w:tcBorders>
            <w:shd w:val="clear" w:color="auto" w:fill="auto"/>
            <w:vAlign w:val="bottom"/>
            <w:hideMark/>
          </w:tcPr>
          <w:p w14:paraId="52A8158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12,70%</w:t>
            </w:r>
          </w:p>
        </w:tc>
      </w:tr>
      <w:tr w:rsidR="00494D06" w:rsidRPr="00922031" w14:paraId="0DBEDB40"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51DADE0"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LPG</w:t>
            </w:r>
          </w:p>
        </w:tc>
        <w:tc>
          <w:tcPr>
            <w:tcW w:w="728" w:type="pct"/>
            <w:tcBorders>
              <w:top w:val="nil"/>
              <w:left w:val="nil"/>
              <w:bottom w:val="single" w:sz="4" w:space="0" w:color="auto"/>
              <w:right w:val="single" w:sz="4" w:space="0" w:color="auto"/>
            </w:tcBorders>
            <w:shd w:val="clear" w:color="auto" w:fill="auto"/>
            <w:vAlign w:val="bottom"/>
            <w:hideMark/>
          </w:tcPr>
          <w:p w14:paraId="5EA423E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28 042,65</w:t>
            </w:r>
          </w:p>
        </w:tc>
        <w:tc>
          <w:tcPr>
            <w:tcW w:w="754" w:type="pct"/>
            <w:tcBorders>
              <w:top w:val="nil"/>
              <w:left w:val="nil"/>
              <w:bottom w:val="single" w:sz="4" w:space="0" w:color="auto"/>
              <w:right w:val="single" w:sz="4" w:space="0" w:color="auto"/>
            </w:tcBorders>
            <w:shd w:val="clear" w:color="auto" w:fill="auto"/>
            <w:noWrap/>
            <w:vAlign w:val="bottom"/>
            <w:hideMark/>
          </w:tcPr>
          <w:p w14:paraId="5A02DB6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3AA7702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16 507,98</w:t>
            </w:r>
          </w:p>
        </w:tc>
        <w:tc>
          <w:tcPr>
            <w:tcW w:w="1010" w:type="pct"/>
            <w:tcBorders>
              <w:top w:val="nil"/>
              <w:left w:val="nil"/>
              <w:bottom w:val="single" w:sz="4" w:space="0" w:color="auto"/>
              <w:right w:val="single" w:sz="4" w:space="0" w:color="auto"/>
            </w:tcBorders>
            <w:shd w:val="clear" w:color="auto" w:fill="auto"/>
            <w:noWrap/>
            <w:vAlign w:val="bottom"/>
            <w:hideMark/>
          </w:tcPr>
          <w:p w14:paraId="44878148"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44 550,63</w:t>
            </w:r>
          </w:p>
        </w:tc>
        <w:tc>
          <w:tcPr>
            <w:tcW w:w="739" w:type="pct"/>
            <w:tcBorders>
              <w:top w:val="nil"/>
              <w:left w:val="nil"/>
              <w:bottom w:val="single" w:sz="4" w:space="0" w:color="auto"/>
              <w:right w:val="single" w:sz="4" w:space="0" w:color="auto"/>
            </w:tcBorders>
            <w:shd w:val="clear" w:color="auto" w:fill="auto"/>
            <w:vAlign w:val="bottom"/>
            <w:hideMark/>
          </w:tcPr>
          <w:p w14:paraId="1D77889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1,52%</w:t>
            </w:r>
          </w:p>
        </w:tc>
      </w:tr>
      <w:tr w:rsidR="00494D06" w:rsidRPr="00922031" w14:paraId="27F88DBF"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DEDDF0B"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SPP</w:t>
            </w:r>
          </w:p>
        </w:tc>
        <w:tc>
          <w:tcPr>
            <w:tcW w:w="728" w:type="pct"/>
            <w:tcBorders>
              <w:top w:val="nil"/>
              <w:left w:val="nil"/>
              <w:bottom w:val="single" w:sz="4" w:space="0" w:color="auto"/>
              <w:right w:val="single" w:sz="4" w:space="0" w:color="auto"/>
            </w:tcBorders>
            <w:shd w:val="clear" w:color="auto" w:fill="auto"/>
            <w:vAlign w:val="bottom"/>
            <w:hideMark/>
          </w:tcPr>
          <w:p w14:paraId="59929D0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6 165,62</w:t>
            </w:r>
          </w:p>
        </w:tc>
        <w:tc>
          <w:tcPr>
            <w:tcW w:w="754" w:type="pct"/>
            <w:tcBorders>
              <w:top w:val="nil"/>
              <w:left w:val="nil"/>
              <w:bottom w:val="single" w:sz="4" w:space="0" w:color="auto"/>
              <w:right w:val="single" w:sz="4" w:space="0" w:color="auto"/>
            </w:tcBorders>
            <w:shd w:val="clear" w:color="auto" w:fill="auto"/>
            <w:noWrap/>
            <w:vAlign w:val="bottom"/>
            <w:hideMark/>
          </w:tcPr>
          <w:p w14:paraId="68A0303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6466EA8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1010" w:type="pct"/>
            <w:tcBorders>
              <w:top w:val="nil"/>
              <w:left w:val="nil"/>
              <w:bottom w:val="single" w:sz="4" w:space="0" w:color="auto"/>
              <w:right w:val="single" w:sz="4" w:space="0" w:color="auto"/>
            </w:tcBorders>
            <w:shd w:val="clear" w:color="auto" w:fill="auto"/>
            <w:noWrap/>
            <w:vAlign w:val="bottom"/>
            <w:hideMark/>
          </w:tcPr>
          <w:p w14:paraId="5B3F0AA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6 165,62</w:t>
            </w:r>
          </w:p>
        </w:tc>
        <w:tc>
          <w:tcPr>
            <w:tcW w:w="739" w:type="pct"/>
            <w:tcBorders>
              <w:top w:val="nil"/>
              <w:left w:val="nil"/>
              <w:bottom w:val="single" w:sz="4" w:space="0" w:color="auto"/>
              <w:right w:val="single" w:sz="4" w:space="0" w:color="auto"/>
            </w:tcBorders>
            <w:shd w:val="clear" w:color="auto" w:fill="auto"/>
            <w:vAlign w:val="bottom"/>
            <w:hideMark/>
          </w:tcPr>
          <w:p w14:paraId="1C87FCC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0,21%</w:t>
            </w:r>
          </w:p>
        </w:tc>
      </w:tr>
      <w:tr w:rsidR="00494D06" w:rsidRPr="00922031" w14:paraId="4B763B0F"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562A81D"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Električna energija</w:t>
            </w:r>
          </w:p>
        </w:tc>
        <w:tc>
          <w:tcPr>
            <w:tcW w:w="728" w:type="pct"/>
            <w:tcBorders>
              <w:top w:val="nil"/>
              <w:left w:val="nil"/>
              <w:bottom w:val="single" w:sz="4" w:space="0" w:color="auto"/>
              <w:right w:val="single" w:sz="4" w:space="0" w:color="auto"/>
            </w:tcBorders>
            <w:shd w:val="clear" w:color="auto" w:fill="auto"/>
            <w:vAlign w:val="bottom"/>
            <w:hideMark/>
          </w:tcPr>
          <w:p w14:paraId="34D81E3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23 426,05</w:t>
            </w:r>
          </w:p>
        </w:tc>
        <w:tc>
          <w:tcPr>
            <w:tcW w:w="754" w:type="pct"/>
            <w:tcBorders>
              <w:top w:val="nil"/>
              <w:left w:val="nil"/>
              <w:bottom w:val="single" w:sz="4" w:space="0" w:color="auto"/>
              <w:right w:val="single" w:sz="4" w:space="0" w:color="auto"/>
            </w:tcBorders>
            <w:shd w:val="clear" w:color="auto" w:fill="auto"/>
            <w:vAlign w:val="bottom"/>
            <w:hideMark/>
          </w:tcPr>
          <w:p w14:paraId="620B772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26 827,02</w:t>
            </w:r>
          </w:p>
        </w:tc>
        <w:tc>
          <w:tcPr>
            <w:tcW w:w="903" w:type="pct"/>
            <w:tcBorders>
              <w:top w:val="nil"/>
              <w:left w:val="nil"/>
              <w:bottom w:val="single" w:sz="4" w:space="0" w:color="auto"/>
              <w:right w:val="single" w:sz="4" w:space="0" w:color="auto"/>
            </w:tcBorders>
            <w:shd w:val="clear" w:color="auto" w:fill="auto"/>
            <w:vAlign w:val="bottom"/>
            <w:hideMark/>
          </w:tcPr>
          <w:p w14:paraId="6CE7BB5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660 535,68</w:t>
            </w:r>
          </w:p>
        </w:tc>
        <w:tc>
          <w:tcPr>
            <w:tcW w:w="1010" w:type="pct"/>
            <w:tcBorders>
              <w:top w:val="nil"/>
              <w:left w:val="nil"/>
              <w:bottom w:val="single" w:sz="4" w:space="0" w:color="auto"/>
              <w:right w:val="single" w:sz="4" w:space="0" w:color="auto"/>
            </w:tcBorders>
            <w:shd w:val="clear" w:color="auto" w:fill="auto"/>
            <w:noWrap/>
            <w:vAlign w:val="bottom"/>
            <w:hideMark/>
          </w:tcPr>
          <w:p w14:paraId="110B933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710 788,75</w:t>
            </w:r>
          </w:p>
        </w:tc>
        <w:tc>
          <w:tcPr>
            <w:tcW w:w="739" w:type="pct"/>
            <w:tcBorders>
              <w:top w:val="nil"/>
              <w:left w:val="nil"/>
              <w:bottom w:val="single" w:sz="4" w:space="0" w:color="auto"/>
              <w:right w:val="single" w:sz="4" w:space="0" w:color="auto"/>
            </w:tcBorders>
            <w:shd w:val="clear" w:color="auto" w:fill="auto"/>
            <w:vAlign w:val="bottom"/>
            <w:hideMark/>
          </w:tcPr>
          <w:p w14:paraId="041C445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24,26%</w:t>
            </w:r>
          </w:p>
        </w:tc>
      </w:tr>
      <w:tr w:rsidR="00494D06" w:rsidRPr="00922031" w14:paraId="17E6E993"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1C4818C"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Lož ulje</w:t>
            </w:r>
          </w:p>
        </w:tc>
        <w:tc>
          <w:tcPr>
            <w:tcW w:w="728" w:type="pct"/>
            <w:tcBorders>
              <w:top w:val="nil"/>
              <w:left w:val="nil"/>
              <w:bottom w:val="single" w:sz="4" w:space="0" w:color="auto"/>
              <w:right w:val="single" w:sz="4" w:space="0" w:color="auto"/>
            </w:tcBorders>
            <w:shd w:val="clear" w:color="auto" w:fill="auto"/>
            <w:noWrap/>
            <w:vAlign w:val="bottom"/>
            <w:hideMark/>
          </w:tcPr>
          <w:p w14:paraId="3AAA9C3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3E36F6D1"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vAlign w:val="bottom"/>
            <w:hideMark/>
          </w:tcPr>
          <w:p w14:paraId="5DA782C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62 517,27</w:t>
            </w:r>
          </w:p>
        </w:tc>
        <w:tc>
          <w:tcPr>
            <w:tcW w:w="1010" w:type="pct"/>
            <w:tcBorders>
              <w:top w:val="nil"/>
              <w:left w:val="nil"/>
              <w:bottom w:val="single" w:sz="4" w:space="0" w:color="auto"/>
              <w:right w:val="single" w:sz="4" w:space="0" w:color="auto"/>
            </w:tcBorders>
            <w:shd w:val="clear" w:color="auto" w:fill="auto"/>
            <w:noWrap/>
            <w:vAlign w:val="bottom"/>
            <w:hideMark/>
          </w:tcPr>
          <w:p w14:paraId="7E51A1E6"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62 517,27</w:t>
            </w:r>
          </w:p>
        </w:tc>
        <w:tc>
          <w:tcPr>
            <w:tcW w:w="739" w:type="pct"/>
            <w:tcBorders>
              <w:top w:val="nil"/>
              <w:left w:val="nil"/>
              <w:bottom w:val="single" w:sz="4" w:space="0" w:color="auto"/>
              <w:right w:val="single" w:sz="4" w:space="0" w:color="auto"/>
            </w:tcBorders>
            <w:shd w:val="clear" w:color="auto" w:fill="auto"/>
            <w:vAlign w:val="bottom"/>
            <w:hideMark/>
          </w:tcPr>
          <w:p w14:paraId="1CBCF3E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2,13%</w:t>
            </w:r>
          </w:p>
        </w:tc>
      </w:tr>
      <w:tr w:rsidR="00494D06" w:rsidRPr="00922031" w14:paraId="671EECB2"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09B6666"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Prirodni plin</w:t>
            </w:r>
          </w:p>
        </w:tc>
        <w:tc>
          <w:tcPr>
            <w:tcW w:w="728" w:type="pct"/>
            <w:tcBorders>
              <w:top w:val="nil"/>
              <w:left w:val="nil"/>
              <w:bottom w:val="single" w:sz="4" w:space="0" w:color="auto"/>
              <w:right w:val="single" w:sz="4" w:space="0" w:color="auto"/>
            </w:tcBorders>
            <w:shd w:val="clear" w:color="auto" w:fill="auto"/>
            <w:vAlign w:val="bottom"/>
            <w:hideMark/>
          </w:tcPr>
          <w:p w14:paraId="34B4212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7D68EE0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584,82</w:t>
            </w:r>
          </w:p>
        </w:tc>
        <w:tc>
          <w:tcPr>
            <w:tcW w:w="903" w:type="pct"/>
            <w:tcBorders>
              <w:top w:val="nil"/>
              <w:left w:val="nil"/>
              <w:bottom w:val="single" w:sz="4" w:space="0" w:color="auto"/>
              <w:right w:val="single" w:sz="4" w:space="0" w:color="auto"/>
            </w:tcBorders>
            <w:shd w:val="clear" w:color="auto" w:fill="auto"/>
            <w:vAlign w:val="bottom"/>
            <w:hideMark/>
          </w:tcPr>
          <w:p w14:paraId="3D8024A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614 390,70</w:t>
            </w:r>
          </w:p>
        </w:tc>
        <w:tc>
          <w:tcPr>
            <w:tcW w:w="1010" w:type="pct"/>
            <w:tcBorders>
              <w:top w:val="nil"/>
              <w:left w:val="nil"/>
              <w:bottom w:val="single" w:sz="4" w:space="0" w:color="auto"/>
              <w:right w:val="single" w:sz="4" w:space="0" w:color="auto"/>
            </w:tcBorders>
            <w:shd w:val="clear" w:color="auto" w:fill="auto"/>
            <w:noWrap/>
            <w:vAlign w:val="bottom"/>
            <w:hideMark/>
          </w:tcPr>
          <w:p w14:paraId="780A4D9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614 975,52</w:t>
            </w:r>
          </w:p>
        </w:tc>
        <w:tc>
          <w:tcPr>
            <w:tcW w:w="739" w:type="pct"/>
            <w:tcBorders>
              <w:top w:val="nil"/>
              <w:left w:val="nil"/>
              <w:bottom w:val="single" w:sz="4" w:space="0" w:color="auto"/>
              <w:right w:val="single" w:sz="4" w:space="0" w:color="auto"/>
            </w:tcBorders>
            <w:shd w:val="clear" w:color="auto" w:fill="auto"/>
            <w:vAlign w:val="bottom"/>
            <w:hideMark/>
          </w:tcPr>
          <w:p w14:paraId="3E4E9109"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20,99%</w:t>
            </w:r>
          </w:p>
        </w:tc>
      </w:tr>
      <w:tr w:rsidR="00494D06" w:rsidRPr="00922031" w14:paraId="22EAAEDC"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86B4E1E"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Toplana</w:t>
            </w:r>
          </w:p>
        </w:tc>
        <w:tc>
          <w:tcPr>
            <w:tcW w:w="728" w:type="pct"/>
            <w:tcBorders>
              <w:top w:val="nil"/>
              <w:left w:val="nil"/>
              <w:bottom w:val="single" w:sz="4" w:space="0" w:color="auto"/>
              <w:right w:val="single" w:sz="4" w:space="0" w:color="auto"/>
            </w:tcBorders>
            <w:shd w:val="clear" w:color="auto" w:fill="auto"/>
            <w:noWrap/>
            <w:vAlign w:val="bottom"/>
            <w:hideMark/>
          </w:tcPr>
          <w:p w14:paraId="37A0AC7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2A061E3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47C1DF8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444 668,42</w:t>
            </w:r>
          </w:p>
        </w:tc>
        <w:tc>
          <w:tcPr>
            <w:tcW w:w="1010" w:type="pct"/>
            <w:tcBorders>
              <w:top w:val="nil"/>
              <w:left w:val="nil"/>
              <w:bottom w:val="single" w:sz="4" w:space="0" w:color="auto"/>
              <w:right w:val="single" w:sz="4" w:space="0" w:color="auto"/>
            </w:tcBorders>
            <w:shd w:val="clear" w:color="auto" w:fill="auto"/>
            <w:noWrap/>
            <w:vAlign w:val="bottom"/>
            <w:hideMark/>
          </w:tcPr>
          <w:p w14:paraId="73A9E73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444 668,42</w:t>
            </w:r>
          </w:p>
        </w:tc>
        <w:tc>
          <w:tcPr>
            <w:tcW w:w="739" w:type="pct"/>
            <w:tcBorders>
              <w:top w:val="nil"/>
              <w:left w:val="nil"/>
              <w:bottom w:val="single" w:sz="4" w:space="0" w:color="auto"/>
              <w:right w:val="single" w:sz="4" w:space="0" w:color="auto"/>
            </w:tcBorders>
            <w:shd w:val="clear" w:color="auto" w:fill="auto"/>
            <w:vAlign w:val="bottom"/>
            <w:hideMark/>
          </w:tcPr>
          <w:p w14:paraId="5817C4E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15,17%</w:t>
            </w:r>
          </w:p>
        </w:tc>
      </w:tr>
      <w:tr w:rsidR="00494D06" w:rsidRPr="00922031" w14:paraId="2FD9F26A"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04303F1"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Plinske boce</w:t>
            </w:r>
          </w:p>
        </w:tc>
        <w:tc>
          <w:tcPr>
            <w:tcW w:w="728" w:type="pct"/>
            <w:tcBorders>
              <w:top w:val="nil"/>
              <w:left w:val="nil"/>
              <w:bottom w:val="single" w:sz="4" w:space="0" w:color="auto"/>
              <w:right w:val="single" w:sz="4" w:space="0" w:color="auto"/>
            </w:tcBorders>
            <w:shd w:val="clear" w:color="auto" w:fill="auto"/>
            <w:noWrap/>
            <w:vAlign w:val="bottom"/>
            <w:hideMark/>
          </w:tcPr>
          <w:p w14:paraId="45FAFC1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48A6838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3711C01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1 658,73</w:t>
            </w:r>
          </w:p>
        </w:tc>
        <w:tc>
          <w:tcPr>
            <w:tcW w:w="1010" w:type="pct"/>
            <w:tcBorders>
              <w:top w:val="nil"/>
              <w:left w:val="nil"/>
              <w:bottom w:val="single" w:sz="4" w:space="0" w:color="auto"/>
              <w:right w:val="single" w:sz="4" w:space="0" w:color="auto"/>
            </w:tcBorders>
            <w:shd w:val="clear" w:color="auto" w:fill="auto"/>
            <w:noWrap/>
            <w:vAlign w:val="bottom"/>
            <w:hideMark/>
          </w:tcPr>
          <w:p w14:paraId="3F02321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1 658,73</w:t>
            </w:r>
          </w:p>
        </w:tc>
        <w:tc>
          <w:tcPr>
            <w:tcW w:w="739" w:type="pct"/>
            <w:tcBorders>
              <w:top w:val="nil"/>
              <w:left w:val="nil"/>
              <w:bottom w:val="single" w:sz="4" w:space="0" w:color="auto"/>
              <w:right w:val="single" w:sz="4" w:space="0" w:color="auto"/>
            </w:tcBorders>
            <w:shd w:val="clear" w:color="auto" w:fill="auto"/>
            <w:vAlign w:val="bottom"/>
            <w:hideMark/>
          </w:tcPr>
          <w:p w14:paraId="5248044D"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0,06%</w:t>
            </w:r>
          </w:p>
        </w:tc>
      </w:tr>
      <w:tr w:rsidR="00494D06" w:rsidRPr="00922031" w14:paraId="4F24DD2B"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7358A53"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Mrki ugljen</w:t>
            </w:r>
          </w:p>
        </w:tc>
        <w:tc>
          <w:tcPr>
            <w:tcW w:w="728" w:type="pct"/>
            <w:tcBorders>
              <w:top w:val="nil"/>
              <w:left w:val="nil"/>
              <w:bottom w:val="single" w:sz="4" w:space="0" w:color="auto"/>
              <w:right w:val="single" w:sz="4" w:space="0" w:color="auto"/>
            </w:tcBorders>
            <w:shd w:val="clear" w:color="auto" w:fill="auto"/>
            <w:noWrap/>
            <w:vAlign w:val="bottom"/>
            <w:hideMark/>
          </w:tcPr>
          <w:p w14:paraId="3C08665F"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294C2AA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6A0CD780"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657,40</w:t>
            </w:r>
          </w:p>
        </w:tc>
        <w:tc>
          <w:tcPr>
            <w:tcW w:w="1010" w:type="pct"/>
            <w:tcBorders>
              <w:top w:val="nil"/>
              <w:left w:val="nil"/>
              <w:bottom w:val="single" w:sz="4" w:space="0" w:color="auto"/>
              <w:right w:val="single" w:sz="4" w:space="0" w:color="auto"/>
            </w:tcBorders>
            <w:shd w:val="clear" w:color="auto" w:fill="auto"/>
            <w:noWrap/>
            <w:vAlign w:val="bottom"/>
            <w:hideMark/>
          </w:tcPr>
          <w:p w14:paraId="09B4485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657,40</w:t>
            </w:r>
          </w:p>
        </w:tc>
        <w:tc>
          <w:tcPr>
            <w:tcW w:w="739" w:type="pct"/>
            <w:tcBorders>
              <w:top w:val="nil"/>
              <w:left w:val="nil"/>
              <w:bottom w:val="single" w:sz="4" w:space="0" w:color="auto"/>
              <w:right w:val="single" w:sz="4" w:space="0" w:color="auto"/>
            </w:tcBorders>
            <w:shd w:val="clear" w:color="auto" w:fill="auto"/>
            <w:vAlign w:val="bottom"/>
            <w:hideMark/>
          </w:tcPr>
          <w:p w14:paraId="6448926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0,02%</w:t>
            </w:r>
          </w:p>
        </w:tc>
      </w:tr>
      <w:tr w:rsidR="00494D06" w:rsidRPr="00922031" w14:paraId="65773AE6"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445A877"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Lignit</w:t>
            </w:r>
          </w:p>
        </w:tc>
        <w:tc>
          <w:tcPr>
            <w:tcW w:w="728" w:type="pct"/>
            <w:tcBorders>
              <w:top w:val="nil"/>
              <w:left w:val="nil"/>
              <w:bottom w:val="single" w:sz="4" w:space="0" w:color="auto"/>
              <w:right w:val="single" w:sz="4" w:space="0" w:color="auto"/>
            </w:tcBorders>
            <w:shd w:val="clear" w:color="auto" w:fill="auto"/>
            <w:noWrap/>
            <w:vAlign w:val="bottom"/>
            <w:hideMark/>
          </w:tcPr>
          <w:p w14:paraId="0F5CC20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748BAC54"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vAlign w:val="bottom"/>
            <w:hideMark/>
          </w:tcPr>
          <w:p w14:paraId="2D5EF80C"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436,80</w:t>
            </w:r>
          </w:p>
        </w:tc>
        <w:tc>
          <w:tcPr>
            <w:tcW w:w="1010" w:type="pct"/>
            <w:tcBorders>
              <w:top w:val="nil"/>
              <w:left w:val="nil"/>
              <w:bottom w:val="single" w:sz="4" w:space="0" w:color="auto"/>
              <w:right w:val="single" w:sz="4" w:space="0" w:color="auto"/>
            </w:tcBorders>
            <w:shd w:val="clear" w:color="auto" w:fill="auto"/>
            <w:noWrap/>
            <w:vAlign w:val="bottom"/>
            <w:hideMark/>
          </w:tcPr>
          <w:p w14:paraId="2F5E9CA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436,80</w:t>
            </w:r>
          </w:p>
        </w:tc>
        <w:tc>
          <w:tcPr>
            <w:tcW w:w="739" w:type="pct"/>
            <w:tcBorders>
              <w:top w:val="nil"/>
              <w:left w:val="nil"/>
              <w:bottom w:val="single" w:sz="4" w:space="0" w:color="auto"/>
              <w:right w:val="single" w:sz="4" w:space="0" w:color="auto"/>
            </w:tcBorders>
            <w:shd w:val="clear" w:color="auto" w:fill="auto"/>
            <w:vAlign w:val="bottom"/>
            <w:hideMark/>
          </w:tcPr>
          <w:p w14:paraId="5BABB623"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0,01%</w:t>
            </w:r>
          </w:p>
        </w:tc>
      </w:tr>
      <w:tr w:rsidR="00494D06" w:rsidRPr="00922031" w14:paraId="03B34701"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A1B6FC2"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Petrolej</w:t>
            </w:r>
          </w:p>
        </w:tc>
        <w:tc>
          <w:tcPr>
            <w:tcW w:w="728" w:type="pct"/>
            <w:tcBorders>
              <w:top w:val="nil"/>
              <w:left w:val="nil"/>
              <w:bottom w:val="single" w:sz="4" w:space="0" w:color="auto"/>
              <w:right w:val="single" w:sz="4" w:space="0" w:color="auto"/>
            </w:tcBorders>
            <w:shd w:val="clear" w:color="auto" w:fill="auto"/>
            <w:noWrap/>
            <w:vAlign w:val="bottom"/>
            <w:hideMark/>
          </w:tcPr>
          <w:p w14:paraId="799B3605"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754" w:type="pct"/>
            <w:tcBorders>
              <w:top w:val="nil"/>
              <w:left w:val="nil"/>
              <w:bottom w:val="single" w:sz="4" w:space="0" w:color="auto"/>
              <w:right w:val="single" w:sz="4" w:space="0" w:color="auto"/>
            </w:tcBorders>
            <w:shd w:val="clear" w:color="auto" w:fill="auto"/>
            <w:noWrap/>
            <w:vAlign w:val="bottom"/>
            <w:hideMark/>
          </w:tcPr>
          <w:p w14:paraId="52746822"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 </w:t>
            </w:r>
          </w:p>
        </w:tc>
        <w:tc>
          <w:tcPr>
            <w:tcW w:w="903" w:type="pct"/>
            <w:tcBorders>
              <w:top w:val="nil"/>
              <w:left w:val="nil"/>
              <w:bottom w:val="single" w:sz="4" w:space="0" w:color="auto"/>
              <w:right w:val="single" w:sz="4" w:space="0" w:color="auto"/>
            </w:tcBorders>
            <w:shd w:val="clear" w:color="auto" w:fill="auto"/>
            <w:noWrap/>
            <w:vAlign w:val="bottom"/>
            <w:hideMark/>
          </w:tcPr>
          <w:p w14:paraId="56CBC62E"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569,17</w:t>
            </w:r>
          </w:p>
        </w:tc>
        <w:tc>
          <w:tcPr>
            <w:tcW w:w="1010" w:type="pct"/>
            <w:tcBorders>
              <w:top w:val="nil"/>
              <w:left w:val="nil"/>
              <w:bottom w:val="single" w:sz="4" w:space="0" w:color="auto"/>
              <w:right w:val="single" w:sz="4" w:space="0" w:color="auto"/>
            </w:tcBorders>
            <w:shd w:val="clear" w:color="auto" w:fill="auto"/>
            <w:noWrap/>
            <w:vAlign w:val="bottom"/>
            <w:hideMark/>
          </w:tcPr>
          <w:p w14:paraId="627EA6C7"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569,17</w:t>
            </w:r>
          </w:p>
        </w:tc>
        <w:tc>
          <w:tcPr>
            <w:tcW w:w="739" w:type="pct"/>
            <w:tcBorders>
              <w:top w:val="nil"/>
              <w:left w:val="nil"/>
              <w:bottom w:val="single" w:sz="4" w:space="0" w:color="auto"/>
              <w:right w:val="single" w:sz="4" w:space="0" w:color="auto"/>
            </w:tcBorders>
            <w:shd w:val="clear" w:color="auto" w:fill="auto"/>
            <w:vAlign w:val="bottom"/>
            <w:hideMark/>
          </w:tcPr>
          <w:p w14:paraId="2FD118DB" w14:textId="77777777" w:rsidR="00494D06" w:rsidRPr="005808FC" w:rsidRDefault="00494D06" w:rsidP="005808FC">
            <w:pPr>
              <w:spacing w:after="0" w:line="240" w:lineRule="auto"/>
              <w:jc w:val="center"/>
              <w:rPr>
                <w:rFonts w:eastAsia="Times New Roman"/>
                <w:color w:val="000000" w:themeColor="text1"/>
                <w:sz w:val="18"/>
                <w:szCs w:val="18"/>
                <w:lang w:eastAsia="hr-HR"/>
              </w:rPr>
            </w:pPr>
            <w:r w:rsidRPr="00291DF5">
              <w:rPr>
                <w:rFonts w:eastAsia="Times New Roman"/>
                <w:color w:val="000000"/>
                <w:sz w:val="18"/>
                <w:szCs w:val="18"/>
                <w:lang w:eastAsia="hr-HR"/>
              </w:rPr>
              <w:t>0,02%</w:t>
            </w:r>
          </w:p>
        </w:tc>
      </w:tr>
      <w:tr w:rsidR="00494D06" w:rsidRPr="00922031" w14:paraId="6C1ECCEA" w14:textId="77777777" w:rsidTr="005808FC">
        <w:trPr>
          <w:trHeight w:val="6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0FB7A2BF"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UKUPNO</w:t>
            </w:r>
          </w:p>
        </w:tc>
        <w:tc>
          <w:tcPr>
            <w:tcW w:w="728" w:type="pct"/>
            <w:tcBorders>
              <w:top w:val="nil"/>
              <w:left w:val="nil"/>
              <w:bottom w:val="single" w:sz="4" w:space="0" w:color="auto"/>
              <w:right w:val="single" w:sz="4" w:space="0" w:color="auto"/>
            </w:tcBorders>
            <w:shd w:val="clear" w:color="auto" w:fill="auto"/>
            <w:noWrap/>
            <w:vAlign w:val="bottom"/>
            <w:hideMark/>
          </w:tcPr>
          <w:p w14:paraId="12EB2167"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 xml:space="preserve">1 100 </w:t>
            </w:r>
            <w:r w:rsidRPr="005808FC">
              <w:rPr>
                <w:rFonts w:eastAsia="Times New Roman"/>
                <w:b/>
                <w:bCs/>
                <w:color w:val="000000"/>
                <w:sz w:val="18"/>
                <w:szCs w:val="18"/>
                <w:lang w:eastAsia="hr-HR"/>
              </w:rPr>
              <w:t>954,94</w:t>
            </w:r>
          </w:p>
        </w:tc>
        <w:tc>
          <w:tcPr>
            <w:tcW w:w="754" w:type="pct"/>
            <w:tcBorders>
              <w:top w:val="nil"/>
              <w:left w:val="nil"/>
              <w:bottom w:val="single" w:sz="4" w:space="0" w:color="auto"/>
              <w:right w:val="single" w:sz="4" w:space="0" w:color="auto"/>
            </w:tcBorders>
            <w:shd w:val="clear" w:color="auto" w:fill="auto"/>
            <w:noWrap/>
            <w:vAlign w:val="bottom"/>
            <w:hideMark/>
          </w:tcPr>
          <w:p w14:paraId="616D1FBE"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27 411,84</w:t>
            </w:r>
          </w:p>
        </w:tc>
        <w:tc>
          <w:tcPr>
            <w:tcW w:w="903" w:type="pct"/>
            <w:tcBorders>
              <w:top w:val="nil"/>
              <w:left w:val="nil"/>
              <w:bottom w:val="single" w:sz="4" w:space="0" w:color="auto"/>
              <w:right w:val="single" w:sz="4" w:space="0" w:color="auto"/>
            </w:tcBorders>
            <w:shd w:val="clear" w:color="auto" w:fill="auto"/>
            <w:noWrap/>
            <w:vAlign w:val="bottom"/>
            <w:hideMark/>
          </w:tcPr>
          <w:p w14:paraId="3267A620"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1 801 942,15</w:t>
            </w:r>
          </w:p>
        </w:tc>
        <w:tc>
          <w:tcPr>
            <w:tcW w:w="1010" w:type="pct"/>
            <w:tcBorders>
              <w:top w:val="nil"/>
              <w:left w:val="nil"/>
              <w:bottom w:val="single" w:sz="4" w:space="0" w:color="auto"/>
              <w:right w:val="single" w:sz="4" w:space="0" w:color="auto"/>
            </w:tcBorders>
            <w:shd w:val="clear" w:color="auto" w:fill="auto"/>
            <w:noWrap/>
            <w:vAlign w:val="bottom"/>
            <w:hideMark/>
          </w:tcPr>
          <w:p w14:paraId="4D5CD4E5"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2 930 308,93</w:t>
            </w:r>
          </w:p>
        </w:tc>
        <w:tc>
          <w:tcPr>
            <w:tcW w:w="739" w:type="pct"/>
            <w:tcBorders>
              <w:top w:val="nil"/>
              <w:left w:val="nil"/>
              <w:bottom w:val="single" w:sz="4" w:space="0" w:color="auto"/>
              <w:right w:val="single" w:sz="4" w:space="0" w:color="auto"/>
            </w:tcBorders>
            <w:shd w:val="clear" w:color="auto" w:fill="auto"/>
            <w:vAlign w:val="bottom"/>
            <w:hideMark/>
          </w:tcPr>
          <w:p w14:paraId="7D6022AA"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100,00%</w:t>
            </w:r>
          </w:p>
        </w:tc>
      </w:tr>
      <w:tr w:rsidR="00494D06" w:rsidRPr="00922031" w14:paraId="48CD9056" w14:textId="77777777" w:rsidTr="005808FC">
        <w:trPr>
          <w:trHeight w:val="240"/>
        </w:trPr>
        <w:tc>
          <w:tcPr>
            <w:tcW w:w="865"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4A82245" w14:textId="77777777" w:rsidR="00494D06" w:rsidRPr="005808FC" w:rsidRDefault="00494D06" w:rsidP="005808FC">
            <w:pPr>
              <w:spacing w:after="0" w:line="240" w:lineRule="auto"/>
              <w:rPr>
                <w:rFonts w:eastAsia="Times New Roman"/>
                <w:b/>
                <w:color w:val="000000"/>
                <w:sz w:val="18"/>
                <w:szCs w:val="18"/>
                <w:lang w:eastAsia="hr-HR"/>
              </w:rPr>
            </w:pPr>
            <w:r w:rsidRPr="005808FC">
              <w:rPr>
                <w:rFonts w:eastAsia="Times New Roman"/>
                <w:b/>
                <w:color w:val="000000"/>
                <w:sz w:val="18"/>
                <w:szCs w:val="18"/>
                <w:lang w:eastAsia="hr-HR"/>
              </w:rPr>
              <w:t>%</w:t>
            </w:r>
          </w:p>
        </w:tc>
        <w:tc>
          <w:tcPr>
            <w:tcW w:w="728" w:type="pct"/>
            <w:tcBorders>
              <w:top w:val="nil"/>
              <w:left w:val="nil"/>
              <w:bottom w:val="single" w:sz="4" w:space="0" w:color="auto"/>
              <w:right w:val="single" w:sz="4" w:space="0" w:color="auto"/>
            </w:tcBorders>
            <w:shd w:val="clear" w:color="auto" w:fill="auto"/>
            <w:noWrap/>
            <w:vAlign w:val="bottom"/>
            <w:hideMark/>
          </w:tcPr>
          <w:p w14:paraId="7137953E"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37,57%</w:t>
            </w:r>
          </w:p>
        </w:tc>
        <w:tc>
          <w:tcPr>
            <w:tcW w:w="754" w:type="pct"/>
            <w:tcBorders>
              <w:top w:val="nil"/>
              <w:left w:val="nil"/>
              <w:bottom w:val="single" w:sz="4" w:space="0" w:color="auto"/>
              <w:right w:val="single" w:sz="4" w:space="0" w:color="auto"/>
            </w:tcBorders>
            <w:shd w:val="clear" w:color="auto" w:fill="auto"/>
            <w:noWrap/>
            <w:vAlign w:val="bottom"/>
            <w:hideMark/>
          </w:tcPr>
          <w:p w14:paraId="7C65662D"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0,94%</w:t>
            </w:r>
          </w:p>
        </w:tc>
        <w:tc>
          <w:tcPr>
            <w:tcW w:w="903" w:type="pct"/>
            <w:tcBorders>
              <w:top w:val="nil"/>
              <w:left w:val="nil"/>
              <w:bottom w:val="single" w:sz="4" w:space="0" w:color="auto"/>
              <w:right w:val="single" w:sz="4" w:space="0" w:color="auto"/>
            </w:tcBorders>
            <w:shd w:val="clear" w:color="auto" w:fill="auto"/>
            <w:noWrap/>
            <w:vAlign w:val="bottom"/>
            <w:hideMark/>
          </w:tcPr>
          <w:p w14:paraId="590DD9E3"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61,49%</w:t>
            </w:r>
          </w:p>
        </w:tc>
        <w:tc>
          <w:tcPr>
            <w:tcW w:w="1010" w:type="pct"/>
            <w:tcBorders>
              <w:top w:val="nil"/>
              <w:left w:val="nil"/>
              <w:bottom w:val="single" w:sz="4" w:space="0" w:color="auto"/>
              <w:right w:val="single" w:sz="4" w:space="0" w:color="auto"/>
            </w:tcBorders>
            <w:shd w:val="clear" w:color="auto" w:fill="auto"/>
            <w:noWrap/>
            <w:vAlign w:val="bottom"/>
            <w:hideMark/>
          </w:tcPr>
          <w:p w14:paraId="036CB7F4" w14:textId="77777777" w:rsidR="00494D06" w:rsidRPr="005808FC" w:rsidRDefault="00494D06" w:rsidP="005808FC">
            <w:pPr>
              <w:spacing w:after="0" w:line="240" w:lineRule="auto"/>
              <w:jc w:val="center"/>
              <w:rPr>
                <w:rFonts w:eastAsia="Times New Roman"/>
                <w:b/>
                <w:bCs/>
                <w:color w:val="000000" w:themeColor="text1"/>
                <w:sz w:val="18"/>
                <w:szCs w:val="18"/>
                <w:lang w:eastAsia="hr-HR"/>
              </w:rPr>
            </w:pPr>
            <w:r w:rsidRPr="00291DF5">
              <w:rPr>
                <w:rFonts w:eastAsia="Times New Roman"/>
                <w:b/>
                <w:bCs/>
                <w:color w:val="000000"/>
                <w:sz w:val="18"/>
                <w:szCs w:val="18"/>
                <w:lang w:eastAsia="hr-HR"/>
              </w:rPr>
              <w:t> </w:t>
            </w:r>
          </w:p>
        </w:tc>
        <w:tc>
          <w:tcPr>
            <w:tcW w:w="739" w:type="pct"/>
            <w:tcBorders>
              <w:top w:val="nil"/>
              <w:left w:val="nil"/>
              <w:bottom w:val="single" w:sz="4" w:space="0" w:color="auto"/>
              <w:right w:val="single" w:sz="4" w:space="0" w:color="auto"/>
            </w:tcBorders>
            <w:shd w:val="clear" w:color="auto" w:fill="auto"/>
            <w:vAlign w:val="bottom"/>
            <w:hideMark/>
          </w:tcPr>
          <w:p w14:paraId="7CD9C0FC" w14:textId="77777777" w:rsidR="00494D06" w:rsidRPr="005808FC" w:rsidRDefault="00494D06" w:rsidP="005808FC">
            <w:pPr>
              <w:spacing w:after="0" w:line="240" w:lineRule="auto"/>
              <w:jc w:val="center"/>
              <w:rPr>
                <w:rFonts w:eastAsia="Times New Roman"/>
                <w:b/>
                <w:color w:val="000000" w:themeColor="text1"/>
                <w:sz w:val="18"/>
                <w:szCs w:val="18"/>
                <w:lang w:eastAsia="hr-HR"/>
              </w:rPr>
            </w:pPr>
            <w:r w:rsidRPr="00291DF5">
              <w:rPr>
                <w:rFonts w:eastAsia="Times New Roman"/>
                <w:b/>
                <w:bCs/>
                <w:color w:val="000000"/>
                <w:sz w:val="18"/>
                <w:szCs w:val="18"/>
                <w:lang w:eastAsia="hr-HR"/>
              </w:rPr>
              <w:t>100,00%</w:t>
            </w:r>
          </w:p>
        </w:tc>
      </w:tr>
    </w:tbl>
    <w:p w14:paraId="112718C6" w14:textId="5D958B0B" w:rsidR="00494D06" w:rsidRPr="00256FE9" w:rsidRDefault="00494D06" w:rsidP="005808FC">
      <w:pPr>
        <w:spacing w:before="240" w:line="240" w:lineRule="auto"/>
      </w:pPr>
      <w:r w:rsidRPr="00291DF5">
        <w:t xml:space="preserve">Na </w:t>
      </w:r>
      <w:r w:rsidRPr="005808FC">
        <w:fldChar w:fldCharType="begin"/>
      </w:r>
      <w:r w:rsidRPr="00256FE9">
        <w:rPr>
          <w:rFonts w:cstheme="minorHAnsi"/>
        </w:rPr>
        <w:instrText xml:space="preserve"> REF _Ref467088946 \h  \* MERGEFORMAT </w:instrText>
      </w:r>
      <w:r w:rsidRPr="005808FC">
        <w:rPr>
          <w:rFonts w:cstheme="minorHAnsi"/>
        </w:rPr>
        <w:fldChar w:fldCharType="separate"/>
      </w:r>
      <w:r w:rsidRPr="005808FC">
        <w:rPr>
          <w:rFonts w:eastAsia="Calibri"/>
        </w:rPr>
        <w:t xml:space="preserve">Slici </w:t>
      </w:r>
      <w:r w:rsidR="00256FE9" w:rsidRPr="005808FC">
        <w:rPr>
          <w:rFonts w:eastAsia="Calibri"/>
          <w:noProof/>
        </w:rPr>
        <w:t>5</w:t>
      </w:r>
      <w:r w:rsidRPr="005808FC">
        <w:rPr>
          <w:rFonts w:eastAsia="Calibri"/>
          <w:noProof/>
        </w:rPr>
        <w:t>.8</w:t>
      </w:r>
      <w:r w:rsidRPr="005808FC">
        <w:fldChar w:fldCharType="end"/>
      </w:r>
      <w:r w:rsidRPr="00291DF5">
        <w:t xml:space="preserve"> prikazan je ukupni Kontrolni inventar emisija CO</w:t>
      </w:r>
      <w:r w:rsidRPr="005808FC">
        <w:rPr>
          <w:vertAlign w:val="subscript"/>
        </w:rPr>
        <w:t>2</w:t>
      </w:r>
      <w:r w:rsidRPr="005808FC">
        <w:t xml:space="preserve"> po sektorima. </w:t>
      </w:r>
      <w:r w:rsidRPr="005808FC">
        <w:fldChar w:fldCharType="begin"/>
      </w:r>
      <w:r w:rsidRPr="00256FE9">
        <w:rPr>
          <w:rFonts w:cstheme="minorHAnsi"/>
        </w:rPr>
        <w:instrText xml:space="preserve"> REF _Ref467089116 \h  \* MERGEFORMAT </w:instrText>
      </w:r>
      <w:r w:rsidRPr="005808FC">
        <w:rPr>
          <w:rFonts w:cstheme="minorHAnsi"/>
        </w:rPr>
        <w:fldChar w:fldCharType="separate"/>
      </w:r>
      <w:r w:rsidRPr="005808FC">
        <w:rPr>
          <w:rFonts w:eastAsia="Calibri"/>
        </w:rPr>
        <w:t xml:space="preserve">Slika </w:t>
      </w:r>
      <w:r w:rsidR="00256FE9" w:rsidRPr="005808FC">
        <w:rPr>
          <w:rFonts w:eastAsia="Calibri"/>
          <w:noProof/>
        </w:rPr>
        <w:t>5</w:t>
      </w:r>
      <w:r w:rsidRPr="005808FC">
        <w:rPr>
          <w:rFonts w:eastAsia="Calibri"/>
          <w:noProof/>
        </w:rPr>
        <w:t>.9</w:t>
      </w:r>
      <w:r w:rsidRPr="005808FC">
        <w:fldChar w:fldCharType="end"/>
      </w:r>
      <w:r w:rsidRPr="00291DF5">
        <w:t xml:space="preserve"> prikazuje K</w:t>
      </w:r>
      <w:r w:rsidRPr="005808FC">
        <w:t>ontrolni inventar CO</w:t>
      </w:r>
      <w:r w:rsidRPr="005808FC">
        <w:rPr>
          <w:vertAlign w:val="subscript"/>
        </w:rPr>
        <w:t>2</w:t>
      </w:r>
      <w:r w:rsidRPr="005808FC">
        <w:t xml:space="preserve"> po pojedinim energentima, a </w:t>
      </w:r>
      <w:r w:rsidRPr="005808FC">
        <w:fldChar w:fldCharType="begin"/>
      </w:r>
      <w:r w:rsidRPr="00256FE9">
        <w:rPr>
          <w:rFonts w:cstheme="minorHAnsi"/>
        </w:rPr>
        <w:instrText xml:space="preserve"> REF _Ref467089202 \h  \* MERGEFORMAT </w:instrText>
      </w:r>
      <w:r w:rsidRPr="005808FC">
        <w:rPr>
          <w:rFonts w:cstheme="minorHAnsi"/>
        </w:rPr>
        <w:fldChar w:fldCharType="separate"/>
      </w:r>
      <w:r w:rsidRPr="005808FC">
        <w:rPr>
          <w:rFonts w:eastAsia="Calibri"/>
        </w:rPr>
        <w:t xml:space="preserve">Slika </w:t>
      </w:r>
      <w:r w:rsidR="00256FE9" w:rsidRPr="005808FC">
        <w:rPr>
          <w:rFonts w:eastAsia="Calibri"/>
          <w:noProof/>
        </w:rPr>
        <w:t>5</w:t>
      </w:r>
      <w:r w:rsidRPr="005808FC">
        <w:rPr>
          <w:rFonts w:eastAsia="Calibri"/>
          <w:noProof/>
        </w:rPr>
        <w:t>.10</w:t>
      </w:r>
      <w:r w:rsidRPr="005808FC">
        <w:fldChar w:fldCharType="end"/>
      </w:r>
      <w:r w:rsidRPr="00291DF5">
        <w:t xml:space="preserve"> daje skupni prikaz Kontrolnog inventara emisije CO</w:t>
      </w:r>
      <w:r w:rsidRPr="005808FC">
        <w:rPr>
          <w:vertAlign w:val="subscript"/>
        </w:rPr>
        <w:t>2</w:t>
      </w:r>
      <w:r w:rsidR="00B25B9E" w:rsidRPr="005808FC">
        <w:rPr>
          <w:vertAlign w:val="subscript"/>
        </w:rPr>
        <w:t xml:space="preserve"> </w:t>
      </w:r>
      <w:r w:rsidRPr="005808FC">
        <w:t>po sektorima</w:t>
      </w:r>
      <w:r w:rsidR="000509A0">
        <w:t xml:space="preserve"> i </w:t>
      </w:r>
      <w:r w:rsidRPr="00291DF5">
        <w:t>energentima.</w:t>
      </w:r>
    </w:p>
    <w:p w14:paraId="23EE1C21" w14:textId="77777777" w:rsidR="00494D06" w:rsidRPr="00922031" w:rsidRDefault="00494D06" w:rsidP="00494D06">
      <w:pPr>
        <w:spacing w:after="0" w:line="240" w:lineRule="auto"/>
        <w:jc w:val="center"/>
        <w:rPr>
          <w:rFonts w:cstheme="minorHAnsi"/>
          <w:noProof/>
          <w:lang w:eastAsia="hr-HR"/>
        </w:rPr>
      </w:pPr>
      <w:r w:rsidRPr="00922031">
        <w:rPr>
          <w:rFonts w:cstheme="minorHAnsi"/>
          <w:noProof/>
          <w:lang w:eastAsia="hr-HR"/>
        </w:rPr>
        <w:drawing>
          <wp:inline distT="0" distB="0" distL="0" distR="0" wp14:anchorId="2D005FA1" wp14:editId="02615E16">
            <wp:extent cx="4410075" cy="2543175"/>
            <wp:effectExtent l="0" t="0" r="0" b="0"/>
            <wp:docPr id="15" name="Chart 15">
              <a:extLst xmlns:a="http://schemas.openxmlformats.org/drawingml/2006/main">
                <a:ext uri="{FF2B5EF4-FFF2-40B4-BE49-F238E27FC236}">
                  <a16:creationId xmlns:a16="http://schemas.microsoft.com/office/drawing/2014/main" id="{2BF57733-950C-455A-BE0F-5FA1DA872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B9DA4F" w14:textId="050E1DCA" w:rsidR="00494D06" w:rsidRPr="006D77A6" w:rsidRDefault="00494D06" w:rsidP="006D77A6">
      <w:pPr>
        <w:pStyle w:val="Heading6"/>
      </w:pPr>
      <w:bookmarkStart w:id="176" w:name="_Toc4156038"/>
      <w:r w:rsidRPr="00291DF5">
        <w:rPr>
          <w:rFonts w:eastAsia="Calibri"/>
        </w:rPr>
        <w:t xml:space="preserve">Slika </w:t>
      </w:r>
      <w:r w:rsidR="0019556A" w:rsidRPr="005808FC">
        <w:fldChar w:fldCharType="begin"/>
      </w:r>
      <w:r w:rsidR="0019556A">
        <w:rPr>
          <w:rFonts w:eastAsia="Calibri"/>
          <w:bCs/>
        </w:rPr>
        <w:instrText xml:space="preserve"> STYLEREF 1 \s </w:instrText>
      </w:r>
      <w:r w:rsidR="0019556A" w:rsidRPr="005808FC">
        <w:rPr>
          <w:rFonts w:eastAsia="Calibri"/>
          <w:bCs/>
        </w:rPr>
        <w:fldChar w:fldCharType="separate"/>
      </w:r>
      <w:r w:rsidR="0019556A" w:rsidRPr="005808FC">
        <w:rPr>
          <w:rFonts w:eastAsia="Calibri"/>
          <w:noProof/>
        </w:rPr>
        <w:t>5</w:t>
      </w:r>
      <w:r w:rsidR="0019556A" w:rsidRPr="005808FC">
        <w:fldChar w:fldCharType="end"/>
      </w:r>
      <w:r w:rsidR="0019556A" w:rsidRPr="00291DF5">
        <w:rPr>
          <w:rFonts w:eastAsia="Calibri"/>
        </w:rPr>
        <w:t>.</w:t>
      </w:r>
      <w:r w:rsidR="0019556A" w:rsidRPr="005808FC">
        <w:fldChar w:fldCharType="begin"/>
      </w:r>
      <w:r w:rsidR="0019556A">
        <w:rPr>
          <w:rFonts w:eastAsia="Calibri"/>
          <w:bCs/>
        </w:rPr>
        <w:instrText xml:space="preserve"> SEQ Slika \* ARABIC \s 1 </w:instrText>
      </w:r>
      <w:r w:rsidR="0019556A" w:rsidRPr="005808FC">
        <w:rPr>
          <w:rFonts w:eastAsia="Calibri"/>
          <w:bCs/>
        </w:rPr>
        <w:fldChar w:fldCharType="separate"/>
      </w:r>
      <w:r w:rsidR="0019556A" w:rsidRPr="005808FC">
        <w:rPr>
          <w:rFonts w:eastAsia="Calibri"/>
          <w:noProof/>
        </w:rPr>
        <w:t>8</w:t>
      </w:r>
      <w:r w:rsidR="0019556A" w:rsidRPr="005808FC">
        <w:fldChar w:fldCharType="end"/>
      </w:r>
      <w:r w:rsidRPr="006D77A6">
        <w:t xml:space="preserve"> </w:t>
      </w:r>
      <w:r w:rsidR="000509A0">
        <w:t xml:space="preserve">- </w:t>
      </w:r>
      <w:r w:rsidRPr="006D77A6">
        <w:t>Kontrolni inventar emisija CO</w:t>
      </w:r>
      <w:r w:rsidRPr="006D77A6">
        <w:rPr>
          <w:vertAlign w:val="subscript"/>
        </w:rPr>
        <w:t>2</w:t>
      </w:r>
      <w:r w:rsidRPr="006D77A6">
        <w:t xml:space="preserve"> po sektorima u 2015. godini</w:t>
      </w:r>
      <w:bookmarkEnd w:id="176"/>
    </w:p>
    <w:p w14:paraId="74F8C4A4" w14:textId="4D03FE16" w:rsidR="00494D06" w:rsidRPr="005808FC" w:rsidRDefault="00494D06" w:rsidP="005808FC">
      <w:pPr>
        <w:spacing w:line="240" w:lineRule="auto"/>
        <w:rPr>
          <w:rFonts w:eastAsia="Times New Roman"/>
          <w:b/>
          <w:bCs/>
          <w:color w:val="000000" w:themeColor="text1"/>
          <w:lang w:eastAsia="hr-HR"/>
        </w:rPr>
      </w:pPr>
      <w:r w:rsidRPr="00291DF5">
        <w:rPr>
          <w:lang w:eastAsia="hr-HR"/>
        </w:rPr>
        <w:t>Ukupna emisija Kontrolnog inventara iznosi 2 930 kt CO</w:t>
      </w:r>
      <w:r w:rsidRPr="005808FC">
        <w:rPr>
          <w:vertAlign w:val="subscript"/>
          <w:lang w:eastAsia="hr-HR"/>
        </w:rPr>
        <w:t>2</w:t>
      </w:r>
      <w:r w:rsidRPr="005808FC">
        <w:rPr>
          <w:lang w:eastAsia="hr-HR"/>
        </w:rPr>
        <w:t>. Najveći izvor emisije, kao</w:t>
      </w:r>
      <w:r w:rsidR="000509A0">
        <w:rPr>
          <w:lang w:eastAsia="hr-HR"/>
        </w:rPr>
        <w:t xml:space="preserve"> i </w:t>
      </w:r>
      <w:r w:rsidRPr="00291DF5">
        <w:rPr>
          <w:lang w:eastAsia="hr-HR"/>
        </w:rPr>
        <w:t>potrošnje energenata, je sektor zgradarstva s emisijom od</w:t>
      </w:r>
      <w:r w:rsidRPr="005808FC">
        <w:rPr>
          <w:b/>
          <w:bCs/>
          <w:color w:val="000000"/>
        </w:rPr>
        <w:t xml:space="preserve"> </w:t>
      </w:r>
      <w:r w:rsidRPr="005808FC">
        <w:rPr>
          <w:rFonts w:eastAsia="Times New Roman"/>
          <w:color w:val="000000"/>
          <w:lang w:eastAsia="hr-HR"/>
        </w:rPr>
        <w:t>1 802</w:t>
      </w:r>
      <w:r w:rsidRPr="005808FC">
        <w:rPr>
          <w:lang w:eastAsia="hr-HR"/>
        </w:rPr>
        <w:t xml:space="preserve"> kt CO</w:t>
      </w:r>
      <w:r w:rsidRPr="005808FC">
        <w:rPr>
          <w:vertAlign w:val="subscript"/>
          <w:lang w:eastAsia="hr-HR"/>
        </w:rPr>
        <w:t>2</w:t>
      </w:r>
      <w:r w:rsidRPr="005808FC">
        <w:rPr>
          <w:lang w:eastAsia="hr-HR"/>
        </w:rPr>
        <w:t>, a slijedi ga sektor prometa s emisijom od 1 101 kt CO</w:t>
      </w:r>
      <w:r w:rsidRPr="005808FC">
        <w:rPr>
          <w:vertAlign w:val="subscript"/>
          <w:lang w:eastAsia="hr-HR"/>
        </w:rPr>
        <w:t>2</w:t>
      </w:r>
      <w:r w:rsidRPr="005808FC">
        <w:rPr>
          <w:lang w:eastAsia="hr-HR"/>
        </w:rPr>
        <w:t xml:space="preserve">. </w:t>
      </w:r>
    </w:p>
    <w:p w14:paraId="069CAD69" w14:textId="77777777" w:rsidR="00494D06" w:rsidRPr="00922031" w:rsidRDefault="00494D06" w:rsidP="00494D06">
      <w:pPr>
        <w:spacing w:after="0" w:line="240" w:lineRule="auto"/>
        <w:jc w:val="center"/>
        <w:rPr>
          <w:rFonts w:cstheme="minorHAnsi"/>
          <w:noProof/>
          <w:lang w:eastAsia="hr-HR"/>
        </w:rPr>
      </w:pPr>
      <w:r w:rsidRPr="00922031">
        <w:rPr>
          <w:rFonts w:cstheme="minorHAnsi"/>
          <w:noProof/>
          <w:lang w:eastAsia="hr-HR"/>
        </w:rPr>
        <w:lastRenderedPageBreak/>
        <w:drawing>
          <wp:inline distT="0" distB="0" distL="0" distR="0" wp14:anchorId="6C63271D" wp14:editId="32E07B6D">
            <wp:extent cx="5836920" cy="3221665"/>
            <wp:effectExtent l="0" t="0" r="0" b="0"/>
            <wp:docPr id="29" name="Chart 29">
              <a:extLst xmlns:a="http://schemas.openxmlformats.org/drawingml/2006/main">
                <a:ext uri="{FF2B5EF4-FFF2-40B4-BE49-F238E27FC236}">
                  <a16:creationId xmlns:a16="http://schemas.microsoft.com/office/drawing/2014/main" id="{EB203FA0-F075-4382-9CE9-368FDBE4B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3B54E77" w14:textId="522F6CCB" w:rsidR="00494D06" w:rsidRPr="006D77A6" w:rsidRDefault="00494D06" w:rsidP="006D77A6">
      <w:pPr>
        <w:pStyle w:val="Heading6"/>
      </w:pPr>
      <w:bookmarkStart w:id="177" w:name="_Toc4156039"/>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5</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9</w:t>
      </w:r>
      <w:r w:rsidR="00CA6C6C" w:rsidRPr="005808FC">
        <w:fldChar w:fldCharType="end"/>
      </w:r>
      <w:r w:rsidRPr="006D77A6">
        <w:t xml:space="preserve"> </w:t>
      </w:r>
      <w:r w:rsidR="000509A0">
        <w:t xml:space="preserve">- </w:t>
      </w:r>
      <w:r w:rsidRPr="006D77A6">
        <w:t>Kontrolni inventar emisija CO2 po energentima u 2015. godini</w:t>
      </w:r>
      <w:bookmarkEnd w:id="177"/>
    </w:p>
    <w:p w14:paraId="1D900359" w14:textId="2D376AB5" w:rsidR="00494D06" w:rsidRPr="005808FC" w:rsidRDefault="00494D06" w:rsidP="005808FC">
      <w:pPr>
        <w:spacing w:line="240" w:lineRule="auto"/>
        <w:rPr>
          <w:rFonts w:eastAsia="Times New Roman"/>
          <w:b/>
          <w:bCs/>
          <w:color w:val="000000" w:themeColor="text1"/>
          <w:sz w:val="18"/>
          <w:szCs w:val="18"/>
          <w:lang w:eastAsia="hr-HR"/>
        </w:rPr>
      </w:pPr>
      <w:r w:rsidRPr="00291DF5">
        <w:rPr>
          <w:lang w:eastAsia="hr-HR"/>
        </w:rPr>
        <w:t>Emisija CO</w:t>
      </w:r>
      <w:r w:rsidRPr="005808FC">
        <w:rPr>
          <w:vertAlign w:val="subscript"/>
          <w:lang w:eastAsia="hr-HR"/>
        </w:rPr>
        <w:t>2</w:t>
      </w:r>
      <w:r w:rsidRPr="005808FC">
        <w:rPr>
          <w:lang w:eastAsia="hr-HR"/>
        </w:rPr>
        <w:t xml:space="preserve"> iz električne energije u 2015. godini iznosila je </w:t>
      </w:r>
      <w:r w:rsidRPr="005808FC">
        <w:rPr>
          <w:rFonts w:eastAsia="Times New Roman"/>
          <w:color w:val="000000"/>
          <w:lang w:eastAsia="hr-HR"/>
        </w:rPr>
        <w:t xml:space="preserve">711 </w:t>
      </w:r>
      <w:r w:rsidRPr="005808FC">
        <w:rPr>
          <w:lang w:eastAsia="hr-HR"/>
        </w:rPr>
        <w:t>kt CO</w:t>
      </w:r>
      <w:r w:rsidRPr="005808FC">
        <w:rPr>
          <w:vertAlign w:val="subscript"/>
          <w:lang w:eastAsia="hr-HR"/>
        </w:rPr>
        <w:t>2</w:t>
      </w:r>
      <w:r w:rsidRPr="005808FC">
        <w:rPr>
          <w:lang w:eastAsia="hr-HR"/>
        </w:rPr>
        <w:t>, što čini 24,26% ukupne emisije Kontrolnog inventara. Dominantni izvori emisija, uz električnu energiju su dizel, prirodni plin</w:t>
      </w:r>
      <w:r w:rsidR="000509A0">
        <w:rPr>
          <w:lang w:eastAsia="hr-HR"/>
        </w:rPr>
        <w:t xml:space="preserve"> i </w:t>
      </w:r>
      <w:r w:rsidRPr="00291DF5">
        <w:rPr>
          <w:lang w:eastAsia="hr-HR"/>
        </w:rPr>
        <w:t>toplana s emisijama od 671 kt CO</w:t>
      </w:r>
      <w:r w:rsidRPr="005808FC">
        <w:rPr>
          <w:vertAlign w:val="subscript"/>
          <w:lang w:eastAsia="hr-HR"/>
        </w:rPr>
        <w:t>2</w:t>
      </w:r>
      <w:r w:rsidRPr="005808FC">
        <w:rPr>
          <w:lang w:eastAsia="hr-HR"/>
        </w:rPr>
        <w:t>, 615 kt CO</w:t>
      </w:r>
      <w:r w:rsidRPr="005808FC">
        <w:rPr>
          <w:vertAlign w:val="subscript"/>
          <w:lang w:eastAsia="hr-HR"/>
        </w:rPr>
        <w:t>2</w:t>
      </w:r>
      <w:r w:rsidRPr="005808FC">
        <w:rPr>
          <w:lang w:eastAsia="hr-HR"/>
        </w:rPr>
        <w:t>, 444 kt CO</w:t>
      </w:r>
      <w:r w:rsidRPr="005808FC">
        <w:rPr>
          <w:vertAlign w:val="subscript"/>
          <w:lang w:eastAsia="hr-HR"/>
        </w:rPr>
        <w:t>2</w:t>
      </w:r>
      <w:r w:rsidRPr="005808FC">
        <w:rPr>
          <w:lang w:eastAsia="hr-HR"/>
        </w:rPr>
        <w:t>. Udio emisija navedenih energenata zajedno čini preko 80% ukupne emisije CO</w:t>
      </w:r>
      <w:r w:rsidRPr="005808FC">
        <w:rPr>
          <w:vertAlign w:val="subscript"/>
          <w:lang w:eastAsia="hr-HR"/>
        </w:rPr>
        <w:t>2</w:t>
      </w:r>
      <w:r w:rsidRPr="005808FC">
        <w:rPr>
          <w:lang w:eastAsia="hr-HR"/>
        </w:rPr>
        <w:t xml:space="preserve"> Grada Zagreba.</w:t>
      </w:r>
    </w:p>
    <w:p w14:paraId="38DD3830" w14:textId="77777777" w:rsidR="00494D06" w:rsidRPr="00922031" w:rsidRDefault="00494D06" w:rsidP="00494D06">
      <w:pPr>
        <w:spacing w:after="0" w:line="240" w:lineRule="auto"/>
        <w:jc w:val="center"/>
        <w:rPr>
          <w:rFonts w:cstheme="minorHAnsi"/>
          <w:noProof/>
          <w:lang w:eastAsia="hr-HR"/>
        </w:rPr>
      </w:pPr>
      <w:r w:rsidRPr="00922031">
        <w:rPr>
          <w:rFonts w:cstheme="minorHAnsi"/>
          <w:noProof/>
          <w:lang w:eastAsia="hr-HR"/>
        </w:rPr>
        <w:drawing>
          <wp:inline distT="0" distB="0" distL="0" distR="0" wp14:anchorId="68EBC0C3" wp14:editId="374EF393">
            <wp:extent cx="4095750" cy="2876550"/>
            <wp:effectExtent l="0" t="0" r="0" b="0"/>
            <wp:docPr id="31" name="Chart 3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9C14E86" w14:textId="42057DFE" w:rsidR="00494D06" w:rsidRPr="006D77A6" w:rsidRDefault="00494D06" w:rsidP="006D77A6">
      <w:pPr>
        <w:pStyle w:val="Heading6"/>
      </w:pPr>
      <w:bookmarkStart w:id="178" w:name="_Toc4156040"/>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5</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10</w:t>
      </w:r>
      <w:r w:rsidR="00CA6C6C" w:rsidRPr="005808FC">
        <w:fldChar w:fldCharType="end"/>
      </w:r>
      <w:r w:rsidRPr="006D77A6">
        <w:t xml:space="preserve"> </w:t>
      </w:r>
      <w:r w:rsidR="000509A0">
        <w:t xml:space="preserve">- </w:t>
      </w:r>
      <w:r w:rsidRPr="006D77A6">
        <w:t>Prikaz Kontrolnog inventara emisije CO</w:t>
      </w:r>
      <w:r w:rsidRPr="006D77A6">
        <w:rPr>
          <w:vertAlign w:val="subscript"/>
        </w:rPr>
        <w:t>2</w:t>
      </w:r>
      <w:r w:rsidRPr="006D77A6">
        <w:t xml:space="preserve"> po sektorima</w:t>
      </w:r>
      <w:r w:rsidR="000509A0">
        <w:t xml:space="preserve"> i </w:t>
      </w:r>
      <w:r w:rsidRPr="006D77A6">
        <w:t>energentima u 2015. godini</w:t>
      </w:r>
      <w:bookmarkEnd w:id="178"/>
    </w:p>
    <w:p w14:paraId="27EE304A" w14:textId="2F970BB8" w:rsidR="00494D06" w:rsidRPr="005808FC" w:rsidRDefault="00494D06" w:rsidP="005808FC">
      <w:pPr>
        <w:spacing w:after="0" w:line="240" w:lineRule="auto"/>
        <w:rPr>
          <w:lang w:eastAsia="hr-HR"/>
        </w:rPr>
      </w:pPr>
      <w:r w:rsidRPr="00291DF5">
        <w:rPr>
          <w:lang w:eastAsia="hr-HR"/>
        </w:rPr>
        <w:t>Najveći udio 61,49% u ukupno Kontrolnom inventaru emisija CO</w:t>
      </w:r>
      <w:r w:rsidRPr="005808FC">
        <w:rPr>
          <w:vertAlign w:val="subscript"/>
          <w:lang w:eastAsia="hr-HR"/>
        </w:rPr>
        <w:t xml:space="preserve">2 </w:t>
      </w:r>
      <w:r w:rsidRPr="005808FC">
        <w:rPr>
          <w:lang w:eastAsia="hr-HR"/>
        </w:rPr>
        <w:t>ima sektor zgradarstva, nakon kojeg slijedi sektor prometa s 37,57%. Emisije električne energije (661 kt CO</w:t>
      </w:r>
      <w:r w:rsidRPr="005808FC">
        <w:rPr>
          <w:vertAlign w:val="subscript"/>
          <w:lang w:eastAsia="hr-HR"/>
        </w:rPr>
        <w:t>2</w:t>
      </w:r>
      <w:r w:rsidRPr="005808FC">
        <w:rPr>
          <w:lang w:eastAsia="hr-HR"/>
        </w:rPr>
        <w:t>)</w:t>
      </w:r>
      <w:r w:rsidR="000509A0">
        <w:rPr>
          <w:lang w:eastAsia="hr-HR"/>
        </w:rPr>
        <w:t xml:space="preserve"> i </w:t>
      </w:r>
      <w:r w:rsidRPr="00291DF5">
        <w:rPr>
          <w:lang w:eastAsia="hr-HR"/>
        </w:rPr>
        <w:t>prirodnog plina (614 kt CO</w:t>
      </w:r>
      <w:r w:rsidRPr="005808FC">
        <w:rPr>
          <w:vertAlign w:val="subscript"/>
          <w:lang w:eastAsia="hr-HR"/>
        </w:rPr>
        <w:t>2</w:t>
      </w:r>
      <w:r w:rsidRPr="005808FC">
        <w:rPr>
          <w:lang w:eastAsia="hr-HR"/>
        </w:rPr>
        <w:t>) su najzastupljenije u sektoru zgradarstva dok su u sektoru prometa najveće emisije nastale potrošnjom dizela (671 kt CO</w:t>
      </w:r>
      <w:r w:rsidRPr="005808FC">
        <w:rPr>
          <w:vertAlign w:val="subscript"/>
          <w:lang w:eastAsia="hr-HR"/>
        </w:rPr>
        <w:t>2</w:t>
      </w:r>
      <w:r w:rsidRPr="005808FC">
        <w:rPr>
          <w:lang w:eastAsia="hr-HR"/>
        </w:rPr>
        <w:t>)</w:t>
      </w:r>
      <w:r w:rsidR="000509A0">
        <w:rPr>
          <w:lang w:eastAsia="hr-HR"/>
        </w:rPr>
        <w:t xml:space="preserve"> i </w:t>
      </w:r>
      <w:r w:rsidRPr="00291DF5">
        <w:rPr>
          <w:lang w:eastAsia="hr-HR"/>
        </w:rPr>
        <w:t>benzina (372 kt CO</w:t>
      </w:r>
      <w:r w:rsidRPr="005808FC">
        <w:rPr>
          <w:vertAlign w:val="subscript"/>
          <w:lang w:eastAsia="hr-HR"/>
        </w:rPr>
        <w:t>2</w:t>
      </w:r>
      <w:r w:rsidRPr="005808FC">
        <w:rPr>
          <w:lang w:eastAsia="hr-HR"/>
        </w:rPr>
        <w:t>).</w:t>
      </w:r>
      <w:r w:rsidRPr="005808FC">
        <w:rPr>
          <w:lang w:eastAsia="hr-HR"/>
        </w:rPr>
        <w:br w:type="page"/>
      </w:r>
    </w:p>
    <w:p w14:paraId="4EADEC53" w14:textId="50A96C0F" w:rsidR="00B06268" w:rsidRPr="00922031" w:rsidRDefault="00B06268" w:rsidP="00C43F08">
      <w:pPr>
        <w:pStyle w:val="Heading1"/>
      </w:pPr>
      <w:bookmarkStart w:id="179" w:name="_Toc4156093"/>
      <w:bookmarkEnd w:id="111"/>
      <w:bookmarkEnd w:id="112"/>
      <w:r w:rsidRPr="00922031">
        <w:lastRenderedPageBreak/>
        <w:t xml:space="preserve">Usporedba </w:t>
      </w:r>
      <w:r w:rsidR="007D5E3F">
        <w:t>Referentnog</w:t>
      </w:r>
      <w:r w:rsidR="000509A0">
        <w:t xml:space="preserve"> i </w:t>
      </w:r>
      <w:r w:rsidR="007D5E3F">
        <w:t>Kontrolnog inventara</w:t>
      </w:r>
      <w:bookmarkEnd w:id="179"/>
    </w:p>
    <w:p w14:paraId="01500FF6" w14:textId="77777777" w:rsidR="0037035E" w:rsidRPr="00922031" w:rsidRDefault="0037035E" w:rsidP="00975CD4">
      <w:pPr>
        <w:pStyle w:val="NoSpacing"/>
        <w:spacing w:line="276" w:lineRule="auto"/>
        <w:rPr>
          <w:rFonts w:asciiTheme="minorHAnsi" w:hAnsiTheme="minorHAnsi" w:cstheme="minorHAnsi"/>
          <w:b/>
          <w:color w:val="FF0000"/>
          <w:lang w:eastAsia="hr-HR"/>
        </w:rPr>
      </w:pPr>
    </w:p>
    <w:p w14:paraId="778101BE" w14:textId="0EA3499A" w:rsidR="009245B1" w:rsidRPr="005808FC" w:rsidRDefault="009245B1">
      <w:pPr>
        <w:rPr>
          <w:rFonts w:eastAsia="Calibri"/>
        </w:rPr>
      </w:pPr>
      <w:r w:rsidRPr="00291DF5">
        <w:rPr>
          <w:rFonts w:eastAsia="Calibri"/>
        </w:rPr>
        <w:t xml:space="preserve">U </w:t>
      </w:r>
      <w:r w:rsidRPr="005808FC">
        <w:fldChar w:fldCharType="begin"/>
      </w:r>
      <w:r w:rsidRPr="00256FE9">
        <w:rPr>
          <w:rFonts w:eastAsia="Calibri" w:cstheme="minorHAnsi"/>
        </w:rPr>
        <w:instrText xml:space="preserve"> REF _Ref466987118 \h  \* MERGEFORMAT </w:instrText>
      </w:r>
      <w:r w:rsidRPr="005808FC">
        <w:rPr>
          <w:rFonts w:eastAsia="Calibri" w:cstheme="minorHAnsi"/>
        </w:rPr>
        <w:fldChar w:fldCharType="separate"/>
      </w:r>
      <w:r w:rsidRPr="005808FC">
        <w:rPr>
          <w:rFonts w:eastAsia="Calibri"/>
        </w:rPr>
        <w:t xml:space="preserve">Tablici </w:t>
      </w:r>
      <w:r w:rsidR="00256FE9" w:rsidRPr="005808FC">
        <w:rPr>
          <w:rFonts w:eastAsia="Calibri"/>
        </w:rPr>
        <w:t>6</w:t>
      </w:r>
      <w:r w:rsidRPr="005808FC">
        <w:rPr>
          <w:rFonts w:eastAsia="Calibri"/>
          <w:noProof/>
        </w:rPr>
        <w:t>.1</w:t>
      </w:r>
      <w:r w:rsidRPr="005808FC">
        <w:fldChar w:fldCharType="end"/>
      </w:r>
      <w:r w:rsidRPr="00291DF5">
        <w:rPr>
          <w:rFonts w:eastAsia="Calibri"/>
        </w:rPr>
        <w:t xml:space="preserve"> prikazan je Referentni inventar emisije CO</w:t>
      </w:r>
      <w:r w:rsidRPr="005808FC">
        <w:rPr>
          <w:rFonts w:eastAsia="Calibri"/>
          <w:vertAlign w:val="subscript"/>
        </w:rPr>
        <w:t xml:space="preserve">2 </w:t>
      </w:r>
      <w:r w:rsidRPr="005808FC">
        <w:rPr>
          <w:rFonts w:eastAsia="Calibri"/>
        </w:rPr>
        <w:t>po sektorima</w:t>
      </w:r>
      <w:r w:rsidR="000509A0">
        <w:rPr>
          <w:rFonts w:eastAsia="Calibri"/>
        </w:rPr>
        <w:t xml:space="preserve"> i </w:t>
      </w:r>
      <w:r w:rsidRPr="00291DF5">
        <w:rPr>
          <w:rFonts w:eastAsia="Calibri"/>
        </w:rPr>
        <w:t xml:space="preserve">energentima u 2008. godini, dok je u </w:t>
      </w:r>
      <w:r w:rsidRPr="005808FC">
        <w:fldChar w:fldCharType="begin"/>
      </w:r>
      <w:r w:rsidRPr="00256FE9">
        <w:rPr>
          <w:rFonts w:eastAsia="Calibri" w:cstheme="minorHAnsi"/>
        </w:rPr>
        <w:instrText xml:space="preserve"> REF _Ref468029744 \h  \* MERGEFORMAT </w:instrText>
      </w:r>
      <w:r w:rsidRPr="005808FC">
        <w:rPr>
          <w:rFonts w:eastAsia="Calibri" w:cstheme="minorHAnsi"/>
        </w:rPr>
        <w:fldChar w:fldCharType="separate"/>
      </w:r>
      <w:r w:rsidRPr="005808FC">
        <w:rPr>
          <w:rFonts w:eastAsia="Calibri"/>
        </w:rPr>
        <w:t xml:space="preserve">Tablici </w:t>
      </w:r>
      <w:r w:rsidR="00256FE9" w:rsidRPr="005808FC">
        <w:rPr>
          <w:rFonts w:eastAsia="Calibri"/>
          <w:noProof/>
        </w:rPr>
        <w:t>6</w:t>
      </w:r>
      <w:r w:rsidRPr="005808FC">
        <w:rPr>
          <w:rFonts w:eastAsia="Calibri"/>
          <w:noProof/>
        </w:rPr>
        <w:t>.2</w:t>
      </w:r>
      <w:r w:rsidRPr="005808FC">
        <w:fldChar w:fldCharType="end"/>
      </w:r>
      <w:r w:rsidRPr="00291DF5">
        <w:rPr>
          <w:rFonts w:eastAsia="Calibri"/>
        </w:rPr>
        <w:t xml:space="preserve"> prikazan Kontrolni inventar emisije CO</w:t>
      </w:r>
      <w:r w:rsidRPr="005808FC">
        <w:rPr>
          <w:rFonts w:eastAsia="Calibri"/>
          <w:vertAlign w:val="subscript"/>
        </w:rPr>
        <w:t>2</w:t>
      </w:r>
      <w:r w:rsidRPr="005808FC">
        <w:rPr>
          <w:rFonts w:eastAsia="Calibri"/>
        </w:rPr>
        <w:t xml:space="preserve">. </w:t>
      </w:r>
    </w:p>
    <w:p w14:paraId="2B2CCAC4" w14:textId="36C7233C" w:rsidR="009245B1" w:rsidRPr="005808FC" w:rsidRDefault="00244D74">
      <w:pPr>
        <w:pStyle w:val="Caption"/>
        <w:rPr>
          <w:rFonts w:eastAsia="Calibri" w:cstheme="minorBidi"/>
          <w:lang w:val="it-IT"/>
        </w:rPr>
      </w:pPr>
      <w:bookmarkStart w:id="180" w:name="_Toc468277519"/>
      <w:bookmarkStart w:id="181" w:name="_Toc4156012"/>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6</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1</w:t>
      </w:r>
      <w:r w:rsidR="0019556A">
        <w:fldChar w:fldCharType="end"/>
      </w:r>
      <w:r w:rsidRPr="005808FC">
        <w:rPr>
          <w:rFonts w:eastAsia="Calibri" w:cstheme="minorBidi"/>
          <w:b/>
          <w:bCs/>
          <w:lang w:val="it-IT"/>
        </w:rPr>
        <w:t xml:space="preserve"> </w:t>
      </w:r>
      <w:r w:rsidRPr="00693B4B">
        <w:rPr>
          <w:rFonts w:eastAsia="Calibri" w:cstheme="minorBidi"/>
          <w:bCs/>
          <w:i w:val="0"/>
          <w:lang w:val="it-IT"/>
        </w:rPr>
        <w:t>-</w:t>
      </w:r>
      <w:r w:rsidR="00F24F4B">
        <w:rPr>
          <w:rFonts w:eastAsia="Calibri" w:cstheme="minorBidi"/>
          <w:b/>
          <w:bCs/>
          <w:lang w:val="it-IT"/>
        </w:rPr>
        <w:t xml:space="preserve"> </w:t>
      </w:r>
      <w:r w:rsidR="009245B1" w:rsidRPr="005808FC">
        <w:rPr>
          <w:rFonts w:eastAsia="Calibri" w:cstheme="minorBidi"/>
          <w:lang w:val="it-IT"/>
        </w:rPr>
        <w:t>Referentni inventar</w:t>
      </w:r>
      <w:r w:rsidR="009245B1" w:rsidRPr="005808FC">
        <w:rPr>
          <w:rFonts w:eastAsia="Calibri" w:cstheme="minorBidi"/>
          <w:b/>
          <w:bCs/>
          <w:lang w:val="it-IT"/>
        </w:rPr>
        <w:t xml:space="preserve"> </w:t>
      </w:r>
      <w:r w:rsidR="009245B1" w:rsidRPr="005808FC">
        <w:rPr>
          <w:rFonts w:eastAsia="Calibri" w:cstheme="minorBidi"/>
          <w:lang w:val="it-IT"/>
        </w:rPr>
        <w:t>emisija CO</w:t>
      </w:r>
      <w:r w:rsidR="009245B1" w:rsidRPr="005808FC">
        <w:rPr>
          <w:rFonts w:eastAsia="Calibri" w:cstheme="minorBidi"/>
          <w:vertAlign w:val="subscript"/>
          <w:lang w:val="it-IT"/>
        </w:rPr>
        <w:t>2</w:t>
      </w:r>
      <w:r w:rsidR="009245B1" w:rsidRPr="005808FC">
        <w:rPr>
          <w:rFonts w:eastAsia="Calibri" w:cstheme="minorBidi"/>
          <w:lang w:val="it-IT"/>
        </w:rPr>
        <w:t xml:space="preserve"> po sektorima</w:t>
      </w:r>
      <w:r w:rsidR="000509A0">
        <w:rPr>
          <w:rFonts w:eastAsia="Calibri" w:cstheme="minorBidi"/>
          <w:lang w:val="it-IT"/>
        </w:rPr>
        <w:t xml:space="preserve"> i </w:t>
      </w:r>
      <w:r w:rsidR="009245B1" w:rsidRPr="005808FC">
        <w:rPr>
          <w:rFonts w:eastAsia="Calibri" w:cstheme="minorBidi"/>
          <w:lang w:val="it-IT"/>
        </w:rPr>
        <w:t>energentima, 2008. godina</w:t>
      </w:r>
      <w:bookmarkEnd w:id="180"/>
      <w:bookmarkEnd w:id="181"/>
      <w:r w:rsidR="009245B1" w:rsidRPr="005808FC">
        <w:rPr>
          <w:rFonts w:eastAsia="Calibri" w:cstheme="minorBidi"/>
          <w:lang w:val="it-IT"/>
        </w:rPr>
        <w:t xml:space="preserve"> </w:t>
      </w:r>
    </w:p>
    <w:tbl>
      <w:tblPr>
        <w:tblW w:w="9070" w:type="dxa"/>
        <w:tblInd w:w="-5" w:type="dxa"/>
        <w:tblLook w:val="04A0" w:firstRow="1" w:lastRow="0" w:firstColumn="1" w:lastColumn="0" w:noHBand="0" w:noVBand="1"/>
      </w:tblPr>
      <w:tblGrid>
        <w:gridCol w:w="2450"/>
        <w:gridCol w:w="1318"/>
        <w:gridCol w:w="1217"/>
        <w:gridCol w:w="1312"/>
        <w:gridCol w:w="1494"/>
        <w:gridCol w:w="1279"/>
      </w:tblGrid>
      <w:tr w:rsidR="009245B1" w:rsidRPr="00922031" w14:paraId="442DD18F" w14:textId="77777777" w:rsidTr="005808FC">
        <w:trPr>
          <w:trHeight w:val="285"/>
        </w:trPr>
        <w:tc>
          <w:tcPr>
            <w:tcW w:w="245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06B8011"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Energent</w:t>
            </w:r>
          </w:p>
        </w:tc>
        <w:tc>
          <w:tcPr>
            <w:tcW w:w="5341"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71CF539"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Emisija t CO</w:t>
            </w:r>
            <w:r w:rsidRPr="005808FC">
              <w:rPr>
                <w:rFonts w:eastAsia="Times New Roman"/>
                <w:b/>
                <w:bCs/>
                <w:color w:val="000000"/>
                <w:sz w:val="20"/>
                <w:szCs w:val="20"/>
                <w:vertAlign w:val="subscript"/>
                <w:lang w:eastAsia="hr-HR"/>
              </w:rPr>
              <w:t>2</w:t>
            </w:r>
          </w:p>
        </w:tc>
        <w:tc>
          <w:tcPr>
            <w:tcW w:w="127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CF87F05"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w:t>
            </w:r>
          </w:p>
        </w:tc>
      </w:tr>
      <w:tr w:rsidR="009245B1" w:rsidRPr="00922031" w14:paraId="18FDF4BC" w14:textId="77777777" w:rsidTr="005808FC">
        <w:trPr>
          <w:trHeight w:val="232"/>
        </w:trPr>
        <w:tc>
          <w:tcPr>
            <w:tcW w:w="245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CD469F" w14:textId="77777777" w:rsidR="009245B1" w:rsidRPr="00D653DF" w:rsidRDefault="009245B1" w:rsidP="00975CD4">
            <w:pPr>
              <w:spacing w:after="0"/>
              <w:rPr>
                <w:rFonts w:eastAsia="Times New Roman" w:cstheme="minorHAnsi"/>
                <w:b/>
                <w:bCs/>
                <w:color w:val="000000"/>
                <w:sz w:val="20"/>
                <w:szCs w:val="20"/>
                <w:lang w:eastAsia="hr-HR"/>
              </w:rPr>
            </w:pPr>
          </w:p>
        </w:tc>
        <w:tc>
          <w:tcPr>
            <w:tcW w:w="1318" w:type="dxa"/>
            <w:tcBorders>
              <w:top w:val="nil"/>
              <w:left w:val="nil"/>
              <w:bottom w:val="single" w:sz="4" w:space="0" w:color="auto"/>
              <w:right w:val="single" w:sz="4" w:space="0" w:color="auto"/>
            </w:tcBorders>
            <w:shd w:val="clear" w:color="auto" w:fill="C6D9F1" w:themeFill="text2" w:themeFillTint="33"/>
            <w:vAlign w:val="center"/>
            <w:hideMark/>
          </w:tcPr>
          <w:p w14:paraId="5A1B1C46"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Promet</w:t>
            </w:r>
          </w:p>
        </w:tc>
        <w:tc>
          <w:tcPr>
            <w:tcW w:w="1217" w:type="dxa"/>
            <w:tcBorders>
              <w:top w:val="nil"/>
              <w:left w:val="nil"/>
              <w:bottom w:val="single" w:sz="4" w:space="0" w:color="auto"/>
              <w:right w:val="single" w:sz="4" w:space="0" w:color="auto"/>
            </w:tcBorders>
            <w:shd w:val="clear" w:color="auto" w:fill="C6D9F1" w:themeFill="text2" w:themeFillTint="33"/>
            <w:vAlign w:val="center"/>
            <w:hideMark/>
          </w:tcPr>
          <w:p w14:paraId="5D189374"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 xml:space="preserve">Javna </w:t>
            </w:r>
            <w:r w:rsidRPr="005808FC">
              <w:rPr>
                <w:rFonts w:eastAsia="Times New Roman"/>
                <w:b/>
                <w:bCs/>
                <w:color w:val="000000"/>
                <w:sz w:val="20"/>
                <w:szCs w:val="20"/>
                <w:lang w:eastAsia="hr-HR"/>
              </w:rPr>
              <w:t>rasvjeta</w:t>
            </w:r>
          </w:p>
        </w:tc>
        <w:tc>
          <w:tcPr>
            <w:tcW w:w="1312" w:type="dxa"/>
            <w:tcBorders>
              <w:top w:val="nil"/>
              <w:left w:val="nil"/>
              <w:bottom w:val="single" w:sz="4" w:space="0" w:color="auto"/>
              <w:right w:val="single" w:sz="4" w:space="0" w:color="auto"/>
            </w:tcBorders>
            <w:shd w:val="clear" w:color="auto" w:fill="C6D9F1" w:themeFill="text2" w:themeFillTint="33"/>
            <w:noWrap/>
            <w:vAlign w:val="center"/>
            <w:hideMark/>
          </w:tcPr>
          <w:p w14:paraId="12DDA3CF" w14:textId="77777777" w:rsidR="009245B1" w:rsidRPr="005808FC" w:rsidRDefault="009245B1" w:rsidP="005808FC">
            <w:pPr>
              <w:spacing w:after="0"/>
              <w:rPr>
                <w:rFonts w:eastAsia="Times New Roman"/>
                <w:b/>
                <w:bCs/>
                <w:color w:val="000000" w:themeColor="text1"/>
                <w:sz w:val="20"/>
                <w:szCs w:val="20"/>
                <w:lang w:eastAsia="hr-HR"/>
              </w:rPr>
            </w:pPr>
            <w:r w:rsidRPr="00291DF5">
              <w:rPr>
                <w:rFonts w:eastAsia="Times New Roman"/>
                <w:b/>
                <w:bCs/>
                <w:color w:val="000000"/>
                <w:sz w:val="20"/>
                <w:szCs w:val="20"/>
                <w:lang w:eastAsia="hr-HR"/>
              </w:rPr>
              <w:t>Zgradarstvo</w:t>
            </w:r>
          </w:p>
        </w:tc>
        <w:tc>
          <w:tcPr>
            <w:tcW w:w="1494" w:type="dxa"/>
            <w:tcBorders>
              <w:top w:val="nil"/>
              <w:left w:val="nil"/>
              <w:bottom w:val="single" w:sz="4" w:space="0" w:color="auto"/>
              <w:right w:val="single" w:sz="4" w:space="0" w:color="auto"/>
            </w:tcBorders>
            <w:shd w:val="clear" w:color="auto" w:fill="C6D9F1" w:themeFill="text2" w:themeFillTint="33"/>
            <w:vAlign w:val="center"/>
            <w:hideMark/>
          </w:tcPr>
          <w:p w14:paraId="5BE1E76E"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Ukupno po energentima</w:t>
            </w:r>
          </w:p>
        </w:tc>
        <w:tc>
          <w:tcPr>
            <w:tcW w:w="1279" w:type="dxa"/>
            <w:tcBorders>
              <w:top w:val="nil"/>
              <w:left w:val="nil"/>
              <w:bottom w:val="single" w:sz="4" w:space="0" w:color="auto"/>
              <w:right w:val="single" w:sz="4" w:space="0" w:color="auto"/>
            </w:tcBorders>
            <w:shd w:val="clear" w:color="auto" w:fill="C6D9F1" w:themeFill="text2" w:themeFillTint="33"/>
            <w:vAlign w:val="center"/>
            <w:hideMark/>
          </w:tcPr>
          <w:p w14:paraId="04785FC0"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Udio po energentima</w:t>
            </w:r>
          </w:p>
        </w:tc>
      </w:tr>
      <w:tr w:rsidR="009245B1" w:rsidRPr="00922031" w14:paraId="5C7C37DA"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61A29BAC"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Dizel</w:t>
            </w:r>
          </w:p>
        </w:tc>
        <w:tc>
          <w:tcPr>
            <w:tcW w:w="1318" w:type="dxa"/>
            <w:tcBorders>
              <w:top w:val="nil"/>
              <w:left w:val="nil"/>
              <w:bottom w:val="single" w:sz="4" w:space="0" w:color="auto"/>
              <w:right w:val="single" w:sz="4" w:space="0" w:color="auto"/>
            </w:tcBorders>
            <w:shd w:val="clear" w:color="auto" w:fill="auto"/>
            <w:noWrap/>
            <w:vAlign w:val="center"/>
            <w:hideMark/>
          </w:tcPr>
          <w:p w14:paraId="363B0B5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558 037,30</w:t>
            </w:r>
          </w:p>
        </w:tc>
        <w:tc>
          <w:tcPr>
            <w:tcW w:w="1217" w:type="dxa"/>
            <w:tcBorders>
              <w:top w:val="nil"/>
              <w:left w:val="nil"/>
              <w:bottom w:val="single" w:sz="4" w:space="0" w:color="auto"/>
              <w:right w:val="single" w:sz="4" w:space="0" w:color="auto"/>
            </w:tcBorders>
            <w:shd w:val="clear" w:color="auto" w:fill="auto"/>
            <w:noWrap/>
            <w:vAlign w:val="center"/>
            <w:hideMark/>
          </w:tcPr>
          <w:p w14:paraId="122F247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312" w:type="dxa"/>
            <w:tcBorders>
              <w:top w:val="nil"/>
              <w:left w:val="nil"/>
              <w:bottom w:val="single" w:sz="4" w:space="0" w:color="auto"/>
              <w:right w:val="single" w:sz="4" w:space="0" w:color="auto"/>
            </w:tcBorders>
            <w:shd w:val="clear" w:color="auto" w:fill="auto"/>
            <w:noWrap/>
            <w:vAlign w:val="center"/>
            <w:hideMark/>
          </w:tcPr>
          <w:p w14:paraId="35966F2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auto" w:fill="auto"/>
            <w:noWrap/>
            <w:vAlign w:val="center"/>
            <w:hideMark/>
          </w:tcPr>
          <w:p w14:paraId="6732EC0E"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558 037,30</w:t>
            </w:r>
          </w:p>
        </w:tc>
        <w:tc>
          <w:tcPr>
            <w:tcW w:w="1279" w:type="dxa"/>
            <w:tcBorders>
              <w:top w:val="nil"/>
              <w:left w:val="nil"/>
              <w:bottom w:val="single" w:sz="4" w:space="0" w:color="auto"/>
              <w:right w:val="single" w:sz="4" w:space="0" w:color="auto"/>
            </w:tcBorders>
            <w:shd w:val="clear" w:color="auto" w:fill="auto"/>
            <w:vAlign w:val="center"/>
            <w:hideMark/>
          </w:tcPr>
          <w:p w14:paraId="2796BA7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19,97%</w:t>
            </w:r>
          </w:p>
        </w:tc>
      </w:tr>
      <w:tr w:rsidR="009245B1" w:rsidRPr="00922031" w14:paraId="22ADFC58"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2477911F"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Motorni benzin</w:t>
            </w:r>
          </w:p>
        </w:tc>
        <w:tc>
          <w:tcPr>
            <w:tcW w:w="1318" w:type="dxa"/>
            <w:tcBorders>
              <w:top w:val="nil"/>
              <w:left w:val="nil"/>
              <w:bottom w:val="single" w:sz="4" w:space="0" w:color="auto"/>
              <w:right w:val="single" w:sz="4" w:space="0" w:color="auto"/>
            </w:tcBorders>
            <w:shd w:val="clear" w:color="auto" w:fill="auto"/>
            <w:noWrap/>
            <w:vAlign w:val="center"/>
            <w:hideMark/>
          </w:tcPr>
          <w:p w14:paraId="1A070D7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417 817,80</w:t>
            </w:r>
          </w:p>
        </w:tc>
        <w:tc>
          <w:tcPr>
            <w:tcW w:w="1217" w:type="dxa"/>
            <w:tcBorders>
              <w:top w:val="nil"/>
              <w:left w:val="nil"/>
              <w:bottom w:val="single" w:sz="4" w:space="0" w:color="auto"/>
              <w:right w:val="single" w:sz="4" w:space="0" w:color="auto"/>
            </w:tcBorders>
            <w:shd w:val="clear" w:color="auto" w:fill="auto"/>
            <w:noWrap/>
            <w:vAlign w:val="center"/>
            <w:hideMark/>
          </w:tcPr>
          <w:p w14:paraId="1B9C0804"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312" w:type="dxa"/>
            <w:tcBorders>
              <w:top w:val="nil"/>
              <w:left w:val="nil"/>
              <w:bottom w:val="single" w:sz="4" w:space="0" w:color="auto"/>
              <w:right w:val="single" w:sz="4" w:space="0" w:color="auto"/>
            </w:tcBorders>
            <w:shd w:val="clear" w:color="auto" w:fill="auto"/>
            <w:noWrap/>
            <w:vAlign w:val="center"/>
            <w:hideMark/>
          </w:tcPr>
          <w:p w14:paraId="4BEC320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494" w:type="dxa"/>
            <w:tcBorders>
              <w:top w:val="nil"/>
              <w:left w:val="nil"/>
              <w:bottom w:val="single" w:sz="4" w:space="0" w:color="auto"/>
              <w:right w:val="single" w:sz="4" w:space="0" w:color="auto"/>
            </w:tcBorders>
            <w:shd w:val="clear" w:color="auto" w:fill="auto"/>
            <w:noWrap/>
            <w:vAlign w:val="center"/>
            <w:hideMark/>
          </w:tcPr>
          <w:p w14:paraId="3F47452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417 817,80</w:t>
            </w:r>
          </w:p>
        </w:tc>
        <w:tc>
          <w:tcPr>
            <w:tcW w:w="1279" w:type="dxa"/>
            <w:tcBorders>
              <w:top w:val="nil"/>
              <w:left w:val="nil"/>
              <w:bottom w:val="single" w:sz="4" w:space="0" w:color="auto"/>
              <w:right w:val="single" w:sz="4" w:space="0" w:color="auto"/>
            </w:tcBorders>
            <w:shd w:val="clear" w:color="auto" w:fill="auto"/>
            <w:vAlign w:val="center"/>
            <w:hideMark/>
          </w:tcPr>
          <w:p w14:paraId="2C35B00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14,96%</w:t>
            </w:r>
          </w:p>
        </w:tc>
      </w:tr>
      <w:tr w:rsidR="009245B1" w:rsidRPr="00922031" w14:paraId="53D8FBB2"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07B6779E"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LPG</w:t>
            </w:r>
          </w:p>
        </w:tc>
        <w:tc>
          <w:tcPr>
            <w:tcW w:w="1318" w:type="dxa"/>
            <w:tcBorders>
              <w:top w:val="nil"/>
              <w:left w:val="nil"/>
              <w:bottom w:val="single" w:sz="4" w:space="0" w:color="auto"/>
              <w:right w:val="single" w:sz="4" w:space="0" w:color="auto"/>
            </w:tcBorders>
            <w:shd w:val="clear" w:color="auto" w:fill="auto"/>
            <w:noWrap/>
            <w:vAlign w:val="center"/>
            <w:hideMark/>
          </w:tcPr>
          <w:p w14:paraId="7E178BF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6 688,70</w:t>
            </w:r>
          </w:p>
        </w:tc>
        <w:tc>
          <w:tcPr>
            <w:tcW w:w="1217" w:type="dxa"/>
            <w:tcBorders>
              <w:top w:val="nil"/>
              <w:left w:val="nil"/>
              <w:bottom w:val="single" w:sz="4" w:space="0" w:color="auto"/>
              <w:right w:val="single" w:sz="4" w:space="0" w:color="auto"/>
            </w:tcBorders>
            <w:shd w:val="clear" w:color="auto" w:fill="auto"/>
            <w:noWrap/>
            <w:vAlign w:val="center"/>
            <w:hideMark/>
          </w:tcPr>
          <w:p w14:paraId="68624D7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312" w:type="dxa"/>
            <w:tcBorders>
              <w:top w:val="nil"/>
              <w:left w:val="nil"/>
              <w:bottom w:val="single" w:sz="4" w:space="0" w:color="auto"/>
              <w:right w:val="single" w:sz="4" w:space="0" w:color="auto"/>
            </w:tcBorders>
            <w:shd w:val="clear" w:color="auto" w:fill="auto"/>
            <w:noWrap/>
            <w:vAlign w:val="center"/>
            <w:hideMark/>
          </w:tcPr>
          <w:p w14:paraId="1E429F1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58,80</w:t>
            </w:r>
          </w:p>
        </w:tc>
        <w:tc>
          <w:tcPr>
            <w:tcW w:w="1494" w:type="dxa"/>
            <w:tcBorders>
              <w:top w:val="nil"/>
              <w:left w:val="nil"/>
              <w:bottom w:val="single" w:sz="4" w:space="0" w:color="auto"/>
              <w:right w:val="single" w:sz="4" w:space="0" w:color="auto"/>
            </w:tcBorders>
            <w:shd w:val="clear" w:color="auto" w:fill="auto"/>
            <w:noWrap/>
            <w:vAlign w:val="center"/>
            <w:hideMark/>
          </w:tcPr>
          <w:p w14:paraId="7CDD9BB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6 747,50</w:t>
            </w:r>
          </w:p>
        </w:tc>
        <w:tc>
          <w:tcPr>
            <w:tcW w:w="1279" w:type="dxa"/>
            <w:tcBorders>
              <w:top w:val="nil"/>
              <w:left w:val="nil"/>
              <w:bottom w:val="single" w:sz="4" w:space="0" w:color="auto"/>
              <w:right w:val="single" w:sz="4" w:space="0" w:color="auto"/>
            </w:tcBorders>
            <w:shd w:val="clear" w:color="auto" w:fill="auto"/>
            <w:vAlign w:val="center"/>
            <w:hideMark/>
          </w:tcPr>
          <w:p w14:paraId="5CAC2A20"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0,24%</w:t>
            </w:r>
          </w:p>
        </w:tc>
      </w:tr>
      <w:tr w:rsidR="009245B1" w:rsidRPr="00922031" w14:paraId="1F314468"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463CAEFC"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Električna energija</w:t>
            </w:r>
          </w:p>
        </w:tc>
        <w:tc>
          <w:tcPr>
            <w:tcW w:w="1318" w:type="dxa"/>
            <w:tcBorders>
              <w:top w:val="nil"/>
              <w:left w:val="nil"/>
              <w:bottom w:val="single" w:sz="4" w:space="0" w:color="auto"/>
              <w:right w:val="single" w:sz="4" w:space="0" w:color="auto"/>
            </w:tcBorders>
            <w:shd w:val="clear" w:color="auto" w:fill="auto"/>
            <w:noWrap/>
            <w:vAlign w:val="center"/>
            <w:hideMark/>
          </w:tcPr>
          <w:p w14:paraId="2111D2C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22 474,00</w:t>
            </w:r>
          </w:p>
        </w:tc>
        <w:tc>
          <w:tcPr>
            <w:tcW w:w="1217" w:type="dxa"/>
            <w:tcBorders>
              <w:top w:val="nil"/>
              <w:left w:val="nil"/>
              <w:bottom w:val="single" w:sz="4" w:space="0" w:color="auto"/>
              <w:right w:val="single" w:sz="4" w:space="0" w:color="auto"/>
            </w:tcBorders>
            <w:shd w:val="clear" w:color="auto" w:fill="auto"/>
            <w:noWrap/>
            <w:vAlign w:val="center"/>
            <w:hideMark/>
          </w:tcPr>
          <w:p w14:paraId="43D04FA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29 102,30</w:t>
            </w:r>
          </w:p>
        </w:tc>
        <w:tc>
          <w:tcPr>
            <w:tcW w:w="1312" w:type="dxa"/>
            <w:tcBorders>
              <w:top w:val="nil"/>
              <w:left w:val="nil"/>
              <w:bottom w:val="single" w:sz="4" w:space="0" w:color="auto"/>
              <w:right w:val="single" w:sz="4" w:space="0" w:color="auto"/>
            </w:tcBorders>
            <w:shd w:val="clear" w:color="auto" w:fill="auto"/>
            <w:noWrap/>
            <w:vAlign w:val="center"/>
            <w:hideMark/>
          </w:tcPr>
          <w:p w14:paraId="298D4D7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559 132,00</w:t>
            </w:r>
          </w:p>
        </w:tc>
        <w:tc>
          <w:tcPr>
            <w:tcW w:w="1494" w:type="dxa"/>
            <w:tcBorders>
              <w:top w:val="nil"/>
              <w:left w:val="nil"/>
              <w:bottom w:val="single" w:sz="4" w:space="0" w:color="auto"/>
              <w:right w:val="single" w:sz="4" w:space="0" w:color="auto"/>
            </w:tcBorders>
            <w:shd w:val="clear" w:color="auto" w:fill="auto"/>
            <w:noWrap/>
            <w:vAlign w:val="center"/>
            <w:hideMark/>
          </w:tcPr>
          <w:p w14:paraId="2CE232E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xml:space="preserve">610 </w:t>
            </w:r>
            <w:r w:rsidRPr="005808FC">
              <w:rPr>
                <w:rFonts w:eastAsia="Times New Roman"/>
                <w:color w:val="000000"/>
                <w:sz w:val="20"/>
                <w:szCs w:val="20"/>
                <w:lang w:eastAsia="hr-HR"/>
              </w:rPr>
              <w:t>708,30</w:t>
            </w:r>
          </w:p>
        </w:tc>
        <w:tc>
          <w:tcPr>
            <w:tcW w:w="1279" w:type="dxa"/>
            <w:tcBorders>
              <w:top w:val="nil"/>
              <w:left w:val="nil"/>
              <w:bottom w:val="single" w:sz="4" w:space="0" w:color="auto"/>
              <w:right w:val="single" w:sz="4" w:space="0" w:color="auto"/>
            </w:tcBorders>
            <w:shd w:val="clear" w:color="auto" w:fill="auto"/>
            <w:vAlign w:val="center"/>
            <w:hideMark/>
          </w:tcPr>
          <w:p w14:paraId="7CC7FC91"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21,86%</w:t>
            </w:r>
          </w:p>
        </w:tc>
      </w:tr>
      <w:tr w:rsidR="009245B1" w:rsidRPr="00922031" w14:paraId="608182A7"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401A1BD4"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Loživo ulje</w:t>
            </w:r>
          </w:p>
        </w:tc>
        <w:tc>
          <w:tcPr>
            <w:tcW w:w="1318" w:type="dxa"/>
            <w:tcBorders>
              <w:top w:val="nil"/>
              <w:left w:val="nil"/>
              <w:bottom w:val="single" w:sz="4" w:space="0" w:color="auto"/>
              <w:right w:val="single" w:sz="4" w:space="0" w:color="auto"/>
            </w:tcBorders>
            <w:shd w:val="clear" w:color="auto" w:fill="auto"/>
            <w:noWrap/>
            <w:vAlign w:val="center"/>
            <w:hideMark/>
          </w:tcPr>
          <w:p w14:paraId="44AA69E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217" w:type="dxa"/>
            <w:tcBorders>
              <w:top w:val="nil"/>
              <w:left w:val="nil"/>
              <w:bottom w:val="single" w:sz="4" w:space="0" w:color="auto"/>
              <w:right w:val="single" w:sz="4" w:space="0" w:color="auto"/>
            </w:tcBorders>
            <w:shd w:val="clear" w:color="auto" w:fill="auto"/>
            <w:noWrap/>
            <w:vAlign w:val="center"/>
            <w:hideMark/>
          </w:tcPr>
          <w:p w14:paraId="58ACE31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312" w:type="dxa"/>
            <w:tcBorders>
              <w:top w:val="nil"/>
              <w:left w:val="nil"/>
              <w:bottom w:val="single" w:sz="4" w:space="0" w:color="auto"/>
              <w:right w:val="single" w:sz="4" w:space="0" w:color="auto"/>
            </w:tcBorders>
            <w:shd w:val="clear" w:color="auto" w:fill="auto"/>
            <w:noWrap/>
            <w:vAlign w:val="center"/>
            <w:hideMark/>
          </w:tcPr>
          <w:p w14:paraId="7B90909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99 316,30</w:t>
            </w:r>
          </w:p>
        </w:tc>
        <w:tc>
          <w:tcPr>
            <w:tcW w:w="1494" w:type="dxa"/>
            <w:tcBorders>
              <w:top w:val="nil"/>
              <w:left w:val="nil"/>
              <w:bottom w:val="single" w:sz="4" w:space="0" w:color="auto"/>
              <w:right w:val="single" w:sz="4" w:space="0" w:color="auto"/>
            </w:tcBorders>
            <w:shd w:val="clear" w:color="auto" w:fill="auto"/>
            <w:noWrap/>
            <w:vAlign w:val="center"/>
            <w:hideMark/>
          </w:tcPr>
          <w:p w14:paraId="7408DE21"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99 316,30</w:t>
            </w:r>
          </w:p>
        </w:tc>
        <w:tc>
          <w:tcPr>
            <w:tcW w:w="1279" w:type="dxa"/>
            <w:tcBorders>
              <w:top w:val="nil"/>
              <w:left w:val="nil"/>
              <w:bottom w:val="single" w:sz="4" w:space="0" w:color="auto"/>
              <w:right w:val="single" w:sz="4" w:space="0" w:color="auto"/>
            </w:tcBorders>
            <w:shd w:val="clear" w:color="auto" w:fill="auto"/>
            <w:vAlign w:val="center"/>
            <w:hideMark/>
          </w:tcPr>
          <w:p w14:paraId="133E8503"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3,55%</w:t>
            </w:r>
          </w:p>
        </w:tc>
      </w:tr>
      <w:tr w:rsidR="009245B1" w:rsidRPr="00922031" w14:paraId="1F04B3EC"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637E3435"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Prirodni plin</w:t>
            </w:r>
          </w:p>
        </w:tc>
        <w:tc>
          <w:tcPr>
            <w:tcW w:w="1318" w:type="dxa"/>
            <w:tcBorders>
              <w:top w:val="nil"/>
              <w:left w:val="nil"/>
              <w:bottom w:val="single" w:sz="4" w:space="0" w:color="auto"/>
              <w:right w:val="single" w:sz="4" w:space="0" w:color="auto"/>
            </w:tcBorders>
            <w:shd w:val="clear" w:color="auto" w:fill="auto"/>
            <w:noWrap/>
            <w:vAlign w:val="center"/>
            <w:hideMark/>
          </w:tcPr>
          <w:p w14:paraId="7BA5B28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90,10</w:t>
            </w:r>
          </w:p>
        </w:tc>
        <w:tc>
          <w:tcPr>
            <w:tcW w:w="1217" w:type="dxa"/>
            <w:tcBorders>
              <w:top w:val="nil"/>
              <w:left w:val="nil"/>
              <w:bottom w:val="single" w:sz="4" w:space="0" w:color="auto"/>
              <w:right w:val="single" w:sz="4" w:space="0" w:color="auto"/>
            </w:tcBorders>
            <w:shd w:val="clear" w:color="auto" w:fill="auto"/>
            <w:noWrap/>
            <w:vAlign w:val="center"/>
            <w:hideMark/>
          </w:tcPr>
          <w:p w14:paraId="1EBF377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71,80</w:t>
            </w:r>
          </w:p>
        </w:tc>
        <w:tc>
          <w:tcPr>
            <w:tcW w:w="1312" w:type="dxa"/>
            <w:tcBorders>
              <w:top w:val="nil"/>
              <w:left w:val="nil"/>
              <w:bottom w:val="single" w:sz="4" w:space="0" w:color="auto"/>
              <w:right w:val="single" w:sz="4" w:space="0" w:color="auto"/>
            </w:tcBorders>
            <w:shd w:val="clear" w:color="auto" w:fill="auto"/>
            <w:noWrap/>
            <w:vAlign w:val="center"/>
            <w:hideMark/>
          </w:tcPr>
          <w:p w14:paraId="28BEC5B1"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634 876,60</w:t>
            </w:r>
          </w:p>
        </w:tc>
        <w:tc>
          <w:tcPr>
            <w:tcW w:w="1494" w:type="dxa"/>
            <w:tcBorders>
              <w:top w:val="nil"/>
              <w:left w:val="nil"/>
              <w:bottom w:val="single" w:sz="4" w:space="0" w:color="auto"/>
              <w:right w:val="single" w:sz="4" w:space="0" w:color="auto"/>
            </w:tcBorders>
            <w:shd w:val="clear" w:color="auto" w:fill="auto"/>
            <w:noWrap/>
            <w:vAlign w:val="center"/>
            <w:hideMark/>
          </w:tcPr>
          <w:p w14:paraId="39B2D06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635 038,50</w:t>
            </w:r>
          </w:p>
        </w:tc>
        <w:tc>
          <w:tcPr>
            <w:tcW w:w="1279" w:type="dxa"/>
            <w:tcBorders>
              <w:top w:val="nil"/>
              <w:left w:val="nil"/>
              <w:bottom w:val="single" w:sz="4" w:space="0" w:color="auto"/>
              <w:right w:val="single" w:sz="4" w:space="0" w:color="auto"/>
            </w:tcBorders>
            <w:shd w:val="clear" w:color="auto" w:fill="auto"/>
            <w:vAlign w:val="center"/>
            <w:hideMark/>
          </w:tcPr>
          <w:p w14:paraId="1BF19C4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22,73%</w:t>
            </w:r>
          </w:p>
        </w:tc>
      </w:tr>
      <w:tr w:rsidR="009245B1" w:rsidRPr="00922031" w14:paraId="53D2D282"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127728B3"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Toplana</w:t>
            </w:r>
          </w:p>
        </w:tc>
        <w:tc>
          <w:tcPr>
            <w:tcW w:w="1318" w:type="dxa"/>
            <w:tcBorders>
              <w:top w:val="nil"/>
              <w:left w:val="nil"/>
              <w:bottom w:val="single" w:sz="4" w:space="0" w:color="auto"/>
              <w:right w:val="single" w:sz="4" w:space="0" w:color="auto"/>
            </w:tcBorders>
            <w:shd w:val="clear" w:color="auto" w:fill="auto"/>
            <w:noWrap/>
            <w:vAlign w:val="center"/>
            <w:hideMark/>
          </w:tcPr>
          <w:p w14:paraId="006104D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217" w:type="dxa"/>
            <w:tcBorders>
              <w:top w:val="nil"/>
              <w:left w:val="nil"/>
              <w:bottom w:val="single" w:sz="4" w:space="0" w:color="auto"/>
              <w:right w:val="single" w:sz="4" w:space="0" w:color="auto"/>
            </w:tcBorders>
            <w:shd w:val="clear" w:color="auto" w:fill="auto"/>
            <w:noWrap/>
            <w:vAlign w:val="center"/>
            <w:hideMark/>
          </w:tcPr>
          <w:p w14:paraId="25036D3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1312" w:type="dxa"/>
            <w:tcBorders>
              <w:top w:val="nil"/>
              <w:left w:val="nil"/>
              <w:bottom w:val="single" w:sz="4" w:space="0" w:color="auto"/>
              <w:right w:val="single" w:sz="4" w:space="0" w:color="auto"/>
            </w:tcBorders>
            <w:shd w:val="clear" w:color="auto" w:fill="auto"/>
            <w:noWrap/>
            <w:vAlign w:val="center"/>
            <w:hideMark/>
          </w:tcPr>
          <w:p w14:paraId="0F81D14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466 137,10</w:t>
            </w:r>
          </w:p>
        </w:tc>
        <w:tc>
          <w:tcPr>
            <w:tcW w:w="1494" w:type="dxa"/>
            <w:tcBorders>
              <w:top w:val="nil"/>
              <w:left w:val="nil"/>
              <w:bottom w:val="single" w:sz="4" w:space="0" w:color="auto"/>
              <w:right w:val="single" w:sz="4" w:space="0" w:color="auto"/>
            </w:tcBorders>
            <w:shd w:val="clear" w:color="auto" w:fill="auto"/>
            <w:noWrap/>
            <w:vAlign w:val="center"/>
            <w:hideMark/>
          </w:tcPr>
          <w:p w14:paraId="0245F05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466 080,70</w:t>
            </w:r>
          </w:p>
        </w:tc>
        <w:tc>
          <w:tcPr>
            <w:tcW w:w="1279" w:type="dxa"/>
            <w:tcBorders>
              <w:top w:val="nil"/>
              <w:left w:val="nil"/>
              <w:bottom w:val="single" w:sz="4" w:space="0" w:color="auto"/>
              <w:right w:val="single" w:sz="4" w:space="0" w:color="auto"/>
            </w:tcBorders>
            <w:shd w:val="clear" w:color="auto" w:fill="auto"/>
            <w:vAlign w:val="center"/>
            <w:hideMark/>
          </w:tcPr>
          <w:p w14:paraId="50226D9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16,68%</w:t>
            </w:r>
          </w:p>
        </w:tc>
      </w:tr>
      <w:tr w:rsidR="009245B1" w:rsidRPr="00922031" w14:paraId="3AF17D7A"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59E2ACDA"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UKUPNO</w:t>
            </w:r>
          </w:p>
        </w:tc>
        <w:tc>
          <w:tcPr>
            <w:tcW w:w="1318" w:type="dxa"/>
            <w:tcBorders>
              <w:top w:val="nil"/>
              <w:left w:val="nil"/>
              <w:bottom w:val="single" w:sz="4" w:space="0" w:color="auto"/>
              <w:right w:val="single" w:sz="4" w:space="0" w:color="auto"/>
            </w:tcBorders>
            <w:shd w:val="clear" w:color="auto" w:fill="auto"/>
            <w:noWrap/>
            <w:vAlign w:val="center"/>
            <w:hideMark/>
          </w:tcPr>
          <w:p w14:paraId="680E090D" w14:textId="77777777" w:rsidR="009245B1" w:rsidRPr="005808FC" w:rsidRDefault="009245B1" w:rsidP="005808FC">
            <w:pPr>
              <w:spacing w:after="0"/>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1 005 107,90</w:t>
            </w:r>
          </w:p>
        </w:tc>
        <w:tc>
          <w:tcPr>
            <w:tcW w:w="1217" w:type="dxa"/>
            <w:tcBorders>
              <w:top w:val="nil"/>
              <w:left w:val="nil"/>
              <w:bottom w:val="single" w:sz="4" w:space="0" w:color="auto"/>
              <w:right w:val="single" w:sz="4" w:space="0" w:color="auto"/>
            </w:tcBorders>
            <w:shd w:val="clear" w:color="auto" w:fill="auto"/>
            <w:noWrap/>
            <w:vAlign w:val="center"/>
            <w:hideMark/>
          </w:tcPr>
          <w:p w14:paraId="7D7E1A1A" w14:textId="77777777" w:rsidR="009245B1" w:rsidRPr="005808FC" w:rsidRDefault="009245B1" w:rsidP="005808FC">
            <w:pPr>
              <w:spacing w:after="0"/>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29 174,10</w:t>
            </w:r>
          </w:p>
        </w:tc>
        <w:tc>
          <w:tcPr>
            <w:tcW w:w="1312" w:type="dxa"/>
            <w:tcBorders>
              <w:top w:val="nil"/>
              <w:left w:val="nil"/>
              <w:bottom w:val="single" w:sz="4" w:space="0" w:color="auto"/>
              <w:right w:val="single" w:sz="4" w:space="0" w:color="auto"/>
            </w:tcBorders>
            <w:shd w:val="clear" w:color="auto" w:fill="auto"/>
            <w:noWrap/>
            <w:vAlign w:val="center"/>
            <w:hideMark/>
          </w:tcPr>
          <w:p w14:paraId="69BC443D" w14:textId="77777777" w:rsidR="009245B1" w:rsidRPr="005808FC" w:rsidRDefault="009245B1" w:rsidP="005808FC">
            <w:pPr>
              <w:spacing w:after="0"/>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1 759 520,80</w:t>
            </w:r>
          </w:p>
        </w:tc>
        <w:tc>
          <w:tcPr>
            <w:tcW w:w="1494" w:type="dxa"/>
            <w:tcBorders>
              <w:top w:val="nil"/>
              <w:left w:val="nil"/>
              <w:bottom w:val="single" w:sz="4" w:space="0" w:color="auto"/>
              <w:right w:val="single" w:sz="4" w:space="0" w:color="auto"/>
            </w:tcBorders>
            <w:shd w:val="clear" w:color="auto" w:fill="auto"/>
            <w:noWrap/>
            <w:vAlign w:val="center"/>
            <w:hideMark/>
          </w:tcPr>
          <w:p w14:paraId="7692CE78" w14:textId="77777777" w:rsidR="009245B1" w:rsidRPr="005808FC" w:rsidRDefault="009245B1" w:rsidP="005808FC">
            <w:pPr>
              <w:spacing w:after="0"/>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2 793 746,40</w:t>
            </w:r>
          </w:p>
        </w:tc>
        <w:tc>
          <w:tcPr>
            <w:tcW w:w="1279" w:type="dxa"/>
            <w:tcBorders>
              <w:top w:val="nil"/>
              <w:left w:val="nil"/>
              <w:bottom w:val="single" w:sz="4" w:space="0" w:color="auto"/>
              <w:right w:val="single" w:sz="4" w:space="0" w:color="auto"/>
            </w:tcBorders>
            <w:shd w:val="clear" w:color="auto" w:fill="auto"/>
            <w:vAlign w:val="center"/>
            <w:hideMark/>
          </w:tcPr>
          <w:p w14:paraId="7907CA86"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100,00%</w:t>
            </w:r>
          </w:p>
        </w:tc>
      </w:tr>
      <w:tr w:rsidR="009245B1" w:rsidRPr="00922031" w14:paraId="1EE6DD56" w14:textId="77777777" w:rsidTr="005808FC">
        <w:trPr>
          <w:trHeight w:val="255"/>
        </w:trPr>
        <w:tc>
          <w:tcPr>
            <w:tcW w:w="2450"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5D678277" w14:textId="4B579F08"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Udio pojedinog sektora,</w:t>
            </w:r>
            <w:r w:rsidR="000509A0">
              <w:rPr>
                <w:rFonts w:eastAsia="Times New Roman"/>
                <w:b/>
                <w:bCs/>
                <w:color w:val="000000"/>
                <w:sz w:val="20"/>
                <w:szCs w:val="20"/>
                <w:lang w:eastAsia="hr-HR"/>
              </w:rPr>
              <w:t>%</w:t>
            </w:r>
          </w:p>
        </w:tc>
        <w:tc>
          <w:tcPr>
            <w:tcW w:w="1318" w:type="dxa"/>
            <w:tcBorders>
              <w:top w:val="nil"/>
              <w:left w:val="nil"/>
              <w:bottom w:val="single" w:sz="4" w:space="0" w:color="auto"/>
              <w:right w:val="single" w:sz="4" w:space="0" w:color="auto"/>
            </w:tcBorders>
            <w:shd w:val="clear" w:color="auto" w:fill="auto"/>
            <w:noWrap/>
            <w:vAlign w:val="center"/>
            <w:hideMark/>
          </w:tcPr>
          <w:p w14:paraId="67050491"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35,98%</w:t>
            </w:r>
          </w:p>
        </w:tc>
        <w:tc>
          <w:tcPr>
            <w:tcW w:w="1217" w:type="dxa"/>
            <w:tcBorders>
              <w:top w:val="nil"/>
              <w:left w:val="nil"/>
              <w:bottom w:val="single" w:sz="4" w:space="0" w:color="auto"/>
              <w:right w:val="single" w:sz="4" w:space="0" w:color="auto"/>
            </w:tcBorders>
            <w:shd w:val="clear" w:color="auto" w:fill="auto"/>
            <w:noWrap/>
            <w:vAlign w:val="center"/>
            <w:hideMark/>
          </w:tcPr>
          <w:p w14:paraId="468D19C0"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1,04%</w:t>
            </w:r>
          </w:p>
        </w:tc>
        <w:tc>
          <w:tcPr>
            <w:tcW w:w="1312" w:type="dxa"/>
            <w:tcBorders>
              <w:top w:val="nil"/>
              <w:left w:val="nil"/>
              <w:bottom w:val="single" w:sz="4" w:space="0" w:color="auto"/>
              <w:right w:val="single" w:sz="4" w:space="0" w:color="auto"/>
            </w:tcBorders>
            <w:shd w:val="clear" w:color="auto" w:fill="auto"/>
            <w:noWrap/>
            <w:vAlign w:val="center"/>
            <w:hideMark/>
          </w:tcPr>
          <w:p w14:paraId="2E21A3E2"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62,98%</w:t>
            </w:r>
          </w:p>
        </w:tc>
        <w:tc>
          <w:tcPr>
            <w:tcW w:w="1494" w:type="dxa"/>
            <w:tcBorders>
              <w:top w:val="nil"/>
              <w:left w:val="nil"/>
              <w:bottom w:val="single" w:sz="4" w:space="0" w:color="auto"/>
              <w:right w:val="single" w:sz="4" w:space="0" w:color="auto"/>
            </w:tcBorders>
            <w:shd w:val="clear" w:color="auto" w:fill="auto"/>
            <w:noWrap/>
            <w:vAlign w:val="center"/>
            <w:hideMark/>
          </w:tcPr>
          <w:p w14:paraId="5B98D35E"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100,00%</w:t>
            </w:r>
          </w:p>
        </w:tc>
        <w:tc>
          <w:tcPr>
            <w:tcW w:w="1279" w:type="dxa"/>
            <w:tcBorders>
              <w:top w:val="nil"/>
              <w:left w:val="nil"/>
              <w:bottom w:val="single" w:sz="4" w:space="0" w:color="auto"/>
              <w:right w:val="single" w:sz="4" w:space="0" w:color="auto"/>
            </w:tcBorders>
            <w:shd w:val="clear" w:color="auto" w:fill="auto"/>
            <w:vAlign w:val="center"/>
            <w:hideMark/>
          </w:tcPr>
          <w:p w14:paraId="10F194D1" w14:textId="10765424" w:rsidR="009245B1" w:rsidRPr="00D653DF" w:rsidRDefault="009245B1" w:rsidP="00D653DF">
            <w:pPr>
              <w:spacing w:after="0"/>
              <w:jc w:val="center"/>
              <w:rPr>
                <w:rFonts w:eastAsia="Times New Roman" w:cstheme="minorHAnsi"/>
                <w:b/>
                <w:bCs/>
                <w:color w:val="000000"/>
                <w:sz w:val="20"/>
                <w:szCs w:val="20"/>
                <w:lang w:eastAsia="hr-HR"/>
              </w:rPr>
            </w:pPr>
          </w:p>
        </w:tc>
      </w:tr>
    </w:tbl>
    <w:p w14:paraId="19C5E3B1" w14:textId="7B7CD669" w:rsidR="009245B1" w:rsidRPr="005808FC" w:rsidRDefault="00244D74">
      <w:pPr>
        <w:pStyle w:val="Caption"/>
        <w:rPr>
          <w:rFonts w:eastAsia="Calibri" w:cstheme="minorBidi"/>
          <w:lang w:val="it-IT"/>
        </w:rPr>
      </w:pPr>
      <w:bookmarkStart w:id="182" w:name="_Toc468277520"/>
      <w:bookmarkStart w:id="183" w:name="_Toc4156013"/>
      <w:r w:rsidRPr="005808FC">
        <w:rPr>
          <w:lang w:val="it-IT"/>
        </w:rPr>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6</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2</w:t>
      </w:r>
      <w:r w:rsidR="0019556A">
        <w:fldChar w:fldCharType="end"/>
      </w:r>
      <w:r w:rsidRPr="005808FC">
        <w:rPr>
          <w:lang w:val="it-IT"/>
        </w:rPr>
        <w:t xml:space="preserve"> -</w:t>
      </w:r>
      <w:r w:rsidR="009245B1" w:rsidRPr="005808FC">
        <w:rPr>
          <w:rFonts w:eastAsia="Calibri" w:cstheme="minorBidi"/>
          <w:b/>
          <w:bCs/>
          <w:lang w:val="it-IT"/>
        </w:rPr>
        <w:t xml:space="preserve"> </w:t>
      </w:r>
      <w:r w:rsidR="009245B1" w:rsidRPr="005808FC">
        <w:rPr>
          <w:rFonts w:eastAsia="Calibri" w:cstheme="minorBidi"/>
          <w:lang w:val="it-IT"/>
        </w:rPr>
        <w:t>Kontrolni inventar</w:t>
      </w:r>
      <w:r w:rsidR="009245B1" w:rsidRPr="005808FC">
        <w:rPr>
          <w:rFonts w:eastAsia="Calibri" w:cstheme="minorBidi"/>
          <w:b/>
          <w:bCs/>
          <w:lang w:val="it-IT"/>
        </w:rPr>
        <w:t xml:space="preserve"> </w:t>
      </w:r>
      <w:r w:rsidR="009245B1" w:rsidRPr="005808FC">
        <w:rPr>
          <w:rFonts w:eastAsia="Calibri" w:cstheme="minorBidi"/>
          <w:lang w:val="it-IT"/>
        </w:rPr>
        <w:t>emisija CO</w:t>
      </w:r>
      <w:r w:rsidR="009245B1" w:rsidRPr="005808FC">
        <w:rPr>
          <w:rFonts w:eastAsia="Calibri" w:cstheme="minorBidi"/>
          <w:vertAlign w:val="subscript"/>
          <w:lang w:val="it-IT"/>
        </w:rPr>
        <w:t>2</w:t>
      </w:r>
      <w:r w:rsidR="009245B1" w:rsidRPr="005808FC">
        <w:rPr>
          <w:rFonts w:eastAsia="Calibri" w:cstheme="minorBidi"/>
          <w:lang w:val="it-IT"/>
        </w:rPr>
        <w:t xml:space="preserve"> po sektorima</w:t>
      </w:r>
      <w:r w:rsidR="000509A0">
        <w:rPr>
          <w:rFonts w:eastAsia="Calibri" w:cstheme="minorBidi"/>
          <w:lang w:val="it-IT"/>
        </w:rPr>
        <w:t xml:space="preserve"> i </w:t>
      </w:r>
      <w:r w:rsidR="009245B1" w:rsidRPr="005808FC">
        <w:rPr>
          <w:rFonts w:eastAsia="Calibri" w:cstheme="minorBidi"/>
          <w:lang w:val="it-IT"/>
        </w:rPr>
        <w:t>energentima, 2015. godina</w:t>
      </w:r>
      <w:bookmarkEnd w:id="182"/>
      <w:bookmarkEnd w:id="183"/>
      <w:r w:rsidR="009245B1" w:rsidRPr="005808FC">
        <w:rPr>
          <w:rFonts w:eastAsia="Calibri" w:cstheme="minorBidi"/>
          <w:lang w:val="it-IT"/>
        </w:rPr>
        <w:t xml:space="preserve"> </w:t>
      </w:r>
    </w:p>
    <w:tbl>
      <w:tblPr>
        <w:tblW w:w="5000" w:type="pct"/>
        <w:tblInd w:w="-5" w:type="dxa"/>
        <w:tblLook w:val="04A0" w:firstRow="1" w:lastRow="0" w:firstColumn="1" w:lastColumn="0" w:noHBand="0" w:noVBand="1"/>
      </w:tblPr>
      <w:tblGrid>
        <w:gridCol w:w="2417"/>
        <w:gridCol w:w="1284"/>
        <w:gridCol w:w="1140"/>
        <w:gridCol w:w="1271"/>
        <w:gridCol w:w="1544"/>
        <w:gridCol w:w="1360"/>
      </w:tblGrid>
      <w:tr w:rsidR="009245B1" w:rsidRPr="00922031" w14:paraId="3A2F928D" w14:textId="77777777" w:rsidTr="00AC057A">
        <w:trPr>
          <w:trHeight w:val="300"/>
        </w:trPr>
        <w:tc>
          <w:tcPr>
            <w:tcW w:w="134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7BCC0A9"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Energent</w:t>
            </w:r>
          </w:p>
        </w:tc>
        <w:tc>
          <w:tcPr>
            <w:tcW w:w="2904"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F37F88B"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Emisija, t CO₂</w:t>
            </w:r>
          </w:p>
        </w:tc>
        <w:tc>
          <w:tcPr>
            <w:tcW w:w="755"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146F4F1"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w:t>
            </w:r>
          </w:p>
        </w:tc>
      </w:tr>
      <w:tr w:rsidR="009245B1" w:rsidRPr="00922031" w14:paraId="6D9213AE" w14:textId="77777777" w:rsidTr="00AC057A">
        <w:trPr>
          <w:trHeight w:val="480"/>
        </w:trPr>
        <w:tc>
          <w:tcPr>
            <w:tcW w:w="1341"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15EC43" w14:textId="77777777" w:rsidR="009245B1" w:rsidRPr="00D653DF" w:rsidRDefault="009245B1" w:rsidP="00D653DF">
            <w:pPr>
              <w:spacing w:after="0"/>
              <w:jc w:val="center"/>
              <w:rPr>
                <w:rFonts w:eastAsia="Times New Roman" w:cstheme="minorHAnsi"/>
                <w:b/>
                <w:bCs/>
                <w:color w:val="000000"/>
                <w:sz w:val="20"/>
                <w:szCs w:val="20"/>
                <w:lang w:eastAsia="hr-HR"/>
              </w:rPr>
            </w:pPr>
          </w:p>
        </w:tc>
        <w:tc>
          <w:tcPr>
            <w:tcW w:w="712" w:type="pct"/>
            <w:tcBorders>
              <w:top w:val="nil"/>
              <w:left w:val="nil"/>
              <w:bottom w:val="single" w:sz="4" w:space="0" w:color="auto"/>
              <w:right w:val="single" w:sz="4" w:space="0" w:color="auto"/>
            </w:tcBorders>
            <w:shd w:val="clear" w:color="auto" w:fill="C6D9F1" w:themeFill="text2" w:themeFillTint="33"/>
            <w:vAlign w:val="center"/>
            <w:hideMark/>
          </w:tcPr>
          <w:p w14:paraId="3A15934B"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Promet</w:t>
            </w:r>
          </w:p>
        </w:tc>
        <w:tc>
          <w:tcPr>
            <w:tcW w:w="632" w:type="pct"/>
            <w:tcBorders>
              <w:top w:val="nil"/>
              <w:left w:val="nil"/>
              <w:bottom w:val="single" w:sz="4" w:space="0" w:color="auto"/>
              <w:right w:val="single" w:sz="4" w:space="0" w:color="auto"/>
            </w:tcBorders>
            <w:shd w:val="clear" w:color="auto" w:fill="C6D9F1" w:themeFill="text2" w:themeFillTint="33"/>
            <w:vAlign w:val="center"/>
            <w:hideMark/>
          </w:tcPr>
          <w:p w14:paraId="68C06CA0"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Javna rasvjeta</w:t>
            </w:r>
          </w:p>
        </w:tc>
        <w:tc>
          <w:tcPr>
            <w:tcW w:w="705" w:type="pct"/>
            <w:tcBorders>
              <w:top w:val="nil"/>
              <w:left w:val="nil"/>
              <w:bottom w:val="single" w:sz="4" w:space="0" w:color="auto"/>
              <w:right w:val="single" w:sz="4" w:space="0" w:color="auto"/>
            </w:tcBorders>
            <w:shd w:val="clear" w:color="auto" w:fill="C6D9F1" w:themeFill="text2" w:themeFillTint="33"/>
            <w:noWrap/>
            <w:vAlign w:val="center"/>
            <w:hideMark/>
          </w:tcPr>
          <w:p w14:paraId="391421CC" w14:textId="77777777" w:rsidR="009245B1" w:rsidRPr="005808FC" w:rsidRDefault="009245B1" w:rsidP="005808FC">
            <w:pPr>
              <w:spacing w:after="0"/>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Zgradarstvo</w:t>
            </w:r>
          </w:p>
        </w:tc>
        <w:tc>
          <w:tcPr>
            <w:tcW w:w="856" w:type="pct"/>
            <w:tcBorders>
              <w:top w:val="nil"/>
              <w:left w:val="nil"/>
              <w:bottom w:val="single" w:sz="4" w:space="0" w:color="auto"/>
              <w:right w:val="single" w:sz="4" w:space="0" w:color="auto"/>
            </w:tcBorders>
            <w:shd w:val="clear" w:color="auto" w:fill="C6D9F1" w:themeFill="text2" w:themeFillTint="33"/>
            <w:vAlign w:val="center"/>
            <w:hideMark/>
          </w:tcPr>
          <w:p w14:paraId="5461699F"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 xml:space="preserve">Ukupno po </w:t>
            </w:r>
            <w:r w:rsidRPr="005808FC">
              <w:rPr>
                <w:rFonts w:eastAsia="Times New Roman"/>
                <w:b/>
                <w:bCs/>
                <w:color w:val="000000"/>
                <w:sz w:val="20"/>
                <w:szCs w:val="20"/>
                <w:lang w:eastAsia="hr-HR"/>
              </w:rPr>
              <w:t>energentima</w:t>
            </w:r>
          </w:p>
        </w:tc>
        <w:tc>
          <w:tcPr>
            <w:tcW w:w="755" w:type="pct"/>
            <w:tcBorders>
              <w:top w:val="nil"/>
              <w:left w:val="nil"/>
              <w:bottom w:val="single" w:sz="4" w:space="0" w:color="auto"/>
              <w:right w:val="single" w:sz="4" w:space="0" w:color="auto"/>
            </w:tcBorders>
            <w:shd w:val="clear" w:color="auto" w:fill="C6D9F1" w:themeFill="text2" w:themeFillTint="33"/>
            <w:vAlign w:val="center"/>
            <w:hideMark/>
          </w:tcPr>
          <w:p w14:paraId="381DE2C9" w14:textId="77777777" w:rsidR="009245B1" w:rsidRPr="005808FC" w:rsidRDefault="009245B1" w:rsidP="005808FC">
            <w:pPr>
              <w:spacing w:after="0"/>
              <w:jc w:val="center"/>
              <w:rPr>
                <w:rFonts w:eastAsia="Times New Roman"/>
                <w:b/>
                <w:color w:val="000000" w:themeColor="text1"/>
                <w:sz w:val="20"/>
                <w:szCs w:val="20"/>
                <w:lang w:eastAsia="hr-HR"/>
              </w:rPr>
            </w:pPr>
            <w:r w:rsidRPr="00291DF5">
              <w:rPr>
                <w:rFonts w:eastAsia="Times New Roman"/>
                <w:b/>
                <w:bCs/>
                <w:color w:val="000000"/>
                <w:sz w:val="20"/>
                <w:szCs w:val="20"/>
                <w:lang w:eastAsia="hr-HR"/>
              </w:rPr>
              <w:t>Udio po energentima</w:t>
            </w:r>
          </w:p>
        </w:tc>
      </w:tr>
      <w:tr w:rsidR="009245B1" w:rsidRPr="00922031" w14:paraId="16D60E42"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809F22D"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Dizel</w:t>
            </w:r>
          </w:p>
        </w:tc>
        <w:tc>
          <w:tcPr>
            <w:tcW w:w="712" w:type="pct"/>
            <w:tcBorders>
              <w:top w:val="nil"/>
              <w:left w:val="nil"/>
              <w:bottom w:val="single" w:sz="4" w:space="0" w:color="auto"/>
              <w:right w:val="single" w:sz="4" w:space="0" w:color="auto"/>
            </w:tcBorders>
            <w:shd w:val="clear" w:color="auto" w:fill="auto"/>
            <w:vAlign w:val="bottom"/>
            <w:hideMark/>
          </w:tcPr>
          <w:p w14:paraId="509C547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671 042,61</w:t>
            </w:r>
          </w:p>
        </w:tc>
        <w:tc>
          <w:tcPr>
            <w:tcW w:w="632" w:type="pct"/>
            <w:tcBorders>
              <w:top w:val="nil"/>
              <w:left w:val="nil"/>
              <w:bottom w:val="single" w:sz="4" w:space="0" w:color="auto"/>
              <w:right w:val="single" w:sz="4" w:space="0" w:color="auto"/>
            </w:tcBorders>
            <w:shd w:val="clear" w:color="auto" w:fill="auto"/>
            <w:noWrap/>
            <w:vAlign w:val="bottom"/>
            <w:hideMark/>
          </w:tcPr>
          <w:p w14:paraId="1861CC00"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7ADBE341"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856" w:type="pct"/>
            <w:tcBorders>
              <w:top w:val="nil"/>
              <w:left w:val="nil"/>
              <w:bottom w:val="single" w:sz="4" w:space="0" w:color="auto"/>
              <w:right w:val="single" w:sz="4" w:space="0" w:color="auto"/>
            </w:tcBorders>
            <w:shd w:val="clear" w:color="auto" w:fill="auto"/>
            <w:noWrap/>
            <w:vAlign w:val="bottom"/>
            <w:hideMark/>
          </w:tcPr>
          <w:p w14:paraId="60AA2AD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671 042,61</w:t>
            </w:r>
          </w:p>
        </w:tc>
        <w:tc>
          <w:tcPr>
            <w:tcW w:w="755" w:type="pct"/>
            <w:tcBorders>
              <w:top w:val="nil"/>
              <w:left w:val="nil"/>
              <w:bottom w:val="single" w:sz="4" w:space="0" w:color="auto"/>
              <w:right w:val="single" w:sz="4" w:space="0" w:color="auto"/>
            </w:tcBorders>
            <w:shd w:val="clear" w:color="auto" w:fill="auto"/>
            <w:vAlign w:val="bottom"/>
            <w:hideMark/>
          </w:tcPr>
          <w:p w14:paraId="7B3AB8F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22,90%</w:t>
            </w:r>
          </w:p>
        </w:tc>
      </w:tr>
      <w:tr w:rsidR="009245B1" w:rsidRPr="00922031" w14:paraId="61034766"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CEDB4A6"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Motorni benzin</w:t>
            </w:r>
          </w:p>
        </w:tc>
        <w:tc>
          <w:tcPr>
            <w:tcW w:w="712" w:type="pct"/>
            <w:tcBorders>
              <w:top w:val="nil"/>
              <w:left w:val="nil"/>
              <w:bottom w:val="single" w:sz="4" w:space="0" w:color="auto"/>
              <w:right w:val="single" w:sz="4" w:space="0" w:color="auto"/>
            </w:tcBorders>
            <w:shd w:val="clear" w:color="auto" w:fill="auto"/>
            <w:vAlign w:val="bottom"/>
            <w:hideMark/>
          </w:tcPr>
          <w:p w14:paraId="3638006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372 278,01</w:t>
            </w:r>
          </w:p>
        </w:tc>
        <w:tc>
          <w:tcPr>
            <w:tcW w:w="632" w:type="pct"/>
            <w:tcBorders>
              <w:top w:val="nil"/>
              <w:left w:val="nil"/>
              <w:bottom w:val="single" w:sz="4" w:space="0" w:color="auto"/>
              <w:right w:val="single" w:sz="4" w:space="0" w:color="auto"/>
            </w:tcBorders>
            <w:shd w:val="clear" w:color="auto" w:fill="auto"/>
            <w:noWrap/>
            <w:vAlign w:val="bottom"/>
            <w:hideMark/>
          </w:tcPr>
          <w:p w14:paraId="1D74167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098E525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856" w:type="pct"/>
            <w:tcBorders>
              <w:top w:val="nil"/>
              <w:left w:val="nil"/>
              <w:bottom w:val="single" w:sz="4" w:space="0" w:color="auto"/>
              <w:right w:val="single" w:sz="4" w:space="0" w:color="auto"/>
            </w:tcBorders>
            <w:shd w:val="clear" w:color="auto" w:fill="auto"/>
            <w:noWrap/>
            <w:vAlign w:val="bottom"/>
            <w:hideMark/>
          </w:tcPr>
          <w:p w14:paraId="33F959D3"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372 278,01</w:t>
            </w:r>
          </w:p>
        </w:tc>
        <w:tc>
          <w:tcPr>
            <w:tcW w:w="755" w:type="pct"/>
            <w:tcBorders>
              <w:top w:val="nil"/>
              <w:left w:val="nil"/>
              <w:bottom w:val="single" w:sz="4" w:space="0" w:color="auto"/>
              <w:right w:val="single" w:sz="4" w:space="0" w:color="auto"/>
            </w:tcBorders>
            <w:shd w:val="clear" w:color="auto" w:fill="auto"/>
            <w:vAlign w:val="bottom"/>
            <w:hideMark/>
          </w:tcPr>
          <w:p w14:paraId="7FF7D06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12,70%</w:t>
            </w:r>
          </w:p>
        </w:tc>
      </w:tr>
      <w:tr w:rsidR="009245B1" w:rsidRPr="00922031" w14:paraId="3EDBE6DE"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5D70C9D"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LPG</w:t>
            </w:r>
          </w:p>
        </w:tc>
        <w:tc>
          <w:tcPr>
            <w:tcW w:w="712" w:type="pct"/>
            <w:tcBorders>
              <w:top w:val="nil"/>
              <w:left w:val="nil"/>
              <w:bottom w:val="single" w:sz="4" w:space="0" w:color="auto"/>
              <w:right w:val="single" w:sz="4" w:space="0" w:color="auto"/>
            </w:tcBorders>
            <w:shd w:val="clear" w:color="auto" w:fill="auto"/>
            <w:vAlign w:val="bottom"/>
            <w:hideMark/>
          </w:tcPr>
          <w:p w14:paraId="360BC6D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28 042,65</w:t>
            </w:r>
          </w:p>
        </w:tc>
        <w:tc>
          <w:tcPr>
            <w:tcW w:w="632" w:type="pct"/>
            <w:tcBorders>
              <w:top w:val="nil"/>
              <w:left w:val="nil"/>
              <w:bottom w:val="single" w:sz="4" w:space="0" w:color="auto"/>
              <w:right w:val="single" w:sz="4" w:space="0" w:color="auto"/>
            </w:tcBorders>
            <w:shd w:val="clear" w:color="auto" w:fill="auto"/>
            <w:noWrap/>
            <w:vAlign w:val="bottom"/>
            <w:hideMark/>
          </w:tcPr>
          <w:p w14:paraId="7CD7FDD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05323C3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16 507,98</w:t>
            </w:r>
          </w:p>
        </w:tc>
        <w:tc>
          <w:tcPr>
            <w:tcW w:w="856" w:type="pct"/>
            <w:tcBorders>
              <w:top w:val="nil"/>
              <w:left w:val="nil"/>
              <w:bottom w:val="single" w:sz="4" w:space="0" w:color="auto"/>
              <w:right w:val="single" w:sz="4" w:space="0" w:color="auto"/>
            </w:tcBorders>
            <w:shd w:val="clear" w:color="auto" w:fill="auto"/>
            <w:noWrap/>
            <w:vAlign w:val="bottom"/>
            <w:hideMark/>
          </w:tcPr>
          <w:p w14:paraId="733C971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44 550,63</w:t>
            </w:r>
          </w:p>
        </w:tc>
        <w:tc>
          <w:tcPr>
            <w:tcW w:w="755" w:type="pct"/>
            <w:tcBorders>
              <w:top w:val="nil"/>
              <w:left w:val="nil"/>
              <w:bottom w:val="single" w:sz="4" w:space="0" w:color="auto"/>
              <w:right w:val="single" w:sz="4" w:space="0" w:color="auto"/>
            </w:tcBorders>
            <w:shd w:val="clear" w:color="auto" w:fill="auto"/>
            <w:vAlign w:val="bottom"/>
            <w:hideMark/>
          </w:tcPr>
          <w:p w14:paraId="767D4563"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1,52%</w:t>
            </w:r>
          </w:p>
        </w:tc>
      </w:tr>
      <w:tr w:rsidR="009245B1" w:rsidRPr="00922031" w14:paraId="25A6758C"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534AEE3"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SPP</w:t>
            </w:r>
          </w:p>
        </w:tc>
        <w:tc>
          <w:tcPr>
            <w:tcW w:w="712" w:type="pct"/>
            <w:tcBorders>
              <w:top w:val="nil"/>
              <w:left w:val="nil"/>
              <w:bottom w:val="single" w:sz="4" w:space="0" w:color="auto"/>
              <w:right w:val="single" w:sz="4" w:space="0" w:color="auto"/>
            </w:tcBorders>
            <w:shd w:val="clear" w:color="auto" w:fill="auto"/>
            <w:vAlign w:val="bottom"/>
            <w:hideMark/>
          </w:tcPr>
          <w:p w14:paraId="212604F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6 165,62</w:t>
            </w:r>
          </w:p>
        </w:tc>
        <w:tc>
          <w:tcPr>
            <w:tcW w:w="632" w:type="pct"/>
            <w:tcBorders>
              <w:top w:val="nil"/>
              <w:left w:val="nil"/>
              <w:bottom w:val="single" w:sz="4" w:space="0" w:color="auto"/>
              <w:right w:val="single" w:sz="4" w:space="0" w:color="auto"/>
            </w:tcBorders>
            <w:shd w:val="clear" w:color="auto" w:fill="auto"/>
            <w:noWrap/>
            <w:vAlign w:val="bottom"/>
            <w:hideMark/>
          </w:tcPr>
          <w:p w14:paraId="4A98808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5787488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856" w:type="pct"/>
            <w:tcBorders>
              <w:top w:val="nil"/>
              <w:left w:val="nil"/>
              <w:bottom w:val="single" w:sz="4" w:space="0" w:color="auto"/>
              <w:right w:val="single" w:sz="4" w:space="0" w:color="auto"/>
            </w:tcBorders>
            <w:shd w:val="clear" w:color="auto" w:fill="auto"/>
            <w:noWrap/>
            <w:vAlign w:val="bottom"/>
            <w:hideMark/>
          </w:tcPr>
          <w:p w14:paraId="7BF6578E"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6 165,62</w:t>
            </w:r>
          </w:p>
        </w:tc>
        <w:tc>
          <w:tcPr>
            <w:tcW w:w="755" w:type="pct"/>
            <w:tcBorders>
              <w:top w:val="nil"/>
              <w:left w:val="nil"/>
              <w:bottom w:val="single" w:sz="4" w:space="0" w:color="auto"/>
              <w:right w:val="single" w:sz="4" w:space="0" w:color="auto"/>
            </w:tcBorders>
            <w:shd w:val="clear" w:color="auto" w:fill="auto"/>
            <w:vAlign w:val="bottom"/>
            <w:hideMark/>
          </w:tcPr>
          <w:p w14:paraId="3489CDB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0,21%</w:t>
            </w:r>
          </w:p>
        </w:tc>
      </w:tr>
      <w:tr w:rsidR="009245B1" w:rsidRPr="00922031" w14:paraId="7D1EC97C"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DF843F0"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Električna energija</w:t>
            </w:r>
          </w:p>
        </w:tc>
        <w:tc>
          <w:tcPr>
            <w:tcW w:w="712" w:type="pct"/>
            <w:tcBorders>
              <w:top w:val="nil"/>
              <w:left w:val="nil"/>
              <w:bottom w:val="single" w:sz="4" w:space="0" w:color="auto"/>
              <w:right w:val="single" w:sz="4" w:space="0" w:color="auto"/>
            </w:tcBorders>
            <w:shd w:val="clear" w:color="auto" w:fill="auto"/>
            <w:vAlign w:val="bottom"/>
            <w:hideMark/>
          </w:tcPr>
          <w:p w14:paraId="3853445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23 426,05</w:t>
            </w:r>
          </w:p>
        </w:tc>
        <w:tc>
          <w:tcPr>
            <w:tcW w:w="632" w:type="pct"/>
            <w:tcBorders>
              <w:top w:val="nil"/>
              <w:left w:val="nil"/>
              <w:bottom w:val="single" w:sz="4" w:space="0" w:color="auto"/>
              <w:right w:val="single" w:sz="4" w:space="0" w:color="auto"/>
            </w:tcBorders>
            <w:shd w:val="clear" w:color="auto" w:fill="auto"/>
            <w:vAlign w:val="bottom"/>
            <w:hideMark/>
          </w:tcPr>
          <w:p w14:paraId="6D71F56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26 827,02</w:t>
            </w:r>
          </w:p>
        </w:tc>
        <w:tc>
          <w:tcPr>
            <w:tcW w:w="705" w:type="pct"/>
            <w:tcBorders>
              <w:top w:val="nil"/>
              <w:left w:val="nil"/>
              <w:bottom w:val="single" w:sz="4" w:space="0" w:color="auto"/>
              <w:right w:val="single" w:sz="4" w:space="0" w:color="auto"/>
            </w:tcBorders>
            <w:shd w:val="clear" w:color="auto" w:fill="auto"/>
            <w:vAlign w:val="bottom"/>
            <w:hideMark/>
          </w:tcPr>
          <w:p w14:paraId="47E05FE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660 535,68</w:t>
            </w:r>
          </w:p>
        </w:tc>
        <w:tc>
          <w:tcPr>
            <w:tcW w:w="856" w:type="pct"/>
            <w:tcBorders>
              <w:top w:val="nil"/>
              <w:left w:val="nil"/>
              <w:bottom w:val="single" w:sz="4" w:space="0" w:color="auto"/>
              <w:right w:val="single" w:sz="4" w:space="0" w:color="auto"/>
            </w:tcBorders>
            <w:shd w:val="clear" w:color="auto" w:fill="auto"/>
            <w:noWrap/>
            <w:vAlign w:val="bottom"/>
            <w:hideMark/>
          </w:tcPr>
          <w:p w14:paraId="05CC524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xml:space="preserve">710 </w:t>
            </w:r>
            <w:r w:rsidRPr="005808FC">
              <w:rPr>
                <w:rFonts w:eastAsia="Times New Roman"/>
                <w:color w:val="000000"/>
                <w:sz w:val="20"/>
                <w:szCs w:val="20"/>
                <w:lang w:eastAsia="hr-HR"/>
              </w:rPr>
              <w:t>788,75</w:t>
            </w:r>
          </w:p>
        </w:tc>
        <w:tc>
          <w:tcPr>
            <w:tcW w:w="755" w:type="pct"/>
            <w:tcBorders>
              <w:top w:val="nil"/>
              <w:left w:val="nil"/>
              <w:bottom w:val="single" w:sz="4" w:space="0" w:color="auto"/>
              <w:right w:val="single" w:sz="4" w:space="0" w:color="auto"/>
            </w:tcBorders>
            <w:shd w:val="clear" w:color="auto" w:fill="auto"/>
            <w:vAlign w:val="bottom"/>
            <w:hideMark/>
          </w:tcPr>
          <w:p w14:paraId="0A7D1F1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24,26%</w:t>
            </w:r>
          </w:p>
        </w:tc>
      </w:tr>
      <w:tr w:rsidR="009245B1" w:rsidRPr="00922031" w14:paraId="4445E0AF"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21249E39"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Lož ulje</w:t>
            </w:r>
          </w:p>
        </w:tc>
        <w:tc>
          <w:tcPr>
            <w:tcW w:w="712" w:type="pct"/>
            <w:tcBorders>
              <w:top w:val="nil"/>
              <w:left w:val="nil"/>
              <w:bottom w:val="single" w:sz="4" w:space="0" w:color="auto"/>
              <w:right w:val="single" w:sz="4" w:space="0" w:color="auto"/>
            </w:tcBorders>
            <w:shd w:val="clear" w:color="auto" w:fill="auto"/>
            <w:noWrap/>
            <w:vAlign w:val="bottom"/>
            <w:hideMark/>
          </w:tcPr>
          <w:p w14:paraId="14D6B412"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0BC6D55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vAlign w:val="bottom"/>
            <w:hideMark/>
          </w:tcPr>
          <w:p w14:paraId="65F2D99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62 517,27</w:t>
            </w:r>
          </w:p>
        </w:tc>
        <w:tc>
          <w:tcPr>
            <w:tcW w:w="856" w:type="pct"/>
            <w:tcBorders>
              <w:top w:val="nil"/>
              <w:left w:val="nil"/>
              <w:bottom w:val="single" w:sz="4" w:space="0" w:color="auto"/>
              <w:right w:val="single" w:sz="4" w:space="0" w:color="auto"/>
            </w:tcBorders>
            <w:shd w:val="clear" w:color="auto" w:fill="auto"/>
            <w:noWrap/>
            <w:vAlign w:val="bottom"/>
            <w:hideMark/>
          </w:tcPr>
          <w:p w14:paraId="30929381"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62 517,27</w:t>
            </w:r>
          </w:p>
        </w:tc>
        <w:tc>
          <w:tcPr>
            <w:tcW w:w="755" w:type="pct"/>
            <w:tcBorders>
              <w:top w:val="nil"/>
              <w:left w:val="nil"/>
              <w:bottom w:val="single" w:sz="4" w:space="0" w:color="auto"/>
              <w:right w:val="single" w:sz="4" w:space="0" w:color="auto"/>
            </w:tcBorders>
            <w:shd w:val="clear" w:color="auto" w:fill="auto"/>
            <w:vAlign w:val="bottom"/>
            <w:hideMark/>
          </w:tcPr>
          <w:p w14:paraId="02319C4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2,13%</w:t>
            </w:r>
          </w:p>
        </w:tc>
      </w:tr>
      <w:tr w:rsidR="009245B1" w:rsidRPr="00922031" w14:paraId="2FAF051D"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47C96195"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Prirodni plin</w:t>
            </w:r>
          </w:p>
        </w:tc>
        <w:tc>
          <w:tcPr>
            <w:tcW w:w="712" w:type="pct"/>
            <w:tcBorders>
              <w:top w:val="nil"/>
              <w:left w:val="nil"/>
              <w:bottom w:val="single" w:sz="4" w:space="0" w:color="auto"/>
              <w:right w:val="single" w:sz="4" w:space="0" w:color="auto"/>
            </w:tcBorders>
            <w:shd w:val="clear" w:color="auto" w:fill="auto"/>
            <w:vAlign w:val="bottom"/>
            <w:hideMark/>
          </w:tcPr>
          <w:p w14:paraId="13B170F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1947736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584,82</w:t>
            </w:r>
          </w:p>
        </w:tc>
        <w:tc>
          <w:tcPr>
            <w:tcW w:w="705" w:type="pct"/>
            <w:tcBorders>
              <w:top w:val="nil"/>
              <w:left w:val="nil"/>
              <w:bottom w:val="single" w:sz="4" w:space="0" w:color="auto"/>
              <w:right w:val="single" w:sz="4" w:space="0" w:color="auto"/>
            </w:tcBorders>
            <w:shd w:val="clear" w:color="auto" w:fill="auto"/>
            <w:vAlign w:val="bottom"/>
            <w:hideMark/>
          </w:tcPr>
          <w:p w14:paraId="6523B8D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614 390,70</w:t>
            </w:r>
          </w:p>
        </w:tc>
        <w:tc>
          <w:tcPr>
            <w:tcW w:w="856" w:type="pct"/>
            <w:tcBorders>
              <w:top w:val="nil"/>
              <w:left w:val="nil"/>
              <w:bottom w:val="single" w:sz="4" w:space="0" w:color="auto"/>
              <w:right w:val="single" w:sz="4" w:space="0" w:color="auto"/>
            </w:tcBorders>
            <w:shd w:val="clear" w:color="auto" w:fill="auto"/>
            <w:noWrap/>
            <w:vAlign w:val="bottom"/>
            <w:hideMark/>
          </w:tcPr>
          <w:p w14:paraId="267722A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614 975,52</w:t>
            </w:r>
          </w:p>
        </w:tc>
        <w:tc>
          <w:tcPr>
            <w:tcW w:w="755" w:type="pct"/>
            <w:tcBorders>
              <w:top w:val="nil"/>
              <w:left w:val="nil"/>
              <w:bottom w:val="single" w:sz="4" w:space="0" w:color="auto"/>
              <w:right w:val="single" w:sz="4" w:space="0" w:color="auto"/>
            </w:tcBorders>
            <w:shd w:val="clear" w:color="auto" w:fill="auto"/>
            <w:vAlign w:val="bottom"/>
            <w:hideMark/>
          </w:tcPr>
          <w:p w14:paraId="4379B8B0"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20,99%</w:t>
            </w:r>
          </w:p>
        </w:tc>
      </w:tr>
      <w:tr w:rsidR="009245B1" w:rsidRPr="00922031" w14:paraId="7EEFE3B9"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86406D2"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Toplana</w:t>
            </w:r>
          </w:p>
        </w:tc>
        <w:tc>
          <w:tcPr>
            <w:tcW w:w="712" w:type="pct"/>
            <w:tcBorders>
              <w:top w:val="nil"/>
              <w:left w:val="nil"/>
              <w:bottom w:val="single" w:sz="4" w:space="0" w:color="auto"/>
              <w:right w:val="single" w:sz="4" w:space="0" w:color="auto"/>
            </w:tcBorders>
            <w:shd w:val="clear" w:color="auto" w:fill="auto"/>
            <w:noWrap/>
            <w:vAlign w:val="bottom"/>
            <w:hideMark/>
          </w:tcPr>
          <w:p w14:paraId="6066859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58201A3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629AB5C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444 668,42</w:t>
            </w:r>
          </w:p>
        </w:tc>
        <w:tc>
          <w:tcPr>
            <w:tcW w:w="856" w:type="pct"/>
            <w:tcBorders>
              <w:top w:val="nil"/>
              <w:left w:val="nil"/>
              <w:bottom w:val="single" w:sz="4" w:space="0" w:color="auto"/>
              <w:right w:val="single" w:sz="4" w:space="0" w:color="auto"/>
            </w:tcBorders>
            <w:shd w:val="clear" w:color="auto" w:fill="auto"/>
            <w:noWrap/>
            <w:vAlign w:val="bottom"/>
            <w:hideMark/>
          </w:tcPr>
          <w:p w14:paraId="643D630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444 668,42</w:t>
            </w:r>
          </w:p>
        </w:tc>
        <w:tc>
          <w:tcPr>
            <w:tcW w:w="755" w:type="pct"/>
            <w:tcBorders>
              <w:top w:val="nil"/>
              <w:left w:val="nil"/>
              <w:bottom w:val="single" w:sz="4" w:space="0" w:color="auto"/>
              <w:right w:val="single" w:sz="4" w:space="0" w:color="auto"/>
            </w:tcBorders>
            <w:shd w:val="clear" w:color="auto" w:fill="auto"/>
            <w:vAlign w:val="bottom"/>
            <w:hideMark/>
          </w:tcPr>
          <w:p w14:paraId="220D9A94"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15,17%</w:t>
            </w:r>
          </w:p>
        </w:tc>
      </w:tr>
      <w:tr w:rsidR="009245B1" w:rsidRPr="00922031" w14:paraId="6511C463"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40026BE"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Plinske boce</w:t>
            </w:r>
          </w:p>
        </w:tc>
        <w:tc>
          <w:tcPr>
            <w:tcW w:w="712" w:type="pct"/>
            <w:tcBorders>
              <w:top w:val="nil"/>
              <w:left w:val="nil"/>
              <w:bottom w:val="single" w:sz="4" w:space="0" w:color="auto"/>
              <w:right w:val="single" w:sz="4" w:space="0" w:color="auto"/>
            </w:tcBorders>
            <w:shd w:val="clear" w:color="auto" w:fill="auto"/>
            <w:noWrap/>
            <w:vAlign w:val="bottom"/>
            <w:hideMark/>
          </w:tcPr>
          <w:p w14:paraId="24DB2EA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0799782A"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25A39F4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1 658,73</w:t>
            </w:r>
          </w:p>
        </w:tc>
        <w:tc>
          <w:tcPr>
            <w:tcW w:w="856" w:type="pct"/>
            <w:tcBorders>
              <w:top w:val="nil"/>
              <w:left w:val="nil"/>
              <w:bottom w:val="single" w:sz="4" w:space="0" w:color="auto"/>
              <w:right w:val="single" w:sz="4" w:space="0" w:color="auto"/>
            </w:tcBorders>
            <w:shd w:val="clear" w:color="auto" w:fill="auto"/>
            <w:noWrap/>
            <w:vAlign w:val="bottom"/>
            <w:hideMark/>
          </w:tcPr>
          <w:p w14:paraId="11222D3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1 658,73</w:t>
            </w:r>
          </w:p>
        </w:tc>
        <w:tc>
          <w:tcPr>
            <w:tcW w:w="755" w:type="pct"/>
            <w:tcBorders>
              <w:top w:val="nil"/>
              <w:left w:val="nil"/>
              <w:bottom w:val="single" w:sz="4" w:space="0" w:color="auto"/>
              <w:right w:val="single" w:sz="4" w:space="0" w:color="auto"/>
            </w:tcBorders>
            <w:shd w:val="clear" w:color="auto" w:fill="auto"/>
            <w:vAlign w:val="bottom"/>
            <w:hideMark/>
          </w:tcPr>
          <w:p w14:paraId="672DDA04"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0,06%</w:t>
            </w:r>
          </w:p>
        </w:tc>
      </w:tr>
      <w:tr w:rsidR="009245B1" w:rsidRPr="00922031" w14:paraId="6D4E34A5"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5A7EA3F"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Mrki ugljen</w:t>
            </w:r>
          </w:p>
        </w:tc>
        <w:tc>
          <w:tcPr>
            <w:tcW w:w="712" w:type="pct"/>
            <w:tcBorders>
              <w:top w:val="nil"/>
              <w:left w:val="nil"/>
              <w:bottom w:val="single" w:sz="4" w:space="0" w:color="auto"/>
              <w:right w:val="single" w:sz="4" w:space="0" w:color="auto"/>
            </w:tcBorders>
            <w:shd w:val="clear" w:color="auto" w:fill="auto"/>
            <w:noWrap/>
            <w:vAlign w:val="bottom"/>
            <w:hideMark/>
          </w:tcPr>
          <w:p w14:paraId="45D25C63"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322F123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52DA9010"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657,40</w:t>
            </w:r>
          </w:p>
        </w:tc>
        <w:tc>
          <w:tcPr>
            <w:tcW w:w="856" w:type="pct"/>
            <w:tcBorders>
              <w:top w:val="nil"/>
              <w:left w:val="nil"/>
              <w:bottom w:val="single" w:sz="4" w:space="0" w:color="auto"/>
              <w:right w:val="single" w:sz="4" w:space="0" w:color="auto"/>
            </w:tcBorders>
            <w:shd w:val="clear" w:color="auto" w:fill="auto"/>
            <w:noWrap/>
            <w:vAlign w:val="bottom"/>
            <w:hideMark/>
          </w:tcPr>
          <w:p w14:paraId="25D5859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657,40</w:t>
            </w:r>
          </w:p>
        </w:tc>
        <w:tc>
          <w:tcPr>
            <w:tcW w:w="755" w:type="pct"/>
            <w:tcBorders>
              <w:top w:val="nil"/>
              <w:left w:val="nil"/>
              <w:bottom w:val="single" w:sz="4" w:space="0" w:color="auto"/>
              <w:right w:val="single" w:sz="4" w:space="0" w:color="auto"/>
            </w:tcBorders>
            <w:shd w:val="clear" w:color="auto" w:fill="auto"/>
            <w:vAlign w:val="bottom"/>
            <w:hideMark/>
          </w:tcPr>
          <w:p w14:paraId="0B739CA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0,02%</w:t>
            </w:r>
          </w:p>
        </w:tc>
      </w:tr>
      <w:tr w:rsidR="009245B1" w:rsidRPr="00922031" w14:paraId="5F7DF6B2"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6C4686B0"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Lignit</w:t>
            </w:r>
          </w:p>
        </w:tc>
        <w:tc>
          <w:tcPr>
            <w:tcW w:w="712" w:type="pct"/>
            <w:tcBorders>
              <w:top w:val="nil"/>
              <w:left w:val="nil"/>
              <w:bottom w:val="single" w:sz="4" w:space="0" w:color="auto"/>
              <w:right w:val="single" w:sz="4" w:space="0" w:color="auto"/>
            </w:tcBorders>
            <w:shd w:val="clear" w:color="auto" w:fill="auto"/>
            <w:noWrap/>
            <w:vAlign w:val="bottom"/>
            <w:hideMark/>
          </w:tcPr>
          <w:p w14:paraId="68AA0BBD"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5E9150F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vAlign w:val="bottom"/>
            <w:hideMark/>
          </w:tcPr>
          <w:p w14:paraId="07DBDE83"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436,80</w:t>
            </w:r>
          </w:p>
        </w:tc>
        <w:tc>
          <w:tcPr>
            <w:tcW w:w="856" w:type="pct"/>
            <w:tcBorders>
              <w:top w:val="nil"/>
              <w:left w:val="nil"/>
              <w:bottom w:val="single" w:sz="4" w:space="0" w:color="auto"/>
              <w:right w:val="single" w:sz="4" w:space="0" w:color="auto"/>
            </w:tcBorders>
            <w:shd w:val="clear" w:color="auto" w:fill="auto"/>
            <w:noWrap/>
            <w:vAlign w:val="bottom"/>
            <w:hideMark/>
          </w:tcPr>
          <w:p w14:paraId="18F405B5"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436,80</w:t>
            </w:r>
          </w:p>
        </w:tc>
        <w:tc>
          <w:tcPr>
            <w:tcW w:w="755" w:type="pct"/>
            <w:tcBorders>
              <w:top w:val="nil"/>
              <w:left w:val="nil"/>
              <w:bottom w:val="single" w:sz="4" w:space="0" w:color="auto"/>
              <w:right w:val="single" w:sz="4" w:space="0" w:color="auto"/>
            </w:tcBorders>
            <w:shd w:val="clear" w:color="auto" w:fill="auto"/>
            <w:vAlign w:val="bottom"/>
            <w:hideMark/>
          </w:tcPr>
          <w:p w14:paraId="648BBA7B"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0,01%</w:t>
            </w:r>
          </w:p>
        </w:tc>
      </w:tr>
      <w:tr w:rsidR="009245B1" w:rsidRPr="00922031" w14:paraId="045946DC"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E6DE7B9"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Petrolej</w:t>
            </w:r>
          </w:p>
        </w:tc>
        <w:tc>
          <w:tcPr>
            <w:tcW w:w="712" w:type="pct"/>
            <w:tcBorders>
              <w:top w:val="nil"/>
              <w:left w:val="nil"/>
              <w:bottom w:val="single" w:sz="4" w:space="0" w:color="auto"/>
              <w:right w:val="single" w:sz="4" w:space="0" w:color="auto"/>
            </w:tcBorders>
            <w:shd w:val="clear" w:color="auto" w:fill="auto"/>
            <w:noWrap/>
            <w:vAlign w:val="bottom"/>
            <w:hideMark/>
          </w:tcPr>
          <w:p w14:paraId="595F94F9"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632" w:type="pct"/>
            <w:tcBorders>
              <w:top w:val="nil"/>
              <w:left w:val="nil"/>
              <w:bottom w:val="single" w:sz="4" w:space="0" w:color="auto"/>
              <w:right w:val="single" w:sz="4" w:space="0" w:color="auto"/>
            </w:tcBorders>
            <w:shd w:val="clear" w:color="auto" w:fill="auto"/>
            <w:noWrap/>
            <w:vAlign w:val="bottom"/>
            <w:hideMark/>
          </w:tcPr>
          <w:p w14:paraId="42E2FC88"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 </w:t>
            </w:r>
          </w:p>
        </w:tc>
        <w:tc>
          <w:tcPr>
            <w:tcW w:w="705" w:type="pct"/>
            <w:tcBorders>
              <w:top w:val="nil"/>
              <w:left w:val="nil"/>
              <w:bottom w:val="single" w:sz="4" w:space="0" w:color="auto"/>
              <w:right w:val="single" w:sz="4" w:space="0" w:color="auto"/>
            </w:tcBorders>
            <w:shd w:val="clear" w:color="auto" w:fill="auto"/>
            <w:noWrap/>
            <w:vAlign w:val="bottom"/>
            <w:hideMark/>
          </w:tcPr>
          <w:p w14:paraId="18FED2B6"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569,17</w:t>
            </w:r>
          </w:p>
        </w:tc>
        <w:tc>
          <w:tcPr>
            <w:tcW w:w="856" w:type="pct"/>
            <w:tcBorders>
              <w:top w:val="nil"/>
              <w:left w:val="nil"/>
              <w:bottom w:val="single" w:sz="4" w:space="0" w:color="auto"/>
              <w:right w:val="single" w:sz="4" w:space="0" w:color="auto"/>
            </w:tcBorders>
            <w:shd w:val="clear" w:color="auto" w:fill="auto"/>
            <w:noWrap/>
            <w:vAlign w:val="bottom"/>
            <w:hideMark/>
          </w:tcPr>
          <w:p w14:paraId="02E659C7"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569,17</w:t>
            </w:r>
          </w:p>
        </w:tc>
        <w:tc>
          <w:tcPr>
            <w:tcW w:w="755" w:type="pct"/>
            <w:tcBorders>
              <w:top w:val="nil"/>
              <w:left w:val="nil"/>
              <w:bottom w:val="single" w:sz="4" w:space="0" w:color="auto"/>
              <w:right w:val="single" w:sz="4" w:space="0" w:color="auto"/>
            </w:tcBorders>
            <w:shd w:val="clear" w:color="auto" w:fill="auto"/>
            <w:vAlign w:val="bottom"/>
            <w:hideMark/>
          </w:tcPr>
          <w:p w14:paraId="5A0EC99C" w14:textId="77777777" w:rsidR="009245B1" w:rsidRPr="005808FC" w:rsidRDefault="009245B1" w:rsidP="005808FC">
            <w:pPr>
              <w:spacing w:after="0"/>
              <w:rPr>
                <w:rFonts w:eastAsia="Times New Roman"/>
                <w:color w:val="000000" w:themeColor="text1"/>
                <w:sz w:val="20"/>
                <w:szCs w:val="20"/>
                <w:lang w:eastAsia="hr-HR"/>
              </w:rPr>
            </w:pPr>
            <w:r w:rsidRPr="00291DF5">
              <w:rPr>
                <w:rFonts w:eastAsia="Times New Roman"/>
                <w:color w:val="000000"/>
                <w:sz w:val="20"/>
                <w:szCs w:val="20"/>
                <w:lang w:eastAsia="hr-HR"/>
              </w:rPr>
              <w:t>0,02%</w:t>
            </w:r>
          </w:p>
        </w:tc>
      </w:tr>
      <w:tr w:rsidR="009245B1" w:rsidRPr="00922031" w14:paraId="5F8020C5"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0002097"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UKUPNO</w:t>
            </w:r>
          </w:p>
        </w:tc>
        <w:tc>
          <w:tcPr>
            <w:tcW w:w="712" w:type="pct"/>
            <w:tcBorders>
              <w:top w:val="nil"/>
              <w:left w:val="nil"/>
              <w:bottom w:val="single" w:sz="4" w:space="0" w:color="auto"/>
              <w:right w:val="single" w:sz="4" w:space="0" w:color="auto"/>
            </w:tcBorders>
            <w:shd w:val="clear" w:color="auto" w:fill="auto"/>
            <w:noWrap/>
            <w:vAlign w:val="bottom"/>
            <w:hideMark/>
          </w:tcPr>
          <w:p w14:paraId="4FEF2350" w14:textId="77777777" w:rsidR="009245B1" w:rsidRPr="005808FC" w:rsidRDefault="009245B1" w:rsidP="005808FC">
            <w:pPr>
              <w:spacing w:after="0"/>
              <w:rPr>
                <w:rFonts w:eastAsia="Times New Roman"/>
                <w:b/>
                <w:bCs/>
                <w:color w:val="000000" w:themeColor="text1"/>
                <w:sz w:val="20"/>
                <w:szCs w:val="20"/>
                <w:lang w:eastAsia="hr-HR"/>
              </w:rPr>
            </w:pPr>
            <w:r w:rsidRPr="00291DF5">
              <w:rPr>
                <w:rFonts w:eastAsia="Times New Roman"/>
                <w:b/>
                <w:bCs/>
                <w:color w:val="000000"/>
                <w:sz w:val="20"/>
                <w:szCs w:val="20"/>
                <w:lang w:eastAsia="hr-HR"/>
              </w:rPr>
              <w:t>1 100 954,94</w:t>
            </w:r>
          </w:p>
        </w:tc>
        <w:tc>
          <w:tcPr>
            <w:tcW w:w="632" w:type="pct"/>
            <w:tcBorders>
              <w:top w:val="nil"/>
              <w:left w:val="nil"/>
              <w:bottom w:val="single" w:sz="4" w:space="0" w:color="auto"/>
              <w:right w:val="single" w:sz="4" w:space="0" w:color="auto"/>
            </w:tcBorders>
            <w:shd w:val="clear" w:color="auto" w:fill="auto"/>
            <w:noWrap/>
            <w:vAlign w:val="bottom"/>
            <w:hideMark/>
          </w:tcPr>
          <w:p w14:paraId="242A819E" w14:textId="77777777" w:rsidR="009245B1" w:rsidRPr="005808FC" w:rsidRDefault="009245B1" w:rsidP="005808FC">
            <w:pPr>
              <w:spacing w:after="0"/>
              <w:rPr>
                <w:rFonts w:eastAsia="Times New Roman"/>
                <w:b/>
                <w:bCs/>
                <w:color w:val="000000" w:themeColor="text1"/>
                <w:sz w:val="20"/>
                <w:szCs w:val="20"/>
                <w:lang w:eastAsia="hr-HR"/>
              </w:rPr>
            </w:pPr>
            <w:r w:rsidRPr="00291DF5">
              <w:rPr>
                <w:rFonts w:eastAsia="Times New Roman"/>
                <w:b/>
                <w:bCs/>
                <w:color w:val="000000"/>
                <w:sz w:val="20"/>
                <w:szCs w:val="20"/>
                <w:lang w:eastAsia="hr-HR"/>
              </w:rPr>
              <w:t>27 411,84</w:t>
            </w:r>
          </w:p>
        </w:tc>
        <w:tc>
          <w:tcPr>
            <w:tcW w:w="705" w:type="pct"/>
            <w:tcBorders>
              <w:top w:val="nil"/>
              <w:left w:val="nil"/>
              <w:bottom w:val="single" w:sz="4" w:space="0" w:color="auto"/>
              <w:right w:val="single" w:sz="4" w:space="0" w:color="auto"/>
            </w:tcBorders>
            <w:shd w:val="clear" w:color="auto" w:fill="auto"/>
            <w:noWrap/>
            <w:vAlign w:val="bottom"/>
            <w:hideMark/>
          </w:tcPr>
          <w:p w14:paraId="0DBB3DCD" w14:textId="77777777" w:rsidR="009245B1" w:rsidRPr="005808FC" w:rsidRDefault="009245B1" w:rsidP="005808FC">
            <w:pPr>
              <w:spacing w:after="0"/>
              <w:rPr>
                <w:rFonts w:eastAsia="Times New Roman"/>
                <w:b/>
                <w:bCs/>
                <w:color w:val="000000" w:themeColor="text1"/>
                <w:sz w:val="20"/>
                <w:szCs w:val="20"/>
                <w:lang w:eastAsia="hr-HR"/>
              </w:rPr>
            </w:pPr>
            <w:r w:rsidRPr="00291DF5">
              <w:rPr>
                <w:rFonts w:eastAsia="Times New Roman"/>
                <w:b/>
                <w:bCs/>
                <w:color w:val="000000"/>
                <w:sz w:val="20"/>
                <w:szCs w:val="20"/>
                <w:lang w:eastAsia="hr-HR"/>
              </w:rPr>
              <w:t>1 801 942,15</w:t>
            </w:r>
          </w:p>
        </w:tc>
        <w:tc>
          <w:tcPr>
            <w:tcW w:w="856" w:type="pct"/>
            <w:tcBorders>
              <w:top w:val="nil"/>
              <w:left w:val="nil"/>
              <w:bottom w:val="single" w:sz="4" w:space="0" w:color="auto"/>
              <w:right w:val="single" w:sz="4" w:space="0" w:color="auto"/>
            </w:tcBorders>
            <w:shd w:val="clear" w:color="auto" w:fill="auto"/>
            <w:noWrap/>
            <w:vAlign w:val="bottom"/>
            <w:hideMark/>
          </w:tcPr>
          <w:p w14:paraId="633EAC2D" w14:textId="77777777" w:rsidR="009245B1" w:rsidRPr="005808FC" w:rsidRDefault="009245B1" w:rsidP="005808FC">
            <w:pPr>
              <w:spacing w:after="0"/>
              <w:rPr>
                <w:rFonts w:eastAsia="Times New Roman"/>
                <w:b/>
                <w:bCs/>
                <w:color w:val="000000" w:themeColor="text1"/>
                <w:sz w:val="20"/>
                <w:szCs w:val="20"/>
                <w:lang w:eastAsia="hr-HR"/>
              </w:rPr>
            </w:pPr>
            <w:r w:rsidRPr="00291DF5">
              <w:rPr>
                <w:rFonts w:eastAsia="Times New Roman"/>
                <w:b/>
                <w:bCs/>
                <w:color w:val="000000"/>
                <w:sz w:val="20"/>
                <w:szCs w:val="20"/>
                <w:lang w:eastAsia="hr-HR"/>
              </w:rPr>
              <w:t>2 930 308,93</w:t>
            </w:r>
          </w:p>
        </w:tc>
        <w:tc>
          <w:tcPr>
            <w:tcW w:w="755" w:type="pct"/>
            <w:tcBorders>
              <w:top w:val="nil"/>
              <w:left w:val="nil"/>
              <w:bottom w:val="single" w:sz="4" w:space="0" w:color="auto"/>
              <w:right w:val="single" w:sz="4" w:space="0" w:color="auto"/>
            </w:tcBorders>
            <w:shd w:val="clear" w:color="auto" w:fill="auto"/>
            <w:vAlign w:val="bottom"/>
            <w:hideMark/>
          </w:tcPr>
          <w:p w14:paraId="766017DB"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100,00%</w:t>
            </w:r>
          </w:p>
        </w:tc>
      </w:tr>
      <w:tr w:rsidR="009245B1" w:rsidRPr="00922031" w14:paraId="6B0CB2DC" w14:textId="77777777" w:rsidTr="00AC057A">
        <w:trPr>
          <w:trHeight w:val="240"/>
        </w:trPr>
        <w:tc>
          <w:tcPr>
            <w:tcW w:w="1341"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51761B47"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w:t>
            </w:r>
          </w:p>
        </w:tc>
        <w:tc>
          <w:tcPr>
            <w:tcW w:w="712" w:type="pct"/>
            <w:tcBorders>
              <w:top w:val="nil"/>
              <w:left w:val="nil"/>
              <w:bottom w:val="single" w:sz="4" w:space="0" w:color="auto"/>
              <w:right w:val="single" w:sz="4" w:space="0" w:color="auto"/>
            </w:tcBorders>
            <w:shd w:val="clear" w:color="auto" w:fill="auto"/>
            <w:noWrap/>
            <w:vAlign w:val="bottom"/>
            <w:hideMark/>
          </w:tcPr>
          <w:p w14:paraId="3B015A58"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37,57%</w:t>
            </w:r>
          </w:p>
        </w:tc>
        <w:tc>
          <w:tcPr>
            <w:tcW w:w="632" w:type="pct"/>
            <w:tcBorders>
              <w:top w:val="nil"/>
              <w:left w:val="nil"/>
              <w:bottom w:val="single" w:sz="4" w:space="0" w:color="auto"/>
              <w:right w:val="single" w:sz="4" w:space="0" w:color="auto"/>
            </w:tcBorders>
            <w:shd w:val="clear" w:color="auto" w:fill="auto"/>
            <w:noWrap/>
            <w:vAlign w:val="bottom"/>
            <w:hideMark/>
          </w:tcPr>
          <w:p w14:paraId="3DF3BCDB"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0,94%</w:t>
            </w:r>
          </w:p>
        </w:tc>
        <w:tc>
          <w:tcPr>
            <w:tcW w:w="705" w:type="pct"/>
            <w:tcBorders>
              <w:top w:val="nil"/>
              <w:left w:val="nil"/>
              <w:bottom w:val="single" w:sz="4" w:space="0" w:color="auto"/>
              <w:right w:val="single" w:sz="4" w:space="0" w:color="auto"/>
            </w:tcBorders>
            <w:shd w:val="clear" w:color="auto" w:fill="auto"/>
            <w:noWrap/>
            <w:vAlign w:val="bottom"/>
            <w:hideMark/>
          </w:tcPr>
          <w:p w14:paraId="4AA1040F"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61,49%</w:t>
            </w:r>
          </w:p>
        </w:tc>
        <w:tc>
          <w:tcPr>
            <w:tcW w:w="856" w:type="pct"/>
            <w:tcBorders>
              <w:top w:val="nil"/>
              <w:left w:val="nil"/>
              <w:bottom w:val="single" w:sz="4" w:space="0" w:color="auto"/>
              <w:right w:val="single" w:sz="4" w:space="0" w:color="auto"/>
            </w:tcBorders>
            <w:shd w:val="clear" w:color="auto" w:fill="auto"/>
            <w:noWrap/>
            <w:vAlign w:val="bottom"/>
            <w:hideMark/>
          </w:tcPr>
          <w:p w14:paraId="1E259FDF"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100% </w:t>
            </w:r>
          </w:p>
        </w:tc>
        <w:tc>
          <w:tcPr>
            <w:tcW w:w="755" w:type="pct"/>
            <w:tcBorders>
              <w:top w:val="nil"/>
              <w:left w:val="nil"/>
              <w:bottom w:val="single" w:sz="4" w:space="0" w:color="auto"/>
              <w:right w:val="single" w:sz="4" w:space="0" w:color="auto"/>
            </w:tcBorders>
            <w:shd w:val="clear" w:color="auto" w:fill="auto"/>
            <w:vAlign w:val="bottom"/>
            <w:hideMark/>
          </w:tcPr>
          <w:p w14:paraId="2473017C" w14:textId="77777777" w:rsidR="009245B1" w:rsidRPr="005808FC" w:rsidRDefault="009245B1" w:rsidP="005808FC">
            <w:pPr>
              <w:spacing w:after="0"/>
              <w:rPr>
                <w:rFonts w:eastAsia="Times New Roman"/>
                <w:b/>
                <w:color w:val="000000" w:themeColor="text1"/>
                <w:sz w:val="20"/>
                <w:szCs w:val="20"/>
                <w:lang w:eastAsia="hr-HR"/>
              </w:rPr>
            </w:pPr>
            <w:r w:rsidRPr="00291DF5">
              <w:rPr>
                <w:rFonts w:eastAsia="Times New Roman"/>
                <w:b/>
                <w:bCs/>
                <w:color w:val="000000"/>
                <w:sz w:val="20"/>
                <w:szCs w:val="20"/>
                <w:lang w:eastAsia="hr-HR"/>
              </w:rPr>
              <w:t>100,00%</w:t>
            </w:r>
          </w:p>
        </w:tc>
      </w:tr>
    </w:tbl>
    <w:p w14:paraId="02E611A0" w14:textId="7F3A788C" w:rsidR="009245B1" w:rsidRPr="00256FE9" w:rsidRDefault="009245B1" w:rsidP="005808FC">
      <w:pPr>
        <w:spacing w:before="240"/>
      </w:pPr>
      <w:r w:rsidRPr="00291DF5">
        <w:t>Ukupan Kontrolni inventar emisija CO</w:t>
      </w:r>
      <w:r w:rsidRPr="005808FC">
        <w:rPr>
          <w:vertAlign w:val="subscript"/>
        </w:rPr>
        <w:t>2</w:t>
      </w:r>
      <w:r w:rsidRPr="005808FC">
        <w:t xml:space="preserve"> u 2015. godini iznosio je </w:t>
      </w:r>
      <w:r w:rsidRPr="005808FC">
        <w:rPr>
          <w:b/>
          <w:bCs/>
        </w:rPr>
        <w:t>2 930 kt CO</w:t>
      </w:r>
      <w:r w:rsidRPr="005808FC">
        <w:rPr>
          <w:b/>
          <w:bCs/>
          <w:vertAlign w:val="subscript"/>
        </w:rPr>
        <w:t>2</w:t>
      </w:r>
      <w:r w:rsidRPr="005808FC">
        <w:t xml:space="preserve"> te je za oko </w:t>
      </w:r>
      <w:r w:rsidRPr="005808FC">
        <w:rPr>
          <w:b/>
          <w:bCs/>
        </w:rPr>
        <w:t>5%</w:t>
      </w:r>
      <w:r w:rsidRPr="005808FC">
        <w:t xml:space="preserve"> veći u odnosu na Referentni inventar emisija CO</w:t>
      </w:r>
      <w:r w:rsidRPr="005808FC">
        <w:rPr>
          <w:vertAlign w:val="subscript"/>
        </w:rPr>
        <w:t>2</w:t>
      </w:r>
      <w:r w:rsidRPr="005808FC">
        <w:t xml:space="preserve"> izrađen za 2008. godinu, </w:t>
      </w:r>
      <w:r w:rsidRPr="005808FC">
        <w:fldChar w:fldCharType="begin"/>
      </w:r>
      <w:r w:rsidRPr="00256FE9">
        <w:rPr>
          <w:rFonts w:eastAsia="Calibri" w:cstheme="minorHAnsi"/>
        </w:rPr>
        <w:instrText xml:space="preserve"> REF _Ref466987161 \h  \* MERGEFORMAT </w:instrText>
      </w:r>
      <w:r w:rsidRPr="005808FC">
        <w:rPr>
          <w:rFonts w:eastAsia="Calibri" w:cstheme="minorHAnsi"/>
        </w:rPr>
        <w:fldChar w:fldCharType="separate"/>
      </w:r>
      <w:r w:rsidRPr="005808FC">
        <w:t xml:space="preserve">Slika </w:t>
      </w:r>
      <w:r w:rsidR="00256FE9" w:rsidRPr="005808FC">
        <w:t>6</w:t>
      </w:r>
      <w:r w:rsidRPr="005808FC">
        <w:rPr>
          <w:noProof/>
        </w:rPr>
        <w:t>.1</w:t>
      </w:r>
      <w:r w:rsidRPr="005808FC">
        <w:fldChar w:fldCharType="end"/>
      </w:r>
      <w:r w:rsidR="000509A0">
        <w:rPr>
          <w:rFonts w:eastAsia="Calibri"/>
        </w:rPr>
        <w:t xml:space="preserve"> i </w:t>
      </w:r>
      <w:r w:rsidRPr="005808FC">
        <w:fldChar w:fldCharType="begin"/>
      </w:r>
      <w:r w:rsidRPr="00256FE9">
        <w:rPr>
          <w:rFonts w:eastAsia="Calibri" w:cstheme="minorHAnsi"/>
        </w:rPr>
        <w:instrText xml:space="preserve"> REF _Ref466987178 \h  \* MERGEFORMAT </w:instrText>
      </w:r>
      <w:r w:rsidRPr="005808FC">
        <w:rPr>
          <w:rFonts w:eastAsia="Calibri" w:cstheme="minorHAnsi"/>
        </w:rPr>
        <w:fldChar w:fldCharType="separate"/>
      </w:r>
      <w:r w:rsidRPr="005808FC">
        <w:t xml:space="preserve">Slika </w:t>
      </w:r>
      <w:r w:rsidR="00256FE9" w:rsidRPr="005808FC">
        <w:rPr>
          <w:noProof/>
        </w:rPr>
        <w:t>6</w:t>
      </w:r>
      <w:r w:rsidRPr="005808FC">
        <w:rPr>
          <w:noProof/>
        </w:rPr>
        <w:t>.2</w:t>
      </w:r>
      <w:r w:rsidRPr="005808FC">
        <w:fldChar w:fldCharType="end"/>
      </w:r>
      <w:r w:rsidRPr="00291DF5">
        <w:rPr>
          <w:rFonts w:eastAsia="Calibri"/>
        </w:rPr>
        <w:t xml:space="preserve"> u nastavku.</w:t>
      </w:r>
    </w:p>
    <w:p w14:paraId="4F3EEB4F" w14:textId="77777777" w:rsidR="009245B1" w:rsidRPr="00922031" w:rsidRDefault="009245B1" w:rsidP="00975CD4">
      <w:pPr>
        <w:spacing w:after="0"/>
        <w:rPr>
          <w:rFonts w:cstheme="minorHAnsi"/>
          <w:noProof/>
          <w:lang w:eastAsia="hr-HR"/>
        </w:rPr>
      </w:pPr>
    </w:p>
    <w:p w14:paraId="3BD61AC8" w14:textId="77777777" w:rsidR="009245B1" w:rsidRPr="00922031" w:rsidRDefault="009245B1" w:rsidP="00975CD4">
      <w:pPr>
        <w:spacing w:after="0"/>
        <w:rPr>
          <w:rFonts w:cstheme="minorHAnsi"/>
          <w:noProof/>
          <w:lang w:eastAsia="hr-HR"/>
        </w:rPr>
      </w:pPr>
      <w:r w:rsidRPr="00922031">
        <w:rPr>
          <w:rFonts w:cstheme="minorHAnsi"/>
          <w:noProof/>
          <w:lang w:eastAsia="hr-HR"/>
        </w:rPr>
        <w:lastRenderedPageBreak/>
        <w:drawing>
          <wp:inline distT="0" distB="0" distL="0" distR="0" wp14:anchorId="271F76BE" wp14:editId="7D1B1429">
            <wp:extent cx="5641676" cy="3588588"/>
            <wp:effectExtent l="0" t="0" r="0" b="0"/>
            <wp:docPr id="149" name="Chart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FCE3669" w14:textId="012F7D30" w:rsidR="009245B1" w:rsidRPr="00922031" w:rsidRDefault="009245B1" w:rsidP="006D77A6">
      <w:pPr>
        <w:pStyle w:val="Heading6"/>
      </w:pPr>
      <w:bookmarkStart w:id="184" w:name="_Ref466987161"/>
      <w:bookmarkStart w:id="185" w:name="_Toc468277478"/>
      <w:bookmarkStart w:id="186" w:name="_Toc4156041"/>
      <w:r w:rsidRPr="00922031">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w:t>
      </w:r>
      <w:r w:rsidR="00CA6C6C" w:rsidRPr="005808FC">
        <w:fldChar w:fldCharType="end"/>
      </w:r>
      <w:bookmarkEnd w:id="184"/>
      <w:r w:rsidRPr="00922031">
        <w:t xml:space="preserve"> </w:t>
      </w:r>
      <w:r w:rsidR="000509A0">
        <w:t xml:space="preserve">- </w:t>
      </w:r>
      <w:r w:rsidRPr="00922031">
        <w:t>Referentni inventar emisije CO</w:t>
      </w:r>
      <w:r w:rsidRPr="00922031">
        <w:rPr>
          <w:vertAlign w:val="subscript"/>
        </w:rPr>
        <w:t>2</w:t>
      </w:r>
      <w:r w:rsidRPr="00922031">
        <w:t xml:space="preserve"> po sektorima</w:t>
      </w:r>
      <w:r w:rsidR="000509A0">
        <w:t xml:space="preserve"> i </w:t>
      </w:r>
      <w:r w:rsidRPr="00922031">
        <w:t>energentima, 2008. godina</w:t>
      </w:r>
      <w:bookmarkEnd w:id="185"/>
      <w:bookmarkEnd w:id="186"/>
    </w:p>
    <w:p w14:paraId="450A261F" w14:textId="77777777" w:rsidR="009245B1" w:rsidRPr="00922031" w:rsidRDefault="009245B1" w:rsidP="005808FC">
      <w:pPr>
        <w:spacing w:after="0"/>
        <w:jc w:val="center"/>
        <w:rPr>
          <w:rFonts w:cstheme="minorHAnsi"/>
          <w:noProof/>
          <w:lang w:eastAsia="hr-HR"/>
        </w:rPr>
      </w:pPr>
      <w:r w:rsidRPr="00922031">
        <w:rPr>
          <w:rFonts w:cstheme="minorHAnsi"/>
          <w:noProof/>
          <w:lang w:eastAsia="hr-HR"/>
        </w:rPr>
        <w:drawing>
          <wp:inline distT="0" distB="0" distL="0" distR="0" wp14:anchorId="12E1717E" wp14:editId="4E20E2F3">
            <wp:extent cx="4782185" cy="2981325"/>
            <wp:effectExtent l="0" t="0" r="0" b="0"/>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1655425" w14:textId="15E24453" w:rsidR="009245B1" w:rsidRPr="00922031" w:rsidRDefault="009245B1" w:rsidP="006D77A6">
      <w:pPr>
        <w:pStyle w:val="Heading6"/>
      </w:pPr>
      <w:bookmarkStart w:id="187" w:name="_Ref466987178"/>
      <w:bookmarkStart w:id="188" w:name="_Toc468277479"/>
      <w:bookmarkStart w:id="189" w:name="_Toc4156042"/>
      <w:r w:rsidRPr="00922031">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2</w:t>
      </w:r>
      <w:r w:rsidR="00CA6C6C" w:rsidRPr="005808FC">
        <w:fldChar w:fldCharType="end"/>
      </w:r>
      <w:bookmarkEnd w:id="187"/>
      <w:r w:rsidRPr="00922031">
        <w:t xml:space="preserve"> </w:t>
      </w:r>
      <w:r w:rsidR="000509A0">
        <w:t xml:space="preserve">- </w:t>
      </w:r>
      <w:r w:rsidRPr="00922031">
        <w:t>Kontrolni inventar emisija CO2 po sektorima</w:t>
      </w:r>
      <w:r w:rsidR="000509A0">
        <w:t xml:space="preserve"> i </w:t>
      </w:r>
      <w:r w:rsidRPr="00922031">
        <w:t>energentima, 2015. godina</w:t>
      </w:r>
      <w:bookmarkEnd w:id="188"/>
      <w:bookmarkEnd w:id="189"/>
      <w:r w:rsidRPr="5886DDC2">
        <w:t xml:space="preserve"> </w:t>
      </w:r>
    </w:p>
    <w:p w14:paraId="1759E3F7" w14:textId="149A2954" w:rsidR="009245B1" w:rsidRPr="005808FC" w:rsidRDefault="009245B1" w:rsidP="005808FC">
      <w:pPr>
        <w:spacing w:before="240"/>
        <w:rPr>
          <w:rFonts w:eastAsia="Calibri"/>
        </w:rPr>
      </w:pPr>
      <w:r w:rsidRPr="00291DF5">
        <w:rPr>
          <w:rFonts w:eastAsia="Calibri"/>
        </w:rPr>
        <w:t>Najveće ostvareno povećanje emisije CO</w:t>
      </w:r>
      <w:r w:rsidRPr="005808FC">
        <w:rPr>
          <w:rFonts w:eastAsia="Calibri"/>
          <w:vertAlign w:val="subscript"/>
        </w:rPr>
        <w:t>2</w:t>
      </w:r>
      <w:r w:rsidRPr="005808FC">
        <w:rPr>
          <w:rFonts w:eastAsia="Calibri"/>
        </w:rPr>
        <w:t xml:space="preserve"> u 2015. godini u odnosu na 2008. godinu ostvareno je iz emisije dizelskog goriva, odnosno oko 20%, dok je najveće smanjene emisije CO</w:t>
      </w:r>
      <w:r w:rsidRPr="005808FC">
        <w:rPr>
          <w:rFonts w:eastAsia="Calibri"/>
          <w:vertAlign w:val="subscript"/>
        </w:rPr>
        <w:t xml:space="preserve">2 </w:t>
      </w:r>
      <w:r w:rsidRPr="005808FC">
        <w:rPr>
          <w:rFonts w:eastAsia="Calibri"/>
        </w:rPr>
        <w:t xml:space="preserve">ostvareno iz emisije lož ulja od oko 37% te motornog benzina od 10%, </w:t>
      </w:r>
      <w:r w:rsidRPr="005808FC">
        <w:fldChar w:fldCharType="begin"/>
      </w:r>
      <w:r w:rsidRPr="00256FE9">
        <w:rPr>
          <w:rFonts w:eastAsia="Calibri" w:cstheme="minorHAnsi"/>
        </w:rPr>
        <w:instrText xml:space="preserve"> REF _Ref467156174 \h  \* MERGEFORMAT </w:instrText>
      </w:r>
      <w:r w:rsidRPr="005808FC">
        <w:rPr>
          <w:rFonts w:eastAsia="Calibri" w:cstheme="minorHAnsi"/>
        </w:rPr>
        <w:fldChar w:fldCharType="separate"/>
      </w:r>
      <w:r w:rsidRPr="005808FC">
        <w:t xml:space="preserve">Slika </w:t>
      </w:r>
      <w:r w:rsidR="00256FE9" w:rsidRPr="005808FC">
        <w:rPr>
          <w:noProof/>
        </w:rPr>
        <w:t>6</w:t>
      </w:r>
      <w:r w:rsidRPr="005808FC">
        <w:rPr>
          <w:noProof/>
        </w:rPr>
        <w:t>.3</w:t>
      </w:r>
      <w:r w:rsidRPr="005808FC">
        <w:fldChar w:fldCharType="end"/>
      </w:r>
      <w:r w:rsidRPr="00291DF5">
        <w:rPr>
          <w:rFonts w:eastAsia="Calibri"/>
        </w:rPr>
        <w:t>.</w:t>
      </w:r>
    </w:p>
    <w:p w14:paraId="6E8B2A02" w14:textId="77777777" w:rsidR="009245B1" w:rsidRPr="00922031" w:rsidRDefault="009245B1" w:rsidP="00975CD4">
      <w:pPr>
        <w:spacing w:after="0"/>
        <w:rPr>
          <w:rFonts w:cstheme="minorHAnsi"/>
          <w:noProof/>
          <w:lang w:eastAsia="hr-HR"/>
        </w:rPr>
      </w:pPr>
      <w:r w:rsidRPr="00922031">
        <w:rPr>
          <w:rFonts w:cstheme="minorHAnsi"/>
          <w:noProof/>
          <w:lang w:eastAsia="hr-HR"/>
        </w:rPr>
        <w:lastRenderedPageBreak/>
        <w:drawing>
          <wp:inline distT="0" distB="0" distL="0" distR="0" wp14:anchorId="38DFBA21" wp14:editId="79F451D6">
            <wp:extent cx="5758775" cy="3142034"/>
            <wp:effectExtent l="0" t="0" r="0" b="1270"/>
            <wp:docPr id="168" name="Chart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BD7802A" w14:textId="2463EC3D" w:rsidR="009245B1" w:rsidRPr="00922031" w:rsidRDefault="009245B1" w:rsidP="006D77A6">
      <w:pPr>
        <w:pStyle w:val="Heading6"/>
      </w:pPr>
      <w:bookmarkStart w:id="190" w:name="_Ref467156174"/>
      <w:bookmarkStart w:id="191" w:name="_Toc468277480"/>
      <w:bookmarkStart w:id="192" w:name="_Toc4156043"/>
      <w:r w:rsidRPr="00922031">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3</w:t>
      </w:r>
      <w:r w:rsidR="00CA6C6C" w:rsidRPr="005808FC">
        <w:fldChar w:fldCharType="end"/>
      </w:r>
      <w:bookmarkEnd w:id="190"/>
      <w:r w:rsidRPr="00922031">
        <w:t xml:space="preserve"> </w:t>
      </w:r>
      <w:r w:rsidR="000509A0">
        <w:t xml:space="preserve">- </w:t>
      </w:r>
      <w:r w:rsidRPr="00922031">
        <w:t>Usporedba Referentnog</w:t>
      </w:r>
      <w:r w:rsidR="000509A0">
        <w:t xml:space="preserve"> i </w:t>
      </w:r>
      <w:r w:rsidRPr="00922031">
        <w:t>Kontrolnog inventara emisija CO</w:t>
      </w:r>
      <w:r w:rsidRPr="00922031">
        <w:rPr>
          <w:vertAlign w:val="subscript"/>
        </w:rPr>
        <w:t xml:space="preserve">2 </w:t>
      </w:r>
      <w:r w:rsidRPr="00922031">
        <w:t>po energentima</w:t>
      </w:r>
      <w:bookmarkEnd w:id="191"/>
      <w:bookmarkEnd w:id="192"/>
    </w:p>
    <w:p w14:paraId="455CCBC3" w14:textId="77777777" w:rsidR="009245B1" w:rsidRPr="005808FC" w:rsidRDefault="009245B1" w:rsidP="005808FC">
      <w:pPr>
        <w:spacing w:before="240"/>
        <w:rPr>
          <w:rFonts w:eastAsia="Calibri"/>
        </w:rPr>
      </w:pPr>
      <w:r w:rsidRPr="00291DF5">
        <w:rPr>
          <w:rFonts w:eastAsia="Calibri"/>
        </w:rPr>
        <w:t xml:space="preserve">Promatrajući udio promatranih sektora u 2015. u </w:t>
      </w:r>
      <w:r w:rsidRPr="005808FC">
        <w:rPr>
          <w:rFonts w:eastAsia="Calibri"/>
        </w:rPr>
        <w:t>odnosu na 2008. godinu, blago se promijenila struktura njihovog udjela u ukupnoj emisiji CO</w:t>
      </w:r>
      <w:r w:rsidRPr="005808FC">
        <w:rPr>
          <w:rFonts w:eastAsia="Calibri"/>
          <w:vertAlign w:val="subscript"/>
        </w:rPr>
        <w:t>2</w:t>
      </w:r>
      <w:r w:rsidRPr="005808FC">
        <w:rPr>
          <w:rFonts w:eastAsia="Calibri"/>
        </w:rPr>
        <w:t xml:space="preserve">, odnosno udio sektora promet se povećao sa 36% na 38% dok se udio ostalih sektora malo smanjio. </w:t>
      </w:r>
    </w:p>
    <w:p w14:paraId="1401BF1A" w14:textId="1BE6B35E" w:rsidR="009245B1" w:rsidRPr="005808FC" w:rsidRDefault="009245B1" w:rsidP="005808FC">
      <w:pPr>
        <w:spacing w:before="240"/>
        <w:rPr>
          <w:rFonts w:eastAsia="Calibri"/>
        </w:rPr>
      </w:pPr>
      <w:r w:rsidRPr="005808FC">
        <w:rPr>
          <w:rFonts w:eastAsia="Calibri"/>
        </w:rPr>
        <w:t xml:space="preserve">Povećanje udjela sektora promet je očekivano s obzirom da je </w:t>
      </w:r>
      <w:r w:rsidRPr="005808FC">
        <w:t>sektor prometa trenutno jedan od najintenzivnijih potrošača energije u Republici Hrvatskoj, a</w:t>
      </w:r>
      <w:r w:rsidR="000509A0">
        <w:t xml:space="preserve"> i </w:t>
      </w:r>
      <w:r w:rsidRPr="00291DF5">
        <w:t>u budućnosti se očekuje brži rast potrošnje sektora u usporedbi s ostalim sektorima,</w:t>
      </w:r>
      <w:r w:rsidRPr="00291DF5">
        <w:rPr>
          <w:rStyle w:val="FootnoteReference"/>
          <w:rFonts w:cstheme="minorBidi"/>
        </w:rPr>
        <w:footnoteReference w:id="4"/>
      </w:r>
      <w:r w:rsidRPr="00291DF5">
        <w:t xml:space="preserve"> </w:t>
      </w:r>
      <w:r w:rsidRPr="005808FC">
        <w:fldChar w:fldCharType="begin"/>
      </w:r>
      <w:r w:rsidRPr="00256FE9">
        <w:rPr>
          <w:rFonts w:cstheme="minorHAnsi"/>
        </w:rPr>
        <w:instrText xml:space="preserve"> REF _Ref467156218 \h  \* MERGEFORMAT </w:instrText>
      </w:r>
      <w:r w:rsidRPr="005808FC">
        <w:rPr>
          <w:rFonts w:cstheme="minorHAnsi"/>
        </w:rPr>
        <w:fldChar w:fldCharType="separate"/>
      </w:r>
      <w:r w:rsidRPr="005808FC">
        <w:t xml:space="preserve">Slika </w:t>
      </w:r>
      <w:r w:rsidR="00256FE9" w:rsidRPr="005808FC">
        <w:rPr>
          <w:noProof/>
        </w:rPr>
        <w:t>6</w:t>
      </w:r>
      <w:r w:rsidRPr="005808FC">
        <w:rPr>
          <w:noProof/>
        </w:rPr>
        <w:t>.4</w:t>
      </w:r>
      <w:r w:rsidRPr="005808FC">
        <w:fldChar w:fldCharType="end"/>
      </w:r>
      <w:r w:rsidR="000509A0">
        <w:t xml:space="preserve"> i </w:t>
      </w:r>
      <w:r w:rsidRPr="005808FC">
        <w:fldChar w:fldCharType="begin"/>
      </w:r>
      <w:r w:rsidRPr="00256FE9">
        <w:rPr>
          <w:rFonts w:cstheme="minorHAnsi"/>
        </w:rPr>
        <w:instrText xml:space="preserve"> REF _Ref467156230 \h  \* MERGEFORMAT </w:instrText>
      </w:r>
      <w:r w:rsidRPr="005808FC">
        <w:rPr>
          <w:rFonts w:cstheme="minorHAnsi"/>
        </w:rPr>
        <w:fldChar w:fldCharType="separate"/>
      </w:r>
      <w:r w:rsidRPr="005808FC">
        <w:t xml:space="preserve">Slika </w:t>
      </w:r>
      <w:r w:rsidR="00256FE9" w:rsidRPr="005808FC">
        <w:rPr>
          <w:noProof/>
        </w:rPr>
        <w:t>6</w:t>
      </w:r>
      <w:r w:rsidRPr="005808FC">
        <w:rPr>
          <w:noProof/>
        </w:rPr>
        <w:t>.5</w:t>
      </w:r>
      <w:r w:rsidRPr="005808FC">
        <w:fldChar w:fldCharType="end"/>
      </w:r>
      <w:r w:rsidRPr="00291DF5">
        <w:t>.</w:t>
      </w:r>
    </w:p>
    <w:p w14:paraId="71B1CCF9" w14:textId="0FDDD382" w:rsidR="000509A0" w:rsidRDefault="009245B1" w:rsidP="000509A0">
      <w:pPr>
        <w:jc w:val="center"/>
      </w:pPr>
      <w:r w:rsidRPr="006D77A6">
        <w:rPr>
          <w:noProof/>
          <w:lang w:eastAsia="hr-HR"/>
        </w:rPr>
        <w:drawing>
          <wp:inline distT="0" distB="0" distL="0" distR="0" wp14:anchorId="2CF47462" wp14:editId="3C832B6E">
            <wp:extent cx="4248150" cy="2552700"/>
            <wp:effectExtent l="0" t="0" r="0" b="0"/>
            <wp:docPr id="146" name="Chart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bookmarkStart w:id="193" w:name="_Ref467156218"/>
      <w:bookmarkStart w:id="194" w:name="_Toc468277481"/>
    </w:p>
    <w:p w14:paraId="65AB0F9B" w14:textId="57D4EBFF" w:rsidR="009245B1" w:rsidRPr="005808FC" w:rsidRDefault="009245B1" w:rsidP="005808FC">
      <w:pPr>
        <w:jc w:val="center"/>
        <w:rPr>
          <w:rStyle w:val="slikeprave"/>
        </w:rPr>
      </w:pPr>
      <w:bookmarkStart w:id="195" w:name="_Toc4156044"/>
      <w:r w:rsidRPr="005808FC">
        <w:rPr>
          <w:rStyle w:val="slikeprave"/>
        </w:rPr>
        <w:t xml:space="preserve">Slika </w:t>
      </w:r>
      <w:r w:rsidR="0019556A" w:rsidRPr="005808FC">
        <w:rPr>
          <w:rStyle w:val="slikeprave"/>
        </w:rPr>
        <w:fldChar w:fldCharType="begin"/>
      </w:r>
      <w:r w:rsidR="0019556A" w:rsidRPr="005808FC">
        <w:rPr>
          <w:rStyle w:val="slikeprave"/>
        </w:rPr>
        <w:instrText xml:space="preserve"> STYLEREF 1 \s </w:instrText>
      </w:r>
      <w:r w:rsidR="0019556A" w:rsidRPr="005808FC">
        <w:rPr>
          <w:rStyle w:val="slikeprave"/>
        </w:rPr>
        <w:fldChar w:fldCharType="separate"/>
      </w:r>
      <w:r w:rsidR="0019556A" w:rsidRPr="005808FC">
        <w:rPr>
          <w:rStyle w:val="slikeprave"/>
        </w:rPr>
        <w:t>6</w:t>
      </w:r>
      <w:r w:rsidR="0019556A" w:rsidRPr="005808FC">
        <w:rPr>
          <w:rStyle w:val="slikeprave"/>
        </w:rPr>
        <w:fldChar w:fldCharType="end"/>
      </w:r>
      <w:r w:rsidR="0019556A" w:rsidRPr="005808FC">
        <w:rPr>
          <w:rStyle w:val="slikeprave"/>
        </w:rPr>
        <w:t>.</w:t>
      </w:r>
      <w:r w:rsidR="0019556A" w:rsidRPr="005808FC">
        <w:rPr>
          <w:rStyle w:val="slikeprave"/>
        </w:rPr>
        <w:fldChar w:fldCharType="begin"/>
      </w:r>
      <w:r w:rsidR="0019556A" w:rsidRPr="005808FC">
        <w:rPr>
          <w:rStyle w:val="slikeprave"/>
        </w:rPr>
        <w:instrText xml:space="preserve"> SEQ Slika \* ARABIC \s 1 </w:instrText>
      </w:r>
      <w:r w:rsidR="0019556A" w:rsidRPr="005808FC">
        <w:rPr>
          <w:rStyle w:val="slikeprave"/>
        </w:rPr>
        <w:fldChar w:fldCharType="separate"/>
      </w:r>
      <w:r w:rsidR="0019556A" w:rsidRPr="005808FC">
        <w:rPr>
          <w:rStyle w:val="slikeprave"/>
        </w:rPr>
        <w:t>4</w:t>
      </w:r>
      <w:r w:rsidR="0019556A" w:rsidRPr="005808FC">
        <w:rPr>
          <w:rStyle w:val="slikeprave"/>
        </w:rPr>
        <w:fldChar w:fldCharType="end"/>
      </w:r>
      <w:bookmarkEnd w:id="193"/>
      <w:r w:rsidRPr="005808FC">
        <w:rPr>
          <w:rStyle w:val="slikeprave"/>
        </w:rPr>
        <w:t xml:space="preserve"> </w:t>
      </w:r>
      <w:r w:rsidR="000509A0">
        <w:rPr>
          <w:rStyle w:val="slikeprave"/>
        </w:rPr>
        <w:t xml:space="preserve">- </w:t>
      </w:r>
      <w:r w:rsidRPr="005808FC">
        <w:rPr>
          <w:rStyle w:val="slikeprave"/>
        </w:rPr>
        <w:t>Referentni inventar emisija CO2 po sektorima u 2008. godini</w:t>
      </w:r>
      <w:bookmarkEnd w:id="194"/>
      <w:bookmarkEnd w:id="195"/>
    </w:p>
    <w:p w14:paraId="6E8291B6" w14:textId="77777777" w:rsidR="009245B1" w:rsidRPr="00922031" w:rsidRDefault="009245B1" w:rsidP="00922031">
      <w:pPr>
        <w:spacing w:after="0"/>
        <w:jc w:val="center"/>
        <w:rPr>
          <w:rFonts w:cstheme="minorHAnsi"/>
          <w:noProof/>
          <w:lang w:eastAsia="hr-HR"/>
        </w:rPr>
      </w:pPr>
      <w:r w:rsidRPr="00922031">
        <w:rPr>
          <w:rFonts w:cstheme="minorHAnsi"/>
          <w:noProof/>
          <w:lang w:eastAsia="hr-HR"/>
        </w:rPr>
        <w:lastRenderedPageBreak/>
        <w:drawing>
          <wp:inline distT="0" distB="0" distL="0" distR="0" wp14:anchorId="5750500A" wp14:editId="3F975DDA">
            <wp:extent cx="4181475" cy="2571750"/>
            <wp:effectExtent l="0" t="0" r="0" b="0"/>
            <wp:docPr id="169" name="Chart 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21CDC3E" w14:textId="06FB1ED7" w:rsidR="009245B1" w:rsidRPr="006D77A6" w:rsidRDefault="009245B1" w:rsidP="006D77A6">
      <w:pPr>
        <w:pStyle w:val="Heading6"/>
      </w:pPr>
      <w:bookmarkStart w:id="196" w:name="_Ref467156230"/>
      <w:bookmarkStart w:id="197" w:name="_Toc468277482"/>
      <w:bookmarkStart w:id="198" w:name="_Toc4156045"/>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5</w:t>
      </w:r>
      <w:r w:rsidR="00CA6C6C" w:rsidRPr="005808FC">
        <w:fldChar w:fldCharType="end"/>
      </w:r>
      <w:bookmarkEnd w:id="196"/>
      <w:r w:rsidRPr="006D77A6">
        <w:t xml:space="preserve"> </w:t>
      </w:r>
      <w:r w:rsidR="000509A0">
        <w:t xml:space="preserve">- </w:t>
      </w:r>
      <w:r w:rsidRPr="006D77A6">
        <w:t>Kontrolni inventar emisija CO</w:t>
      </w:r>
      <w:r w:rsidRPr="006D77A6">
        <w:rPr>
          <w:vertAlign w:val="subscript"/>
        </w:rPr>
        <w:t>2</w:t>
      </w:r>
      <w:r w:rsidRPr="006D77A6">
        <w:t xml:space="preserve"> po sektorima u 2015. Godini</w:t>
      </w:r>
      <w:bookmarkEnd w:id="197"/>
      <w:bookmarkEnd w:id="198"/>
    </w:p>
    <w:p w14:paraId="79E1F7A3" w14:textId="34B212AE" w:rsidR="009245B1" w:rsidRPr="00922031" w:rsidRDefault="009245B1" w:rsidP="007D5E3F">
      <w:pPr>
        <w:pStyle w:val="Heading2"/>
        <w:rPr>
          <w:vertAlign w:val="subscript"/>
        </w:rPr>
      </w:pPr>
      <w:bookmarkStart w:id="199" w:name="_Toc468345392"/>
      <w:bookmarkStart w:id="200" w:name="_Toc4156094"/>
      <w:r w:rsidRPr="00922031">
        <w:t xml:space="preserve">Indikatori usporedbe </w:t>
      </w:r>
      <w:r w:rsidR="000509A0">
        <w:t>r</w:t>
      </w:r>
      <w:r w:rsidRPr="00922031">
        <w:t>eferentnog</w:t>
      </w:r>
      <w:r w:rsidR="000509A0">
        <w:t xml:space="preserve"> i </w:t>
      </w:r>
      <w:r w:rsidRPr="00922031">
        <w:t>Kontrolnog inventara emisije CO</w:t>
      </w:r>
      <w:r w:rsidRPr="00922031">
        <w:rPr>
          <w:vertAlign w:val="subscript"/>
        </w:rPr>
        <w:t>2</w:t>
      </w:r>
      <w:bookmarkEnd w:id="199"/>
      <w:bookmarkEnd w:id="200"/>
      <w:r w:rsidRPr="00922031">
        <w:rPr>
          <w:vertAlign w:val="subscript"/>
        </w:rPr>
        <w:t xml:space="preserve"> </w:t>
      </w:r>
    </w:p>
    <w:p w14:paraId="6CE62545" w14:textId="02393965" w:rsidR="009245B1" w:rsidRPr="00922031" w:rsidRDefault="009245B1" w:rsidP="005808FC">
      <w:pPr>
        <w:spacing w:before="240"/>
      </w:pPr>
      <w:r w:rsidRPr="00291DF5">
        <w:t>Na potrošnju energije, koja je baza za izračun emisije CO</w:t>
      </w:r>
      <w:r w:rsidRPr="005808FC">
        <w:rPr>
          <w:vertAlign w:val="subscript"/>
        </w:rPr>
        <w:t>2</w:t>
      </w:r>
      <w:r w:rsidRPr="005808FC">
        <w:t xml:space="preserve"> osim provedbe mjera energetske učinkovitosti utječu različiti čimbenici poput klimatskih utjecaja, promjena u gospodarskoj strukturi</w:t>
      </w:r>
      <w:r w:rsidR="000509A0">
        <w:t xml:space="preserve"> i </w:t>
      </w:r>
      <w:r w:rsidRPr="00291DF5">
        <w:t>promjenama u stilu života poput povećanja površine kućanstva te komercijalnog</w:t>
      </w:r>
      <w:r w:rsidR="000509A0">
        <w:t xml:space="preserve"> i </w:t>
      </w:r>
      <w:r w:rsidRPr="00291DF5">
        <w:t>uslužnog sektora.</w:t>
      </w:r>
    </w:p>
    <w:p w14:paraId="5430A80C" w14:textId="188CBE1A" w:rsidR="009245B1" w:rsidRPr="00922031" w:rsidRDefault="009245B1" w:rsidP="005808FC">
      <w:pPr>
        <w:spacing w:before="240"/>
      </w:pPr>
      <w:r w:rsidRPr="00291DF5">
        <w:t>Uzimajući u obzi</w:t>
      </w:r>
      <w:r w:rsidRPr="005808FC">
        <w:t>r navedeno, u nastavku je dano pojašnjenje usporedbe Referentnog</w:t>
      </w:r>
      <w:r w:rsidR="000509A0">
        <w:t xml:space="preserve"> i </w:t>
      </w:r>
      <w:r w:rsidRPr="00291DF5">
        <w:t>Kontrolnog inventara emisije CO</w:t>
      </w:r>
      <w:r w:rsidRPr="005808FC">
        <w:rPr>
          <w:vertAlign w:val="subscript"/>
        </w:rPr>
        <w:t>2</w:t>
      </w:r>
      <w:r w:rsidRPr="005808FC">
        <w:t xml:space="preserve"> za sektore zgradarstva, prometa</w:t>
      </w:r>
      <w:r w:rsidR="000509A0">
        <w:t xml:space="preserve"> i </w:t>
      </w:r>
      <w:r w:rsidRPr="00291DF5">
        <w:t>javne rasvjete kroz indikatore.</w:t>
      </w:r>
    </w:p>
    <w:p w14:paraId="69ABC86C" w14:textId="6A65B925" w:rsidR="009245B1" w:rsidRPr="00256FE9" w:rsidRDefault="009245B1">
      <w:r w:rsidRPr="00291DF5">
        <w:t xml:space="preserve">Na </w:t>
      </w:r>
      <w:r w:rsidRPr="005808FC">
        <w:fldChar w:fldCharType="begin"/>
      </w:r>
      <w:r w:rsidRPr="00256FE9">
        <w:rPr>
          <w:rFonts w:cstheme="minorHAnsi"/>
        </w:rPr>
        <w:instrText xml:space="preserve"> REF _Ref467226669 \h  \* MERGEFORMAT </w:instrText>
      </w:r>
      <w:r w:rsidRPr="005808FC">
        <w:rPr>
          <w:rFonts w:cstheme="minorHAnsi"/>
        </w:rPr>
        <w:fldChar w:fldCharType="separate"/>
      </w:r>
      <w:r w:rsidRPr="005808FC">
        <w:t xml:space="preserve">Slici </w:t>
      </w:r>
      <w:r w:rsidR="00256FE9" w:rsidRPr="005808FC">
        <w:rPr>
          <w:noProof/>
        </w:rPr>
        <w:t>6</w:t>
      </w:r>
      <w:r w:rsidRPr="005808FC">
        <w:rPr>
          <w:noProof/>
        </w:rPr>
        <w:t>.6</w:t>
      </w:r>
      <w:r w:rsidRPr="005808FC">
        <w:fldChar w:fldCharType="end"/>
      </w:r>
      <w:r w:rsidRPr="00291DF5">
        <w:t xml:space="preserve"> dana je usporedba </w:t>
      </w:r>
      <w:r w:rsidRPr="005808FC">
        <w:t>Referentnog</w:t>
      </w:r>
      <w:r w:rsidR="000509A0">
        <w:t xml:space="preserve"> i </w:t>
      </w:r>
      <w:r w:rsidRPr="00291DF5">
        <w:t>Kontrolnog inventara emisija CO</w:t>
      </w:r>
      <w:r w:rsidRPr="005808FC">
        <w:rPr>
          <w:vertAlign w:val="subscript"/>
        </w:rPr>
        <w:t>2</w:t>
      </w:r>
      <w:r w:rsidRPr="005808FC">
        <w:t xml:space="preserve"> za sektor zgradarstva.</w:t>
      </w:r>
    </w:p>
    <w:p w14:paraId="7E34BEEF" w14:textId="77777777" w:rsidR="009245B1" w:rsidRPr="00922031" w:rsidRDefault="009245B1" w:rsidP="005808FC">
      <w:pPr>
        <w:spacing w:after="0"/>
        <w:jc w:val="center"/>
        <w:rPr>
          <w:rFonts w:cstheme="minorHAnsi"/>
          <w:noProof/>
          <w:lang w:eastAsia="hr-HR"/>
        </w:rPr>
      </w:pPr>
      <w:r w:rsidRPr="00922031">
        <w:rPr>
          <w:rFonts w:cstheme="minorHAnsi"/>
          <w:noProof/>
          <w:lang w:eastAsia="hr-HR"/>
        </w:rPr>
        <w:drawing>
          <wp:inline distT="0" distB="0" distL="0" distR="0" wp14:anchorId="1A4551A6" wp14:editId="776C2DFD">
            <wp:extent cx="4353636" cy="2572603"/>
            <wp:effectExtent l="0" t="0" r="8890" b="0"/>
            <wp:docPr id="50" name="Chart 50">
              <a:extLst xmlns:a="http://schemas.openxmlformats.org/drawingml/2006/main">
                <a:ext uri="{FF2B5EF4-FFF2-40B4-BE49-F238E27FC236}">
                  <a16:creationId xmlns:a16="http://schemas.microsoft.com/office/drawing/2014/main" id="{5DFC8F8D-9AF2-4969-9D03-3F1EA9C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88DBFA6" w14:textId="5B7CA824" w:rsidR="009245B1" w:rsidRPr="006D77A6" w:rsidRDefault="009245B1" w:rsidP="006D77A6">
      <w:pPr>
        <w:pStyle w:val="Heading6"/>
      </w:pPr>
      <w:bookmarkStart w:id="201" w:name="_Ref467226669"/>
      <w:bookmarkStart w:id="202" w:name="_Toc468277483"/>
      <w:bookmarkStart w:id="203" w:name="_Toc4156046"/>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6</w:t>
      </w:r>
      <w:r w:rsidR="00CA6C6C" w:rsidRPr="005808FC">
        <w:fldChar w:fldCharType="end"/>
      </w:r>
      <w:bookmarkEnd w:id="201"/>
      <w:r w:rsidRPr="006D77A6">
        <w:t xml:space="preserve"> </w:t>
      </w:r>
      <w:r w:rsidR="000509A0">
        <w:t xml:space="preserve">- </w:t>
      </w:r>
      <w:r w:rsidRPr="006D77A6">
        <w:t>Usporedba Referentnog</w:t>
      </w:r>
      <w:r w:rsidR="000509A0">
        <w:t xml:space="preserve"> i </w:t>
      </w:r>
      <w:r w:rsidRPr="006D77A6">
        <w:t>Kontrolnog inventara emisija CO</w:t>
      </w:r>
      <w:r w:rsidRPr="006D77A6">
        <w:rPr>
          <w:vertAlign w:val="subscript"/>
        </w:rPr>
        <w:t>2</w:t>
      </w:r>
      <w:r w:rsidRPr="006D77A6">
        <w:t xml:space="preserve"> za sektor zgradarstva</w:t>
      </w:r>
      <w:bookmarkEnd w:id="202"/>
      <w:bookmarkEnd w:id="203"/>
    </w:p>
    <w:p w14:paraId="00FE21A5" w14:textId="77777777" w:rsidR="009245B1" w:rsidRPr="00922031" w:rsidRDefault="009245B1" w:rsidP="005808FC">
      <w:pPr>
        <w:spacing w:before="240"/>
      </w:pPr>
      <w:r w:rsidRPr="00291DF5">
        <w:t>Ukupan Kontrolni inventar emisija CO</w:t>
      </w:r>
      <w:r w:rsidRPr="005808FC">
        <w:rPr>
          <w:vertAlign w:val="subscript"/>
        </w:rPr>
        <w:t>2</w:t>
      </w:r>
      <w:r w:rsidRPr="005808FC">
        <w:t xml:space="preserve"> u 2015. godini u sektoru zgradarstva iznosio je</w:t>
      </w:r>
      <w:r w:rsidRPr="005808FC">
        <w:rPr>
          <w:b/>
          <w:bCs/>
        </w:rPr>
        <w:t xml:space="preserve"> 1 802 kt CO</w:t>
      </w:r>
      <w:r w:rsidRPr="005808FC">
        <w:rPr>
          <w:b/>
          <w:bCs/>
          <w:vertAlign w:val="subscript"/>
        </w:rPr>
        <w:t>2</w:t>
      </w:r>
      <w:r w:rsidRPr="005808FC">
        <w:t xml:space="preserve"> te je za oko </w:t>
      </w:r>
      <w:r w:rsidRPr="005808FC">
        <w:rPr>
          <w:b/>
          <w:bCs/>
        </w:rPr>
        <w:t>2%</w:t>
      </w:r>
      <w:r w:rsidRPr="005808FC">
        <w:t xml:space="preserve"> veći u odnosu na Referentni inventar emisija CO</w:t>
      </w:r>
      <w:r w:rsidRPr="005808FC">
        <w:rPr>
          <w:vertAlign w:val="subscript"/>
        </w:rPr>
        <w:t>2</w:t>
      </w:r>
      <w:r w:rsidRPr="005808FC">
        <w:t xml:space="preserve"> izrađen za 2008. godinu.</w:t>
      </w:r>
    </w:p>
    <w:p w14:paraId="305D5E5B" w14:textId="584B55E7" w:rsidR="009245B1" w:rsidRPr="005808FC" w:rsidRDefault="009245B1">
      <w:pPr>
        <w:rPr>
          <w:rFonts w:eastAsia="Times New Roman"/>
          <w:color w:val="000000" w:themeColor="text1"/>
          <w:lang w:eastAsia="hr-HR"/>
        </w:rPr>
      </w:pPr>
      <w:r w:rsidRPr="00291DF5">
        <w:rPr>
          <w:rFonts w:eastAsia="Calibri"/>
        </w:rPr>
        <w:lastRenderedPageBreak/>
        <w:t>Površina kuć</w:t>
      </w:r>
      <w:r w:rsidRPr="005808FC">
        <w:rPr>
          <w:rFonts w:eastAsia="Calibri"/>
        </w:rPr>
        <w:t>anstava te komercijalnog</w:t>
      </w:r>
      <w:r w:rsidR="000509A0">
        <w:rPr>
          <w:rFonts w:eastAsia="Calibri"/>
        </w:rPr>
        <w:t xml:space="preserve"> i </w:t>
      </w:r>
      <w:r w:rsidRPr="00291DF5">
        <w:rPr>
          <w:rFonts w:eastAsia="Calibri"/>
        </w:rPr>
        <w:t xml:space="preserve">uslužnog podsektora u promatranome razdoblju znatno je povećana, odnosno za </w:t>
      </w:r>
      <w:r w:rsidRPr="005808FC">
        <w:rPr>
          <w:rFonts w:eastAsia="Times New Roman"/>
          <w:color w:val="000000"/>
          <w:lang w:eastAsia="hr-HR"/>
        </w:rPr>
        <w:t>2 416 882 m</w:t>
      </w:r>
      <w:r w:rsidRPr="005808FC">
        <w:rPr>
          <w:rFonts w:eastAsia="Times New Roman"/>
          <w:color w:val="000000"/>
          <w:vertAlign w:val="superscript"/>
          <w:lang w:eastAsia="hr-HR"/>
        </w:rPr>
        <w:t xml:space="preserve">2 </w:t>
      </w:r>
      <w:r w:rsidRPr="005808FC">
        <w:rPr>
          <w:rFonts w:eastAsia="Times New Roman"/>
          <w:color w:val="000000"/>
          <w:lang w:eastAsia="hr-HR"/>
        </w:rPr>
        <w:t>što je povećanje od 29,04%.</w:t>
      </w:r>
    </w:p>
    <w:p w14:paraId="08F9915F" w14:textId="63A27484" w:rsidR="009245B1" w:rsidRPr="005808FC" w:rsidRDefault="009245B1" w:rsidP="005808FC">
      <w:pPr>
        <w:spacing w:after="240"/>
        <w:rPr>
          <w:rFonts w:eastAsia="Calibri"/>
        </w:rPr>
      </w:pPr>
      <w:r w:rsidRPr="00291DF5">
        <w:rPr>
          <w:rFonts w:eastAsia="Calibri"/>
        </w:rPr>
        <w:t>U nastavku je dana usporedba omjera emisije CO</w:t>
      </w:r>
      <w:r w:rsidRPr="005808FC">
        <w:rPr>
          <w:rFonts w:eastAsia="Calibri"/>
          <w:vertAlign w:val="subscript"/>
        </w:rPr>
        <w:t>2</w:t>
      </w:r>
      <w:r w:rsidR="000509A0">
        <w:rPr>
          <w:rFonts w:eastAsia="Calibri"/>
        </w:rPr>
        <w:t xml:space="preserve"> i </w:t>
      </w:r>
      <w:r w:rsidRPr="00291DF5">
        <w:rPr>
          <w:rFonts w:eastAsia="Calibri"/>
        </w:rPr>
        <w:t>površine (stambeni</w:t>
      </w:r>
      <w:r w:rsidR="000509A0">
        <w:rPr>
          <w:rFonts w:eastAsia="Calibri"/>
        </w:rPr>
        <w:t xml:space="preserve"> i </w:t>
      </w:r>
      <w:r w:rsidRPr="00291DF5">
        <w:rPr>
          <w:rFonts w:eastAsia="Calibri"/>
        </w:rPr>
        <w:t xml:space="preserve">komercijalni) iz sektora zgradarstva u 2008. u odnosu na 2015. godinu: </w:t>
      </w:r>
    </w:p>
    <w:p w14:paraId="694A8CFD" w14:textId="77777777" w:rsidR="009245B1" w:rsidRPr="00922031" w:rsidRDefault="009245B1" w:rsidP="005808FC">
      <w:pPr>
        <w:pStyle w:val="ListParagraph"/>
        <w:numPr>
          <w:ilvl w:val="0"/>
          <w:numId w:val="26"/>
        </w:numPr>
        <w:spacing w:after="240"/>
      </w:pPr>
      <w:r w:rsidRPr="00291DF5">
        <w:t>0,0610 t CO</w:t>
      </w:r>
      <w:r w:rsidRPr="005808FC">
        <w:rPr>
          <w:vertAlign w:val="subscript"/>
        </w:rPr>
        <w:t>2</w:t>
      </w:r>
      <w:r w:rsidRPr="005808FC">
        <w:t>/m</w:t>
      </w:r>
      <w:r w:rsidRPr="005808FC">
        <w:rPr>
          <w:vertAlign w:val="superscript"/>
        </w:rPr>
        <w:t>2</w:t>
      </w:r>
      <w:r w:rsidRPr="005808FC">
        <w:t xml:space="preserve"> grijane površine (2008. godina) te</w:t>
      </w:r>
    </w:p>
    <w:p w14:paraId="6C0FB331" w14:textId="77777777" w:rsidR="009245B1" w:rsidRPr="00922031" w:rsidRDefault="009245B1" w:rsidP="005808FC">
      <w:pPr>
        <w:pStyle w:val="ListParagraph"/>
        <w:numPr>
          <w:ilvl w:val="0"/>
          <w:numId w:val="26"/>
        </w:numPr>
        <w:spacing w:after="240"/>
      </w:pPr>
      <w:r w:rsidRPr="00291DF5">
        <w:t>0,0458 t CO</w:t>
      </w:r>
      <w:r w:rsidRPr="005808FC">
        <w:rPr>
          <w:vertAlign w:val="subscript"/>
        </w:rPr>
        <w:t>2</w:t>
      </w:r>
      <w:r w:rsidRPr="005808FC">
        <w:t>/m</w:t>
      </w:r>
      <w:r w:rsidRPr="005808FC">
        <w:rPr>
          <w:vertAlign w:val="superscript"/>
        </w:rPr>
        <w:t>2</w:t>
      </w:r>
      <w:r w:rsidRPr="005808FC">
        <w:t xml:space="preserve"> grijane površine (2015. godina).</w:t>
      </w:r>
    </w:p>
    <w:p w14:paraId="315A48E7" w14:textId="6A5CDEBE" w:rsidR="009245B1" w:rsidRPr="00E20858" w:rsidRDefault="009245B1">
      <w:r w:rsidRPr="00291DF5">
        <w:t xml:space="preserve">Na </w:t>
      </w:r>
      <w:r w:rsidRPr="005808FC">
        <w:fldChar w:fldCharType="begin"/>
      </w:r>
      <w:r w:rsidRPr="00E20858">
        <w:rPr>
          <w:rFonts w:cstheme="minorHAnsi"/>
        </w:rPr>
        <w:instrText xml:space="preserve"> REF _Ref467226805 \h  \* MERGEFORMAT </w:instrText>
      </w:r>
      <w:r w:rsidRPr="005808FC">
        <w:rPr>
          <w:rFonts w:cstheme="minorHAnsi"/>
        </w:rPr>
        <w:fldChar w:fldCharType="separate"/>
      </w:r>
      <w:r w:rsidRPr="005808FC">
        <w:t xml:space="preserve">Slici </w:t>
      </w:r>
      <w:r w:rsidR="00E20858" w:rsidRPr="005808FC">
        <w:rPr>
          <w:noProof/>
        </w:rPr>
        <w:t>6</w:t>
      </w:r>
      <w:r w:rsidRPr="005808FC">
        <w:rPr>
          <w:noProof/>
        </w:rPr>
        <w:t>.7</w:t>
      </w:r>
      <w:r w:rsidRPr="005808FC">
        <w:fldChar w:fldCharType="end"/>
      </w:r>
      <w:r w:rsidRPr="00291DF5">
        <w:t xml:space="preserve"> dana je usporedba </w:t>
      </w:r>
      <w:r w:rsidRPr="005808FC">
        <w:t>Referentnog</w:t>
      </w:r>
      <w:r w:rsidR="000509A0">
        <w:t xml:space="preserve"> i </w:t>
      </w:r>
      <w:r w:rsidRPr="00291DF5">
        <w:t>Kontrolnog inventara emisija CO</w:t>
      </w:r>
      <w:r w:rsidRPr="005808FC">
        <w:rPr>
          <w:vertAlign w:val="subscript"/>
        </w:rPr>
        <w:t>2</w:t>
      </w:r>
      <w:r w:rsidRPr="005808FC">
        <w:t xml:space="preserve"> za sektor prometa.</w:t>
      </w:r>
    </w:p>
    <w:p w14:paraId="6FAB812F" w14:textId="77777777" w:rsidR="009245B1" w:rsidRPr="00922031" w:rsidRDefault="009245B1" w:rsidP="00975CD4">
      <w:pPr>
        <w:spacing w:after="0"/>
        <w:rPr>
          <w:rFonts w:cstheme="minorHAnsi"/>
          <w:b/>
          <w:bCs/>
        </w:rPr>
      </w:pPr>
      <w:r w:rsidRPr="00922031">
        <w:rPr>
          <w:rFonts w:cstheme="minorHAnsi"/>
          <w:noProof/>
          <w:lang w:eastAsia="hr-HR"/>
        </w:rPr>
        <w:drawing>
          <wp:inline distT="0" distB="0" distL="0" distR="0" wp14:anchorId="48F0BDEA" wp14:editId="0E9456B3">
            <wp:extent cx="4648200" cy="3162300"/>
            <wp:effectExtent l="0" t="0" r="0" b="0"/>
            <wp:docPr id="151" name="Chart 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187DBEA" w14:textId="07DA035B" w:rsidR="009245B1" w:rsidRPr="006D77A6" w:rsidRDefault="009245B1" w:rsidP="006D77A6">
      <w:pPr>
        <w:pStyle w:val="Heading6"/>
      </w:pPr>
      <w:bookmarkStart w:id="204" w:name="_Ref467226805"/>
      <w:bookmarkStart w:id="205" w:name="_Toc468277484"/>
      <w:bookmarkStart w:id="206" w:name="_Toc4156047"/>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7</w:t>
      </w:r>
      <w:r w:rsidR="00CA6C6C" w:rsidRPr="005808FC">
        <w:fldChar w:fldCharType="end"/>
      </w:r>
      <w:bookmarkEnd w:id="204"/>
      <w:r w:rsidRPr="006D77A6">
        <w:t xml:space="preserve"> </w:t>
      </w:r>
      <w:r w:rsidR="000509A0">
        <w:t xml:space="preserve">- </w:t>
      </w:r>
      <w:r w:rsidRPr="006D77A6">
        <w:t>Usporedba Referentnog</w:t>
      </w:r>
      <w:r w:rsidR="000509A0">
        <w:t xml:space="preserve"> i </w:t>
      </w:r>
      <w:r w:rsidRPr="006D77A6">
        <w:t>Kontrolnog inventara emisija CO</w:t>
      </w:r>
      <w:r w:rsidRPr="006D77A6">
        <w:rPr>
          <w:vertAlign w:val="subscript"/>
        </w:rPr>
        <w:t>2</w:t>
      </w:r>
      <w:r w:rsidRPr="006D77A6">
        <w:t xml:space="preserve"> za sektor prometa</w:t>
      </w:r>
      <w:bookmarkEnd w:id="205"/>
      <w:bookmarkEnd w:id="206"/>
    </w:p>
    <w:p w14:paraId="740C72F3" w14:textId="77777777" w:rsidR="009245B1" w:rsidRPr="00922031" w:rsidRDefault="009245B1" w:rsidP="005808FC">
      <w:pPr>
        <w:spacing w:before="240"/>
      </w:pPr>
      <w:r w:rsidRPr="00291DF5">
        <w:t>Ukupan Kontrolni inventar emisija CO</w:t>
      </w:r>
      <w:r w:rsidRPr="005808FC">
        <w:rPr>
          <w:vertAlign w:val="subscript"/>
        </w:rPr>
        <w:t>2</w:t>
      </w:r>
      <w:r w:rsidRPr="005808FC">
        <w:t xml:space="preserve"> u 2015. godini u sektoru prometa iznosio je </w:t>
      </w:r>
      <w:r w:rsidRPr="005808FC">
        <w:rPr>
          <w:b/>
          <w:bCs/>
        </w:rPr>
        <w:t>1 102 kt CO</w:t>
      </w:r>
      <w:r w:rsidRPr="005808FC">
        <w:rPr>
          <w:b/>
          <w:bCs/>
          <w:vertAlign w:val="subscript"/>
        </w:rPr>
        <w:t>2</w:t>
      </w:r>
      <w:r w:rsidRPr="005808FC">
        <w:t xml:space="preserve"> te je za oko </w:t>
      </w:r>
      <w:r w:rsidRPr="005808FC">
        <w:rPr>
          <w:b/>
          <w:bCs/>
        </w:rPr>
        <w:t>10%</w:t>
      </w:r>
      <w:r w:rsidRPr="005808FC">
        <w:t xml:space="preserve"> veći u odnosu na Referentni inventar emisija CO</w:t>
      </w:r>
      <w:r w:rsidRPr="005808FC">
        <w:rPr>
          <w:vertAlign w:val="subscript"/>
        </w:rPr>
        <w:t>2</w:t>
      </w:r>
      <w:r w:rsidRPr="005808FC">
        <w:t xml:space="preserve"> izrađen za 2008. godinu. </w:t>
      </w:r>
    </w:p>
    <w:p w14:paraId="6CB5B417" w14:textId="77777777" w:rsidR="000E7303" w:rsidRDefault="009245B1" w:rsidP="005808FC">
      <w:pPr>
        <w:spacing w:before="240"/>
      </w:pPr>
      <w:r w:rsidRPr="00291DF5">
        <w:t>Povećanje inventar</w:t>
      </w:r>
      <w:r w:rsidRPr="005808FC">
        <w:t>a je uzrokovano činjenicom da je u Akcijskom planu za 2008. godinu proračun rađen računalnim programom COPERT III, a isti nije uzimao u obzir potrošnju međugradskih autobusa, dok COPERT IV koji je naknadno izdan od Europske agencije za okoliš uzima u obzir potrošnju međugradskih autobusa, a isti je korišten za izradu Kontrolnog inventara emisije CO</w:t>
      </w:r>
      <w:r w:rsidRPr="005808FC">
        <w:rPr>
          <w:vertAlign w:val="subscript"/>
        </w:rPr>
        <w:t>2</w:t>
      </w:r>
      <w:r w:rsidRPr="005808FC">
        <w:t>.</w:t>
      </w:r>
    </w:p>
    <w:p w14:paraId="2E2E5F77" w14:textId="51BF75DA" w:rsidR="000E7303" w:rsidRPr="00E20858" w:rsidRDefault="009245B1">
      <w:r w:rsidRPr="00291DF5">
        <w:t xml:space="preserve">Na </w:t>
      </w:r>
      <w:r w:rsidRPr="005808FC">
        <w:fldChar w:fldCharType="begin"/>
      </w:r>
      <w:r w:rsidRPr="00E20858">
        <w:rPr>
          <w:rFonts w:cstheme="minorHAnsi"/>
        </w:rPr>
        <w:instrText xml:space="preserve"> REF _Ref467226833 \h </w:instrText>
      </w:r>
      <w:r w:rsidR="00975CD4" w:rsidRPr="00E20858">
        <w:rPr>
          <w:rFonts w:cstheme="minorHAnsi"/>
        </w:rPr>
        <w:instrText xml:space="preserve"> \* MERGEFORMAT </w:instrText>
      </w:r>
      <w:r w:rsidRPr="005808FC">
        <w:rPr>
          <w:rFonts w:cstheme="minorHAnsi"/>
        </w:rPr>
        <w:fldChar w:fldCharType="separate"/>
      </w:r>
      <w:r w:rsidRPr="005808FC">
        <w:t xml:space="preserve">Slici </w:t>
      </w:r>
      <w:r w:rsidR="00E20858" w:rsidRPr="005808FC">
        <w:rPr>
          <w:noProof/>
        </w:rPr>
        <w:t>6</w:t>
      </w:r>
      <w:r w:rsidRPr="005808FC">
        <w:t>.</w:t>
      </w:r>
      <w:r w:rsidRPr="005808FC">
        <w:rPr>
          <w:noProof/>
        </w:rPr>
        <w:t>8</w:t>
      </w:r>
      <w:r w:rsidRPr="005808FC">
        <w:fldChar w:fldCharType="end"/>
      </w:r>
      <w:r w:rsidRPr="00291DF5">
        <w:t xml:space="preserve"> dana je usporedba </w:t>
      </w:r>
      <w:r w:rsidRPr="005808FC">
        <w:t>Referentnog</w:t>
      </w:r>
      <w:r w:rsidR="000509A0">
        <w:t xml:space="preserve"> i </w:t>
      </w:r>
      <w:r w:rsidRPr="00291DF5">
        <w:t>Kontrolnog inventara emisija CO</w:t>
      </w:r>
      <w:r w:rsidRPr="005808FC">
        <w:rPr>
          <w:vertAlign w:val="subscript"/>
        </w:rPr>
        <w:t>2</w:t>
      </w:r>
      <w:r w:rsidRPr="005808FC">
        <w:t xml:space="preserve"> za sektor javne rasvjete.</w:t>
      </w:r>
    </w:p>
    <w:p w14:paraId="09C4F0F0" w14:textId="635BE740" w:rsidR="000E7303" w:rsidRDefault="000E7303">
      <w:pPr>
        <w:rPr>
          <w:rFonts w:cstheme="minorHAnsi"/>
          <w:bCs/>
        </w:rPr>
      </w:pPr>
      <w:r>
        <w:rPr>
          <w:rFonts w:cstheme="minorHAnsi"/>
          <w:bCs/>
        </w:rPr>
        <w:br w:type="page"/>
      </w:r>
    </w:p>
    <w:p w14:paraId="57C37EB2" w14:textId="77777777" w:rsidR="000E7303" w:rsidRDefault="000E7303">
      <w:pPr>
        <w:rPr>
          <w:rFonts w:cstheme="minorHAnsi"/>
          <w:bCs/>
        </w:rPr>
      </w:pPr>
    </w:p>
    <w:p w14:paraId="441111ED" w14:textId="77777777" w:rsidR="009245B1" w:rsidRPr="00922031" w:rsidRDefault="009245B1" w:rsidP="00975CD4">
      <w:pPr>
        <w:spacing w:after="0"/>
        <w:rPr>
          <w:rFonts w:cstheme="minorHAnsi"/>
        </w:rPr>
      </w:pPr>
      <w:r w:rsidRPr="00922031">
        <w:rPr>
          <w:rFonts w:cstheme="minorHAnsi"/>
          <w:noProof/>
          <w:lang w:eastAsia="hr-HR"/>
        </w:rPr>
        <w:drawing>
          <wp:inline distT="0" distB="0" distL="0" distR="0" wp14:anchorId="1A0752B7" wp14:editId="3CFC1DBC">
            <wp:extent cx="4270076" cy="3338422"/>
            <wp:effectExtent l="0" t="0" r="16510" b="0"/>
            <wp:docPr id="152" name="Chart 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DE985B1" w14:textId="39190416" w:rsidR="009245B1" w:rsidRPr="006D77A6" w:rsidRDefault="009245B1" w:rsidP="006D77A6">
      <w:pPr>
        <w:pStyle w:val="Heading6"/>
      </w:pPr>
      <w:bookmarkStart w:id="207" w:name="_Ref467226833"/>
      <w:bookmarkStart w:id="208" w:name="_Toc468277485"/>
      <w:bookmarkStart w:id="209" w:name="_Toc4156048"/>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8</w:t>
      </w:r>
      <w:r w:rsidR="00CA6C6C" w:rsidRPr="005808FC">
        <w:fldChar w:fldCharType="end"/>
      </w:r>
      <w:bookmarkEnd w:id="207"/>
      <w:r w:rsidRPr="006D77A6">
        <w:t xml:space="preserve"> </w:t>
      </w:r>
      <w:r w:rsidR="000509A0">
        <w:t xml:space="preserve">- </w:t>
      </w:r>
      <w:r w:rsidRPr="006D77A6">
        <w:t>Usporedba Referentnog</w:t>
      </w:r>
      <w:r w:rsidR="000509A0">
        <w:t xml:space="preserve"> i </w:t>
      </w:r>
      <w:r w:rsidRPr="006D77A6">
        <w:t>Kontrolnog inventara emisija CO</w:t>
      </w:r>
      <w:r w:rsidRPr="006D77A6">
        <w:rPr>
          <w:vertAlign w:val="subscript"/>
        </w:rPr>
        <w:t>2</w:t>
      </w:r>
      <w:r w:rsidRPr="006D77A6">
        <w:t xml:space="preserve"> za sektor javne rasvjete</w:t>
      </w:r>
      <w:bookmarkEnd w:id="208"/>
      <w:bookmarkEnd w:id="209"/>
    </w:p>
    <w:p w14:paraId="62BAB3E9" w14:textId="0FBE9C4F" w:rsidR="009245B1" w:rsidRPr="00922031" w:rsidRDefault="009245B1" w:rsidP="005808FC">
      <w:pPr>
        <w:spacing w:before="240"/>
      </w:pPr>
      <w:r w:rsidRPr="00291DF5">
        <w:t>Ukupan Kontrolni inventar emisija CO</w:t>
      </w:r>
      <w:r w:rsidRPr="005808FC">
        <w:rPr>
          <w:vertAlign w:val="subscript"/>
        </w:rPr>
        <w:t>2</w:t>
      </w:r>
      <w:r w:rsidRPr="005808FC">
        <w:t xml:space="preserve"> u 2015. godini u sektoru javne rasvjete iznosio je 27 411,84</w:t>
      </w:r>
      <w:r w:rsidRPr="005808FC">
        <w:rPr>
          <w:b/>
          <w:bCs/>
        </w:rPr>
        <w:t xml:space="preserve"> t CO</w:t>
      </w:r>
      <w:r w:rsidRPr="005808FC">
        <w:rPr>
          <w:b/>
          <w:bCs/>
          <w:vertAlign w:val="subscript"/>
        </w:rPr>
        <w:t>2</w:t>
      </w:r>
      <w:r w:rsidRPr="005808FC">
        <w:t xml:space="preserve"> te je za oko </w:t>
      </w:r>
      <w:r w:rsidRPr="005808FC">
        <w:rPr>
          <w:b/>
          <w:bCs/>
        </w:rPr>
        <w:t>6%</w:t>
      </w:r>
      <w:r w:rsidRPr="005808FC">
        <w:t xml:space="preserve"> manji u odnosu na Referentni inventar emisija CO</w:t>
      </w:r>
      <w:r w:rsidRPr="005808FC">
        <w:rPr>
          <w:vertAlign w:val="subscript"/>
        </w:rPr>
        <w:t>2</w:t>
      </w:r>
      <w:r w:rsidRPr="005808FC">
        <w:t xml:space="preserve"> izrađen za 2008. godinu. Iznos smanjenja direktna je posljedica realiziranih mjera modernizacije</w:t>
      </w:r>
      <w:r w:rsidR="000509A0">
        <w:t xml:space="preserve"> i </w:t>
      </w:r>
      <w:r w:rsidRPr="00291DF5">
        <w:t>upravljanja sustavom</w:t>
      </w:r>
      <w:r w:rsidRPr="005808FC">
        <w:t xml:space="preserve"> javne rasvjete (Detalji u poglavlju 9 ovog dokumenta).</w:t>
      </w:r>
    </w:p>
    <w:p w14:paraId="2F94DEF7" w14:textId="100C3C82" w:rsidR="009245B1" w:rsidRPr="005808FC" w:rsidRDefault="009245B1" w:rsidP="005808FC">
      <w:pPr>
        <w:spacing w:after="240"/>
        <w:rPr>
          <w:rFonts w:eastAsia="Calibri"/>
        </w:rPr>
      </w:pPr>
      <w:r w:rsidRPr="00291DF5">
        <w:rPr>
          <w:rFonts w:eastAsia="Calibri"/>
        </w:rPr>
        <w:t>U</w:t>
      </w:r>
      <w:r w:rsidR="007D5E3F" w:rsidRPr="005808FC">
        <w:rPr>
          <w:rFonts w:eastAsia="Calibri"/>
        </w:rPr>
        <w:t>nutar Tablice 6.3.</w:t>
      </w:r>
      <w:r w:rsidR="00E20858" w:rsidRPr="005808FC">
        <w:rPr>
          <w:rFonts w:eastAsia="Calibri"/>
        </w:rPr>
        <w:t xml:space="preserve"> </w:t>
      </w:r>
      <w:r w:rsidRPr="005808FC">
        <w:rPr>
          <w:rFonts w:eastAsia="Calibri"/>
        </w:rPr>
        <w:t>je dana usporedba omjera emisije CO</w:t>
      </w:r>
      <w:r w:rsidRPr="005808FC">
        <w:rPr>
          <w:rFonts w:eastAsia="Calibri"/>
          <w:vertAlign w:val="subscript"/>
        </w:rPr>
        <w:t>2</w:t>
      </w:r>
      <w:r w:rsidRPr="005808FC">
        <w:rPr>
          <w:rFonts w:eastAsia="Calibri"/>
        </w:rPr>
        <w:t xml:space="preserve"> iz sektora javn</w:t>
      </w:r>
      <w:r w:rsidR="007D5E3F" w:rsidRPr="005808FC">
        <w:rPr>
          <w:rFonts w:eastAsia="Calibri"/>
        </w:rPr>
        <w:t>e</w:t>
      </w:r>
      <w:r w:rsidRPr="005808FC">
        <w:rPr>
          <w:rFonts w:eastAsia="Calibri"/>
        </w:rPr>
        <w:t xml:space="preserve"> rasvjet</w:t>
      </w:r>
      <w:r w:rsidR="007D5E3F" w:rsidRPr="005808FC">
        <w:rPr>
          <w:rFonts w:eastAsia="Calibri"/>
        </w:rPr>
        <w:t>e</w:t>
      </w:r>
      <w:r w:rsidR="000509A0">
        <w:rPr>
          <w:rFonts w:eastAsia="Calibri"/>
        </w:rPr>
        <w:t xml:space="preserve"> i </w:t>
      </w:r>
      <w:r w:rsidRPr="00291DF5">
        <w:rPr>
          <w:rFonts w:eastAsia="Calibri"/>
        </w:rPr>
        <w:t>broja rasvjetnih tijela u 2008.</w:t>
      </w:r>
      <w:r w:rsidR="000509A0">
        <w:rPr>
          <w:rFonts w:eastAsia="Calibri"/>
        </w:rPr>
        <w:t xml:space="preserve"> i </w:t>
      </w:r>
      <w:r w:rsidRPr="00291DF5">
        <w:rPr>
          <w:rFonts w:eastAsia="Calibri"/>
        </w:rPr>
        <w:t>2015. godini</w:t>
      </w:r>
      <w:r w:rsidR="007D5E3F" w:rsidRPr="005808FC">
        <w:rPr>
          <w:rFonts w:eastAsia="Calibri"/>
        </w:rPr>
        <w:t>.</w:t>
      </w:r>
    </w:p>
    <w:p w14:paraId="1839596B" w14:textId="4079FB74" w:rsidR="00EA7864" w:rsidRPr="00EA7864" w:rsidRDefault="00EA7864" w:rsidP="00EA7864">
      <w:pPr>
        <w:pStyle w:val="Heading8"/>
        <w:rPr>
          <w:rFonts w:eastAsia="Calibri"/>
        </w:rPr>
      </w:pPr>
      <w:bookmarkStart w:id="210" w:name="_Toc4156014"/>
      <w:r>
        <w:t xml:space="preserve">Tablica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t>.</w:t>
      </w:r>
      <w:r w:rsidR="00CA6C6C" w:rsidRPr="005808FC">
        <w:fldChar w:fldCharType="begin"/>
      </w:r>
      <w:r w:rsidR="00CA6C6C">
        <w:rPr>
          <w:noProof/>
        </w:rPr>
        <w:instrText xml:space="preserve"> SEQ Tablica \* ARABIC \s 1 </w:instrText>
      </w:r>
      <w:r w:rsidR="00CA6C6C" w:rsidRPr="005808FC">
        <w:rPr>
          <w:noProof/>
        </w:rPr>
        <w:fldChar w:fldCharType="separate"/>
      </w:r>
      <w:r w:rsidR="0019556A">
        <w:rPr>
          <w:noProof/>
        </w:rPr>
        <w:t>3</w:t>
      </w:r>
      <w:r w:rsidR="00CA6C6C" w:rsidRPr="005808FC">
        <w:fldChar w:fldCharType="end"/>
      </w:r>
      <w:r>
        <w:t xml:space="preserve"> - </w:t>
      </w:r>
      <w:r w:rsidRPr="00EA7864">
        <w:t>Omjer emisije CO2 iz sektora javne rasvjeta</w:t>
      </w:r>
      <w:r w:rsidR="000509A0">
        <w:t xml:space="preserve"> i </w:t>
      </w:r>
      <w:r w:rsidRPr="00EA7864">
        <w:t>broja rasvjetnih tijela, t CO2/izvor svjetlost</w:t>
      </w:r>
      <w:bookmarkEnd w:id="210"/>
    </w:p>
    <w:tbl>
      <w:tblPr>
        <w:tblStyle w:val="TableGrid"/>
        <w:tblW w:w="0" w:type="auto"/>
        <w:tblLook w:val="04A0" w:firstRow="1" w:lastRow="0" w:firstColumn="1" w:lastColumn="0" w:noHBand="0" w:noVBand="1"/>
      </w:tblPr>
      <w:tblGrid>
        <w:gridCol w:w="4508"/>
        <w:gridCol w:w="4508"/>
      </w:tblGrid>
      <w:tr w:rsidR="007D5E3F" w:rsidRPr="00EA7864" w14:paraId="589DD2C0" w14:textId="77777777" w:rsidTr="005808FC">
        <w:trPr>
          <w:trHeight w:val="242"/>
        </w:trPr>
        <w:tc>
          <w:tcPr>
            <w:tcW w:w="9016" w:type="dxa"/>
            <w:gridSpan w:val="2"/>
            <w:shd w:val="clear" w:color="auto" w:fill="C6D9F1" w:themeFill="text2" w:themeFillTint="33"/>
          </w:tcPr>
          <w:p w14:paraId="392EEF44" w14:textId="22B05BC5" w:rsidR="007D5E3F" w:rsidRPr="005808FC" w:rsidRDefault="007D5E3F" w:rsidP="005808FC">
            <w:pPr>
              <w:spacing w:line="276" w:lineRule="auto"/>
              <w:rPr>
                <w:rFonts w:eastAsia="Times New Roman"/>
                <w:b/>
                <w:color w:val="000000" w:themeColor="text1"/>
                <w:sz w:val="20"/>
                <w:szCs w:val="20"/>
                <w:lang w:eastAsia="hr-HR"/>
              </w:rPr>
            </w:pPr>
            <w:r w:rsidRPr="00291DF5">
              <w:rPr>
                <w:rFonts w:eastAsia="Times New Roman"/>
                <w:b/>
                <w:bCs/>
                <w:color w:val="000000"/>
                <w:sz w:val="20"/>
                <w:szCs w:val="20"/>
                <w:lang w:eastAsia="hr-HR"/>
              </w:rPr>
              <w:t>Omjer emisije CO2 iz sektora javne rasvjeta</w:t>
            </w:r>
            <w:r w:rsidR="000509A0">
              <w:rPr>
                <w:rFonts w:eastAsia="Times New Roman"/>
                <w:b/>
                <w:bCs/>
                <w:color w:val="000000"/>
                <w:sz w:val="20"/>
                <w:szCs w:val="20"/>
                <w:lang w:eastAsia="hr-HR"/>
              </w:rPr>
              <w:t xml:space="preserve"> i </w:t>
            </w:r>
            <w:r w:rsidRPr="00291DF5">
              <w:rPr>
                <w:rFonts w:eastAsia="Times New Roman"/>
                <w:b/>
                <w:bCs/>
                <w:color w:val="000000"/>
                <w:sz w:val="20"/>
                <w:szCs w:val="20"/>
                <w:lang w:eastAsia="hr-HR"/>
              </w:rPr>
              <w:t>broja rasvjetnih tijela</w:t>
            </w:r>
            <w:r w:rsidR="00EA7864" w:rsidRPr="005808FC">
              <w:rPr>
                <w:rFonts w:eastAsia="Times New Roman"/>
                <w:b/>
                <w:bCs/>
                <w:color w:val="000000"/>
                <w:sz w:val="20"/>
                <w:szCs w:val="20"/>
                <w:lang w:eastAsia="hr-HR"/>
              </w:rPr>
              <w:t xml:space="preserve">, </w:t>
            </w:r>
            <w:r w:rsidRPr="005808FC">
              <w:rPr>
                <w:rFonts w:eastAsia="Times New Roman"/>
                <w:b/>
                <w:bCs/>
                <w:color w:val="000000"/>
                <w:sz w:val="20"/>
                <w:szCs w:val="20"/>
                <w:lang w:eastAsia="hr-HR"/>
              </w:rPr>
              <w:t>t CO2/izvor svjetlost</w:t>
            </w:r>
          </w:p>
        </w:tc>
      </w:tr>
      <w:tr w:rsidR="007D5E3F" w14:paraId="28FB0A1E" w14:textId="77777777" w:rsidTr="005808FC">
        <w:trPr>
          <w:trHeight w:val="70"/>
        </w:trPr>
        <w:tc>
          <w:tcPr>
            <w:tcW w:w="4508" w:type="dxa"/>
            <w:shd w:val="clear" w:color="auto" w:fill="F2DBDB" w:themeFill="accent2" w:themeFillTint="33"/>
            <w:vAlign w:val="center"/>
          </w:tcPr>
          <w:p w14:paraId="39AB01CB" w14:textId="32CA5166" w:rsidR="007D5E3F" w:rsidRPr="005808FC" w:rsidRDefault="007D5E3F" w:rsidP="005808FC">
            <w:pPr>
              <w:spacing w:line="276"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2008. godina</w:t>
            </w:r>
          </w:p>
        </w:tc>
        <w:tc>
          <w:tcPr>
            <w:tcW w:w="4508" w:type="dxa"/>
            <w:shd w:val="clear" w:color="auto" w:fill="F2DBDB" w:themeFill="accent2" w:themeFillTint="33"/>
            <w:vAlign w:val="center"/>
          </w:tcPr>
          <w:p w14:paraId="70708DC1" w14:textId="77C89942" w:rsidR="007D5E3F" w:rsidRPr="005808FC" w:rsidRDefault="007D5E3F" w:rsidP="005808FC">
            <w:pPr>
              <w:spacing w:line="276" w:lineRule="auto"/>
              <w:jc w:val="center"/>
              <w:rPr>
                <w:rFonts w:eastAsia="Times New Roman"/>
                <w:color w:val="000000" w:themeColor="text1"/>
                <w:sz w:val="20"/>
                <w:szCs w:val="20"/>
                <w:lang w:eastAsia="hr-HR"/>
              </w:rPr>
            </w:pPr>
            <w:r w:rsidRPr="00291DF5">
              <w:rPr>
                <w:rFonts w:eastAsia="Times New Roman"/>
                <w:color w:val="000000"/>
                <w:sz w:val="20"/>
                <w:szCs w:val="20"/>
                <w:lang w:eastAsia="hr-HR"/>
              </w:rPr>
              <w:t xml:space="preserve">2015. </w:t>
            </w:r>
            <w:r w:rsidRPr="005808FC">
              <w:rPr>
                <w:rFonts w:eastAsia="Times New Roman"/>
                <w:color w:val="000000"/>
                <w:sz w:val="20"/>
                <w:szCs w:val="20"/>
                <w:lang w:eastAsia="hr-HR"/>
              </w:rPr>
              <w:t>godina</w:t>
            </w:r>
          </w:p>
        </w:tc>
      </w:tr>
      <w:tr w:rsidR="007D5E3F" w14:paraId="38C98494" w14:textId="77777777" w:rsidTr="005808FC">
        <w:trPr>
          <w:trHeight w:val="107"/>
        </w:trPr>
        <w:tc>
          <w:tcPr>
            <w:tcW w:w="4508" w:type="dxa"/>
            <w:vAlign w:val="center"/>
          </w:tcPr>
          <w:p w14:paraId="41BFF50B" w14:textId="01E9F6C2" w:rsidR="007D5E3F" w:rsidRPr="005808FC" w:rsidRDefault="007D5E3F" w:rsidP="005808FC">
            <w:pPr>
              <w:spacing w:line="276" w:lineRule="auto"/>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0,2210</w:t>
            </w:r>
          </w:p>
        </w:tc>
        <w:tc>
          <w:tcPr>
            <w:tcW w:w="4508" w:type="dxa"/>
            <w:vAlign w:val="center"/>
          </w:tcPr>
          <w:p w14:paraId="7C288028" w14:textId="230845EB" w:rsidR="007D5E3F" w:rsidRPr="005808FC" w:rsidRDefault="007D5E3F" w:rsidP="005808FC">
            <w:pPr>
              <w:spacing w:line="276" w:lineRule="auto"/>
              <w:jc w:val="center"/>
              <w:rPr>
                <w:rFonts w:eastAsia="Times New Roman"/>
                <w:b/>
                <w:bCs/>
                <w:color w:val="000000" w:themeColor="text1"/>
                <w:sz w:val="20"/>
                <w:szCs w:val="20"/>
                <w:lang w:eastAsia="hr-HR"/>
              </w:rPr>
            </w:pPr>
            <w:r w:rsidRPr="00291DF5">
              <w:rPr>
                <w:rFonts w:eastAsia="Times New Roman"/>
                <w:b/>
                <w:bCs/>
                <w:color w:val="000000"/>
                <w:sz w:val="20"/>
                <w:szCs w:val="20"/>
                <w:lang w:eastAsia="hr-HR"/>
              </w:rPr>
              <w:t>0,2167</w:t>
            </w:r>
          </w:p>
        </w:tc>
      </w:tr>
    </w:tbl>
    <w:p w14:paraId="63C389D0" w14:textId="77777777" w:rsidR="009245B1" w:rsidRPr="00922031" w:rsidRDefault="009245B1" w:rsidP="00975CD4">
      <w:pPr>
        <w:pStyle w:val="NoSpacing"/>
        <w:spacing w:line="276" w:lineRule="auto"/>
        <w:rPr>
          <w:rFonts w:asciiTheme="minorHAnsi" w:hAnsiTheme="minorHAnsi" w:cstheme="minorHAnsi"/>
          <w:b/>
          <w:color w:val="FF0000"/>
          <w:lang w:eastAsia="hr-HR"/>
        </w:rPr>
      </w:pPr>
    </w:p>
    <w:p w14:paraId="427B1FB7" w14:textId="62BD6B1B" w:rsidR="007D5E3F" w:rsidRDefault="00703E34" w:rsidP="007D5E3F">
      <w:pPr>
        <w:rPr>
          <w:lang w:eastAsia="hr-HR"/>
        </w:rPr>
      </w:pPr>
      <w:r w:rsidRPr="00922031">
        <w:rPr>
          <w:lang w:eastAsia="hr-HR"/>
        </w:rPr>
        <w:t>Sažet</w:t>
      </w:r>
      <w:r w:rsidR="00922031">
        <w:rPr>
          <w:lang w:eastAsia="hr-HR"/>
        </w:rPr>
        <w:t>a usporedba</w:t>
      </w:r>
      <w:r w:rsidR="000E7303">
        <w:rPr>
          <w:lang w:eastAsia="hr-HR"/>
        </w:rPr>
        <w:t xml:space="preserve"> Kontrolnog</w:t>
      </w:r>
      <w:r w:rsidR="000509A0">
        <w:rPr>
          <w:lang w:eastAsia="hr-HR"/>
        </w:rPr>
        <w:t xml:space="preserve"> i </w:t>
      </w:r>
      <w:r w:rsidR="000E7303">
        <w:rPr>
          <w:lang w:eastAsia="hr-HR"/>
        </w:rPr>
        <w:t>Referentnog inventara emisija CO</w:t>
      </w:r>
      <w:r w:rsidR="000E7303" w:rsidRPr="000E7303">
        <w:rPr>
          <w:vertAlign w:val="subscript"/>
          <w:lang w:eastAsia="hr-HR"/>
        </w:rPr>
        <w:t>2</w:t>
      </w:r>
      <w:r w:rsidR="007D5E3F">
        <w:rPr>
          <w:lang w:eastAsia="hr-HR"/>
        </w:rPr>
        <w:t xml:space="preserve"> dana je u nastavku unutar Tablice 6.</w:t>
      </w:r>
      <w:r w:rsidR="00EA7864">
        <w:rPr>
          <w:lang w:eastAsia="hr-HR"/>
        </w:rPr>
        <w:t>4</w:t>
      </w:r>
      <w:r w:rsidR="007D5E3F">
        <w:rPr>
          <w:lang w:eastAsia="hr-HR"/>
        </w:rPr>
        <w:t>.</w:t>
      </w:r>
    </w:p>
    <w:p w14:paraId="62D8C390" w14:textId="77777777" w:rsidR="007D5E3F" w:rsidRDefault="007D5E3F">
      <w:pPr>
        <w:rPr>
          <w:lang w:eastAsia="hr-HR"/>
        </w:rPr>
      </w:pPr>
      <w:r>
        <w:rPr>
          <w:lang w:eastAsia="hr-HR"/>
        </w:rPr>
        <w:br w:type="page"/>
      </w:r>
    </w:p>
    <w:p w14:paraId="182824D8" w14:textId="17C2E325" w:rsidR="007D5E3F" w:rsidRPr="005808FC" w:rsidRDefault="007D5E3F">
      <w:pPr>
        <w:pStyle w:val="Caption"/>
        <w:rPr>
          <w:rFonts w:asciiTheme="minorHAnsi" w:hAnsiTheme="minorHAnsi" w:cstheme="minorBidi"/>
          <w:b/>
          <w:bCs/>
          <w:color w:val="FF0000"/>
          <w:lang w:val="it-IT"/>
        </w:rPr>
      </w:pPr>
      <w:bookmarkStart w:id="211" w:name="_Toc4156015"/>
      <w:r w:rsidRPr="005808FC">
        <w:rPr>
          <w:lang w:val="it-IT"/>
        </w:rPr>
        <w:lastRenderedPageBreak/>
        <w:t xml:space="preserve">Tablica </w:t>
      </w:r>
      <w:r w:rsidR="0019556A">
        <w:fldChar w:fldCharType="begin"/>
      </w:r>
      <w:r w:rsidR="0019556A" w:rsidRPr="005808FC">
        <w:rPr>
          <w:lang w:val="it-IT"/>
        </w:rPr>
        <w:instrText xml:space="preserve"> STYLEREF 1 \s </w:instrText>
      </w:r>
      <w:r w:rsidR="0019556A">
        <w:fldChar w:fldCharType="separate"/>
      </w:r>
      <w:r w:rsidR="0019556A" w:rsidRPr="005808FC">
        <w:rPr>
          <w:noProof/>
          <w:lang w:val="it-IT"/>
        </w:rPr>
        <w:t>6</w:t>
      </w:r>
      <w:r w:rsidR="0019556A">
        <w:fldChar w:fldCharType="end"/>
      </w:r>
      <w:r w:rsidR="0019556A" w:rsidRPr="005808FC">
        <w:rPr>
          <w:lang w:val="it-IT"/>
        </w:rPr>
        <w:t>.</w:t>
      </w:r>
      <w:r w:rsidR="0019556A">
        <w:fldChar w:fldCharType="begin"/>
      </w:r>
      <w:r w:rsidR="0019556A" w:rsidRPr="005808FC">
        <w:rPr>
          <w:lang w:val="it-IT"/>
        </w:rPr>
        <w:instrText xml:space="preserve"> SEQ Tablica \* ARABIC \s 1 </w:instrText>
      </w:r>
      <w:r w:rsidR="0019556A">
        <w:fldChar w:fldCharType="separate"/>
      </w:r>
      <w:r w:rsidR="0019556A" w:rsidRPr="005808FC">
        <w:rPr>
          <w:noProof/>
          <w:lang w:val="it-IT"/>
        </w:rPr>
        <w:t>4</w:t>
      </w:r>
      <w:r w:rsidR="0019556A">
        <w:fldChar w:fldCharType="end"/>
      </w:r>
      <w:r w:rsidRPr="005808FC">
        <w:rPr>
          <w:lang w:val="it-IT"/>
        </w:rPr>
        <w:t xml:space="preserve"> - Sažeta usporedba Kontrolnog</w:t>
      </w:r>
      <w:r w:rsidR="000509A0">
        <w:rPr>
          <w:lang w:val="it-IT"/>
        </w:rPr>
        <w:t xml:space="preserve"> i </w:t>
      </w:r>
      <w:r w:rsidRPr="005808FC">
        <w:rPr>
          <w:lang w:val="it-IT"/>
        </w:rPr>
        <w:t>Referentnog inventara emisija CO</w:t>
      </w:r>
      <w:r w:rsidRPr="005808FC">
        <w:rPr>
          <w:vertAlign w:val="subscript"/>
          <w:lang w:val="it-IT"/>
        </w:rPr>
        <w:t>2</w:t>
      </w:r>
      <w:bookmarkEnd w:id="211"/>
    </w:p>
    <w:tbl>
      <w:tblPr>
        <w:tblStyle w:val="Reetkatablice1"/>
        <w:tblW w:w="0" w:type="auto"/>
        <w:tblLook w:val="04A0" w:firstRow="1" w:lastRow="0" w:firstColumn="1" w:lastColumn="0" w:noHBand="0" w:noVBand="1"/>
      </w:tblPr>
      <w:tblGrid>
        <w:gridCol w:w="6150"/>
        <w:gridCol w:w="2866"/>
      </w:tblGrid>
      <w:tr w:rsidR="007D5E3F" w:rsidRPr="007D5E3F" w14:paraId="17A39217" w14:textId="77777777" w:rsidTr="005808FC">
        <w:tc>
          <w:tcPr>
            <w:tcW w:w="9016" w:type="dxa"/>
            <w:gridSpan w:val="2"/>
            <w:shd w:val="clear" w:color="auto" w:fill="C6D9F1" w:themeFill="text2" w:themeFillTint="33"/>
          </w:tcPr>
          <w:p w14:paraId="05C2A794" w14:textId="2A90D158" w:rsidR="007D5E3F" w:rsidRPr="005808FC" w:rsidRDefault="007D5E3F">
            <w:pPr>
              <w:rPr>
                <w:rFonts w:cstheme="minorBidi"/>
                <w:b/>
                <w:bCs/>
                <w:sz w:val="18"/>
                <w:szCs w:val="18"/>
              </w:rPr>
            </w:pPr>
            <w:r w:rsidRPr="00291DF5">
              <w:rPr>
                <w:b/>
                <w:bCs/>
                <w:sz w:val="18"/>
                <w:szCs w:val="18"/>
              </w:rPr>
              <w:t>Sažeta usporedba Kontrolnog</w:t>
            </w:r>
            <w:r w:rsidR="000509A0">
              <w:rPr>
                <w:b/>
                <w:bCs/>
                <w:sz w:val="18"/>
                <w:szCs w:val="18"/>
              </w:rPr>
              <w:t xml:space="preserve"> i </w:t>
            </w:r>
            <w:r w:rsidRPr="00291DF5">
              <w:rPr>
                <w:b/>
                <w:bCs/>
                <w:sz w:val="18"/>
                <w:szCs w:val="18"/>
              </w:rPr>
              <w:t>Referentnog inventara emisija CO</w:t>
            </w:r>
            <w:r w:rsidRPr="005808FC">
              <w:rPr>
                <w:b/>
                <w:bCs/>
                <w:sz w:val="18"/>
                <w:szCs w:val="18"/>
                <w:vertAlign w:val="subscript"/>
              </w:rPr>
              <w:t>2</w:t>
            </w:r>
          </w:p>
        </w:tc>
      </w:tr>
      <w:tr w:rsidR="0037035E" w:rsidRPr="007D5E3F" w14:paraId="7CC88FC3" w14:textId="77777777" w:rsidTr="0DFBE047">
        <w:tc>
          <w:tcPr>
            <w:tcW w:w="6150" w:type="dxa"/>
            <w:shd w:val="clear" w:color="auto" w:fill="F2DBDB" w:themeFill="accent2" w:themeFillTint="33"/>
          </w:tcPr>
          <w:p w14:paraId="087C9A1B"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Datum pristupanja Sporazumu gradonačelnika</w:t>
            </w:r>
          </w:p>
        </w:tc>
        <w:tc>
          <w:tcPr>
            <w:tcW w:w="2866" w:type="dxa"/>
          </w:tcPr>
          <w:p w14:paraId="2F30C37E"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30.10.2008.</w:t>
            </w:r>
          </w:p>
        </w:tc>
      </w:tr>
      <w:tr w:rsidR="0037035E" w:rsidRPr="007D5E3F" w14:paraId="2EB5D8F6" w14:textId="77777777" w:rsidTr="0DFBE047">
        <w:tc>
          <w:tcPr>
            <w:tcW w:w="6150" w:type="dxa"/>
            <w:shd w:val="clear" w:color="auto" w:fill="F2DBDB" w:themeFill="accent2" w:themeFillTint="33"/>
          </w:tcPr>
          <w:p w14:paraId="3540279F"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Datum prihvaćanja na Gradskoj skupštini Grada Zagreba</w:t>
            </w:r>
          </w:p>
        </w:tc>
        <w:tc>
          <w:tcPr>
            <w:tcW w:w="2866" w:type="dxa"/>
          </w:tcPr>
          <w:p w14:paraId="793CDB4C"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20.04.2010.</w:t>
            </w:r>
          </w:p>
        </w:tc>
      </w:tr>
      <w:tr w:rsidR="0037035E" w:rsidRPr="007D5E3F" w14:paraId="3192377E" w14:textId="77777777" w:rsidTr="0DFBE047">
        <w:tc>
          <w:tcPr>
            <w:tcW w:w="6150" w:type="dxa"/>
            <w:shd w:val="clear" w:color="auto" w:fill="F2DBDB" w:themeFill="accent2" w:themeFillTint="33"/>
          </w:tcPr>
          <w:p w14:paraId="11513401" w14:textId="10BBDAB6"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 xml:space="preserve">Predloženi indikativni cilj </w:t>
            </w:r>
            <w:r w:rsidRPr="005808FC">
              <w:rPr>
                <w:rFonts w:cstheme="minorBidi"/>
                <w:b/>
                <w:bCs/>
                <w:sz w:val="18"/>
                <w:szCs w:val="18"/>
              </w:rPr>
              <w:t>smanjenja emisije CO</w:t>
            </w:r>
            <w:r w:rsidRPr="005808FC">
              <w:rPr>
                <w:rFonts w:cstheme="minorBidi"/>
                <w:b/>
                <w:bCs/>
                <w:sz w:val="18"/>
                <w:szCs w:val="18"/>
                <w:vertAlign w:val="subscript"/>
              </w:rPr>
              <w:t>2</w:t>
            </w:r>
            <w:r w:rsidRPr="005808FC">
              <w:rPr>
                <w:rFonts w:cstheme="minorBidi"/>
                <w:b/>
                <w:bCs/>
                <w:sz w:val="18"/>
                <w:szCs w:val="18"/>
              </w:rPr>
              <w:t xml:space="preserve"> do 2020. godine u</w:t>
            </w:r>
            <w:r w:rsidR="000509A0">
              <w:rPr>
                <w:rFonts w:cstheme="minorBidi"/>
                <w:b/>
                <w:bCs/>
                <w:sz w:val="18"/>
                <w:szCs w:val="18"/>
              </w:rPr>
              <w:t>%</w:t>
            </w:r>
          </w:p>
        </w:tc>
        <w:tc>
          <w:tcPr>
            <w:tcW w:w="2866" w:type="dxa"/>
          </w:tcPr>
          <w:p w14:paraId="7344CDA5"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21%</w:t>
            </w:r>
          </w:p>
        </w:tc>
      </w:tr>
      <w:tr w:rsidR="0037035E" w:rsidRPr="007D5E3F" w14:paraId="170CB8FA" w14:textId="77777777" w:rsidTr="0DFBE047">
        <w:tc>
          <w:tcPr>
            <w:tcW w:w="6150" w:type="dxa"/>
            <w:shd w:val="clear" w:color="auto" w:fill="F2DBDB" w:themeFill="accent2" w:themeFillTint="33"/>
          </w:tcPr>
          <w:p w14:paraId="51679CB0"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Predloženi indikativni cilj smanjenja emisije do 2020. godine (t CO</w:t>
            </w:r>
            <w:r w:rsidRPr="005808FC">
              <w:rPr>
                <w:rFonts w:cstheme="minorBidi"/>
                <w:b/>
                <w:bCs/>
                <w:sz w:val="18"/>
                <w:szCs w:val="18"/>
                <w:vertAlign w:val="subscript"/>
              </w:rPr>
              <w:t>2</w:t>
            </w:r>
            <w:r w:rsidRPr="005808FC">
              <w:rPr>
                <w:rFonts w:cstheme="minorBidi"/>
                <w:b/>
                <w:bCs/>
                <w:sz w:val="18"/>
                <w:szCs w:val="18"/>
              </w:rPr>
              <w:t>)</w:t>
            </w:r>
          </w:p>
        </w:tc>
        <w:tc>
          <w:tcPr>
            <w:tcW w:w="2866" w:type="dxa"/>
          </w:tcPr>
          <w:p w14:paraId="0EF2E375" w14:textId="77777777" w:rsidR="0037035E" w:rsidRPr="005808FC" w:rsidRDefault="0037035E" w:rsidP="005808FC">
            <w:pPr>
              <w:spacing w:line="276" w:lineRule="auto"/>
              <w:rPr>
                <w:rFonts w:asciiTheme="minorHAnsi" w:hAnsiTheme="minorHAnsi" w:cstheme="minorBidi"/>
                <w:color w:val="333333"/>
                <w:sz w:val="18"/>
                <w:szCs w:val="18"/>
              </w:rPr>
            </w:pPr>
            <w:r w:rsidRPr="00291DF5">
              <w:rPr>
                <w:rFonts w:cstheme="minorBidi"/>
                <w:color w:val="333333"/>
                <w:sz w:val="18"/>
                <w:szCs w:val="18"/>
              </w:rPr>
              <w:t>587 170,69</w:t>
            </w:r>
          </w:p>
        </w:tc>
      </w:tr>
      <w:tr w:rsidR="0037035E" w:rsidRPr="007D5E3F" w14:paraId="05FAE2BA" w14:textId="77777777" w:rsidTr="0DFBE047">
        <w:tc>
          <w:tcPr>
            <w:tcW w:w="6150" w:type="dxa"/>
            <w:shd w:val="clear" w:color="auto" w:fill="F2DBDB" w:themeFill="accent2" w:themeFillTint="33"/>
          </w:tcPr>
          <w:p w14:paraId="5E210E82" w14:textId="77777777" w:rsidR="0037035E" w:rsidRPr="007D5E3F" w:rsidRDefault="0037035E" w:rsidP="00975CD4">
            <w:pPr>
              <w:spacing w:line="276" w:lineRule="auto"/>
              <w:rPr>
                <w:rFonts w:asciiTheme="minorHAnsi" w:hAnsiTheme="minorHAnsi" w:cstheme="minorHAnsi"/>
                <w:b/>
                <w:sz w:val="18"/>
                <w:szCs w:val="18"/>
                <w:highlight w:val="yellow"/>
              </w:rPr>
            </w:pPr>
          </w:p>
        </w:tc>
        <w:tc>
          <w:tcPr>
            <w:tcW w:w="2866" w:type="dxa"/>
          </w:tcPr>
          <w:p w14:paraId="35367A34" w14:textId="77777777" w:rsidR="0037035E" w:rsidRPr="007D5E3F" w:rsidRDefault="0037035E" w:rsidP="00975CD4">
            <w:pPr>
              <w:spacing w:line="276" w:lineRule="auto"/>
              <w:rPr>
                <w:rFonts w:asciiTheme="minorHAnsi" w:hAnsiTheme="minorHAnsi" w:cstheme="minorHAnsi"/>
                <w:bCs/>
                <w:color w:val="333333"/>
                <w:sz w:val="18"/>
                <w:szCs w:val="18"/>
                <w:highlight w:val="yellow"/>
              </w:rPr>
            </w:pPr>
          </w:p>
        </w:tc>
      </w:tr>
      <w:tr w:rsidR="0037035E" w:rsidRPr="007D5E3F" w14:paraId="345F7F1D" w14:textId="77777777" w:rsidTr="0DFBE047">
        <w:tc>
          <w:tcPr>
            <w:tcW w:w="6150" w:type="dxa"/>
            <w:shd w:val="clear" w:color="auto" w:fill="F2DBDB" w:themeFill="accent2" w:themeFillTint="33"/>
          </w:tcPr>
          <w:p w14:paraId="04D8B824" w14:textId="11C2455F"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Referentna godina za izradu energetskih analiza</w:t>
            </w:r>
            <w:r w:rsidR="000509A0">
              <w:rPr>
                <w:rFonts w:cstheme="minorBidi"/>
                <w:b/>
                <w:bCs/>
                <w:sz w:val="18"/>
                <w:szCs w:val="18"/>
              </w:rPr>
              <w:t xml:space="preserve"> i </w:t>
            </w:r>
            <w:r w:rsidRPr="00291DF5">
              <w:rPr>
                <w:rFonts w:cstheme="minorBidi"/>
                <w:b/>
                <w:bCs/>
                <w:sz w:val="18"/>
                <w:szCs w:val="18"/>
              </w:rPr>
              <w:t>inventara emisija CO</w:t>
            </w:r>
            <w:r w:rsidRPr="005808FC">
              <w:rPr>
                <w:rFonts w:cstheme="minorBidi"/>
                <w:b/>
                <w:bCs/>
                <w:sz w:val="18"/>
                <w:szCs w:val="18"/>
                <w:vertAlign w:val="subscript"/>
              </w:rPr>
              <w:t>2</w:t>
            </w:r>
          </w:p>
        </w:tc>
        <w:tc>
          <w:tcPr>
            <w:tcW w:w="2866" w:type="dxa"/>
          </w:tcPr>
          <w:p w14:paraId="091CE3E5"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2008.</w:t>
            </w:r>
          </w:p>
        </w:tc>
      </w:tr>
      <w:tr w:rsidR="0037035E" w:rsidRPr="007D5E3F" w14:paraId="7E4FA744" w14:textId="77777777" w:rsidTr="0DFBE047">
        <w:tc>
          <w:tcPr>
            <w:tcW w:w="6150" w:type="dxa"/>
            <w:shd w:val="clear" w:color="auto" w:fill="F2DBDB" w:themeFill="accent2" w:themeFillTint="33"/>
          </w:tcPr>
          <w:p w14:paraId="4E9C5AD8" w14:textId="64EC0B6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 xml:space="preserve">Kontrolna godina za izradu </w:t>
            </w:r>
            <w:r w:rsidRPr="005808FC">
              <w:rPr>
                <w:rFonts w:cstheme="minorBidi"/>
                <w:b/>
                <w:bCs/>
                <w:sz w:val="18"/>
                <w:szCs w:val="18"/>
              </w:rPr>
              <w:t>energetskih analiza</w:t>
            </w:r>
            <w:r w:rsidR="000509A0">
              <w:rPr>
                <w:rFonts w:cstheme="minorBidi"/>
                <w:b/>
                <w:bCs/>
                <w:sz w:val="18"/>
                <w:szCs w:val="18"/>
              </w:rPr>
              <w:t xml:space="preserve"> i </w:t>
            </w:r>
            <w:r w:rsidRPr="00291DF5">
              <w:rPr>
                <w:rFonts w:cstheme="minorBidi"/>
                <w:b/>
                <w:bCs/>
                <w:sz w:val="18"/>
                <w:szCs w:val="18"/>
              </w:rPr>
              <w:t>inventara emisija CO</w:t>
            </w:r>
            <w:r w:rsidRPr="005808FC">
              <w:rPr>
                <w:rFonts w:cstheme="minorBidi"/>
                <w:b/>
                <w:bCs/>
                <w:sz w:val="18"/>
                <w:szCs w:val="18"/>
                <w:vertAlign w:val="subscript"/>
              </w:rPr>
              <w:t>2</w:t>
            </w:r>
          </w:p>
        </w:tc>
        <w:tc>
          <w:tcPr>
            <w:tcW w:w="2866" w:type="dxa"/>
          </w:tcPr>
          <w:p w14:paraId="5F55EC1B"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2015.</w:t>
            </w:r>
          </w:p>
        </w:tc>
      </w:tr>
      <w:tr w:rsidR="0037035E" w:rsidRPr="007D5E3F" w14:paraId="7F3572EB" w14:textId="77777777" w:rsidTr="0DFBE047">
        <w:tc>
          <w:tcPr>
            <w:tcW w:w="6150" w:type="dxa"/>
            <w:shd w:val="clear" w:color="auto" w:fill="F2DBDB" w:themeFill="accent2" w:themeFillTint="33"/>
          </w:tcPr>
          <w:p w14:paraId="50D0C547" w14:textId="77777777" w:rsidR="0037035E" w:rsidRPr="007D5E3F" w:rsidRDefault="0037035E" w:rsidP="00975CD4">
            <w:pPr>
              <w:spacing w:line="276" w:lineRule="auto"/>
              <w:rPr>
                <w:rFonts w:asciiTheme="minorHAnsi" w:hAnsiTheme="minorHAnsi" w:cstheme="minorHAnsi"/>
                <w:sz w:val="18"/>
                <w:szCs w:val="18"/>
                <w:highlight w:val="yellow"/>
              </w:rPr>
            </w:pPr>
          </w:p>
        </w:tc>
        <w:tc>
          <w:tcPr>
            <w:tcW w:w="2866" w:type="dxa"/>
          </w:tcPr>
          <w:p w14:paraId="742D0C15" w14:textId="77777777" w:rsidR="0037035E" w:rsidRPr="007D5E3F" w:rsidRDefault="0037035E" w:rsidP="00975CD4">
            <w:pPr>
              <w:spacing w:line="276" w:lineRule="auto"/>
              <w:rPr>
                <w:rFonts w:asciiTheme="minorHAnsi" w:hAnsiTheme="minorHAnsi" w:cstheme="minorHAnsi"/>
                <w:sz w:val="18"/>
                <w:szCs w:val="18"/>
                <w:highlight w:val="yellow"/>
              </w:rPr>
            </w:pPr>
          </w:p>
        </w:tc>
      </w:tr>
      <w:tr w:rsidR="0037035E" w:rsidRPr="007D5E3F" w14:paraId="0DE6B449" w14:textId="77777777" w:rsidTr="0DFBE047">
        <w:tc>
          <w:tcPr>
            <w:tcW w:w="6150" w:type="dxa"/>
            <w:shd w:val="clear" w:color="auto" w:fill="F2DBDB" w:themeFill="accent2" w:themeFillTint="33"/>
          </w:tcPr>
          <w:p w14:paraId="408693C9"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Pregled pokazatelja za 2008. godinu:</w:t>
            </w:r>
          </w:p>
        </w:tc>
        <w:tc>
          <w:tcPr>
            <w:tcW w:w="2866" w:type="dxa"/>
          </w:tcPr>
          <w:p w14:paraId="05E06DF3"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1AB23EAE" w14:textId="77777777" w:rsidTr="0DFBE047">
        <w:tc>
          <w:tcPr>
            <w:tcW w:w="6150" w:type="dxa"/>
            <w:shd w:val="clear" w:color="auto" w:fill="F2DBDB" w:themeFill="accent2" w:themeFillTint="33"/>
          </w:tcPr>
          <w:p w14:paraId="669F000D"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Broj kućanstava</w:t>
            </w:r>
          </w:p>
        </w:tc>
        <w:tc>
          <w:tcPr>
            <w:tcW w:w="2866" w:type="dxa"/>
          </w:tcPr>
          <w:p w14:paraId="7CD1E104"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280 354</w:t>
            </w:r>
          </w:p>
        </w:tc>
      </w:tr>
      <w:tr w:rsidR="0037035E" w:rsidRPr="007D5E3F" w14:paraId="4AB655E3" w14:textId="77777777" w:rsidTr="0DFBE047">
        <w:tc>
          <w:tcPr>
            <w:tcW w:w="6150" w:type="dxa"/>
            <w:shd w:val="clear" w:color="auto" w:fill="F2DBDB" w:themeFill="accent2" w:themeFillTint="33"/>
          </w:tcPr>
          <w:p w14:paraId="431B662A"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Površina kućanstava (m</w:t>
            </w:r>
            <w:r w:rsidRPr="005808FC">
              <w:rPr>
                <w:rFonts w:cstheme="minorBidi"/>
                <w:sz w:val="18"/>
                <w:szCs w:val="18"/>
                <w:vertAlign w:val="superscript"/>
              </w:rPr>
              <w:t>2</w:t>
            </w:r>
            <w:r w:rsidRPr="005808FC">
              <w:rPr>
                <w:rFonts w:cstheme="minorBidi"/>
                <w:sz w:val="18"/>
                <w:szCs w:val="18"/>
              </w:rPr>
              <w:t>)</w:t>
            </w:r>
          </w:p>
        </w:tc>
        <w:tc>
          <w:tcPr>
            <w:tcW w:w="2866" w:type="dxa"/>
          </w:tcPr>
          <w:p w14:paraId="0D2B21A4"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18 533 107</w:t>
            </w:r>
          </w:p>
        </w:tc>
      </w:tr>
      <w:tr w:rsidR="0037035E" w:rsidRPr="007D5E3F" w14:paraId="01641023" w14:textId="77777777" w:rsidTr="0DFBE047">
        <w:tc>
          <w:tcPr>
            <w:tcW w:w="6150" w:type="dxa"/>
            <w:shd w:val="clear" w:color="auto" w:fill="F2DBDB" w:themeFill="accent2" w:themeFillTint="33"/>
          </w:tcPr>
          <w:p w14:paraId="5009BFFA" w14:textId="4E7E499B"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Broj objekata komercijalnih</w:t>
            </w:r>
            <w:r w:rsidR="000509A0">
              <w:rPr>
                <w:rFonts w:cstheme="minorBidi"/>
                <w:sz w:val="18"/>
                <w:szCs w:val="18"/>
              </w:rPr>
              <w:t xml:space="preserve"> i </w:t>
            </w:r>
            <w:r w:rsidRPr="00291DF5">
              <w:rPr>
                <w:rFonts w:cstheme="minorBidi"/>
                <w:sz w:val="18"/>
                <w:szCs w:val="18"/>
              </w:rPr>
              <w:t>uslužnih djelatnosti</w:t>
            </w:r>
          </w:p>
        </w:tc>
        <w:tc>
          <w:tcPr>
            <w:tcW w:w="2866" w:type="dxa"/>
          </w:tcPr>
          <w:p w14:paraId="2116C3D9"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19 893</w:t>
            </w:r>
          </w:p>
        </w:tc>
      </w:tr>
      <w:tr w:rsidR="0037035E" w:rsidRPr="007D5E3F" w14:paraId="7F7BBDE9" w14:textId="77777777" w:rsidTr="0DFBE047">
        <w:tc>
          <w:tcPr>
            <w:tcW w:w="6150" w:type="dxa"/>
            <w:shd w:val="clear" w:color="auto" w:fill="F2DBDB" w:themeFill="accent2" w:themeFillTint="33"/>
          </w:tcPr>
          <w:p w14:paraId="76CBB9F2" w14:textId="5DDA9B52"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Površina objekata (m</w:t>
            </w:r>
            <w:r w:rsidRPr="005808FC">
              <w:rPr>
                <w:rFonts w:cstheme="minorBidi"/>
                <w:sz w:val="18"/>
                <w:szCs w:val="18"/>
                <w:vertAlign w:val="superscript"/>
              </w:rPr>
              <w:t>2</w:t>
            </w:r>
            <w:r w:rsidRPr="005808FC">
              <w:rPr>
                <w:rFonts w:cstheme="minorBidi"/>
                <w:sz w:val="18"/>
                <w:szCs w:val="18"/>
              </w:rPr>
              <w:t>) komercijalnog</w:t>
            </w:r>
            <w:r w:rsidR="000509A0">
              <w:rPr>
                <w:rFonts w:cstheme="minorBidi"/>
                <w:sz w:val="18"/>
                <w:szCs w:val="18"/>
              </w:rPr>
              <w:t xml:space="preserve"> i </w:t>
            </w:r>
            <w:r w:rsidRPr="00291DF5">
              <w:rPr>
                <w:rFonts w:cstheme="minorBidi"/>
                <w:sz w:val="18"/>
                <w:szCs w:val="18"/>
              </w:rPr>
              <w:t>uslužnih djelatnosti</w:t>
            </w:r>
          </w:p>
        </w:tc>
        <w:tc>
          <w:tcPr>
            <w:tcW w:w="2866" w:type="dxa"/>
          </w:tcPr>
          <w:p w14:paraId="00A971B4"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8 041 291</w:t>
            </w:r>
          </w:p>
        </w:tc>
      </w:tr>
      <w:tr w:rsidR="0037035E" w:rsidRPr="007D5E3F" w14:paraId="4A9AE3F8" w14:textId="77777777" w:rsidTr="0DFBE047">
        <w:tc>
          <w:tcPr>
            <w:tcW w:w="6150" w:type="dxa"/>
            <w:shd w:val="clear" w:color="auto" w:fill="F2DBDB" w:themeFill="accent2" w:themeFillTint="33"/>
          </w:tcPr>
          <w:p w14:paraId="49318456" w14:textId="77777777" w:rsidR="0037035E" w:rsidRPr="007D5E3F" w:rsidRDefault="0037035E" w:rsidP="00975CD4">
            <w:pPr>
              <w:spacing w:line="276" w:lineRule="auto"/>
              <w:rPr>
                <w:rFonts w:asciiTheme="minorHAnsi" w:hAnsiTheme="minorHAnsi" w:cstheme="minorHAnsi"/>
                <w:sz w:val="18"/>
                <w:szCs w:val="18"/>
              </w:rPr>
            </w:pPr>
          </w:p>
        </w:tc>
        <w:tc>
          <w:tcPr>
            <w:tcW w:w="2866" w:type="dxa"/>
          </w:tcPr>
          <w:p w14:paraId="0BAEC3D1"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1164A618" w14:textId="77777777" w:rsidTr="0DFBE047">
        <w:tc>
          <w:tcPr>
            <w:tcW w:w="6150" w:type="dxa"/>
            <w:shd w:val="clear" w:color="auto" w:fill="F2DBDB" w:themeFill="accent2" w:themeFillTint="33"/>
          </w:tcPr>
          <w:p w14:paraId="33288007"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Pregled pokazatelja za 2015. godinu</w:t>
            </w:r>
          </w:p>
        </w:tc>
        <w:tc>
          <w:tcPr>
            <w:tcW w:w="2866" w:type="dxa"/>
          </w:tcPr>
          <w:p w14:paraId="33C46BB4"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6CB90DE7" w14:textId="77777777" w:rsidTr="0DFBE047">
        <w:tc>
          <w:tcPr>
            <w:tcW w:w="6150" w:type="dxa"/>
            <w:shd w:val="clear" w:color="auto" w:fill="F2DBDB" w:themeFill="accent2" w:themeFillTint="33"/>
          </w:tcPr>
          <w:p w14:paraId="5D44A80E"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Broj kućanstava</w:t>
            </w:r>
          </w:p>
        </w:tc>
        <w:tc>
          <w:tcPr>
            <w:tcW w:w="2866" w:type="dxa"/>
          </w:tcPr>
          <w:p w14:paraId="2DF009E9"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360 601</w:t>
            </w:r>
          </w:p>
        </w:tc>
      </w:tr>
      <w:tr w:rsidR="0037035E" w:rsidRPr="007D5E3F" w14:paraId="6900A6DB" w14:textId="77777777" w:rsidTr="0DFBE047">
        <w:tc>
          <w:tcPr>
            <w:tcW w:w="6150" w:type="dxa"/>
            <w:shd w:val="clear" w:color="auto" w:fill="F2DBDB" w:themeFill="accent2" w:themeFillTint="33"/>
          </w:tcPr>
          <w:p w14:paraId="12574417"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Površina kućanstava (m</w:t>
            </w:r>
            <w:r w:rsidRPr="005808FC">
              <w:rPr>
                <w:rFonts w:cstheme="minorBidi"/>
                <w:sz w:val="18"/>
                <w:szCs w:val="18"/>
                <w:vertAlign w:val="superscript"/>
              </w:rPr>
              <w:t>2</w:t>
            </w:r>
            <w:r w:rsidRPr="005808FC">
              <w:rPr>
                <w:rFonts w:cstheme="minorBidi"/>
                <w:sz w:val="18"/>
                <w:szCs w:val="18"/>
              </w:rPr>
              <w:t>)</w:t>
            </w:r>
          </w:p>
        </w:tc>
        <w:tc>
          <w:tcPr>
            <w:tcW w:w="2866" w:type="dxa"/>
          </w:tcPr>
          <w:p w14:paraId="38DBF2DC"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25 979 962</w:t>
            </w:r>
          </w:p>
        </w:tc>
      </w:tr>
      <w:tr w:rsidR="0037035E" w:rsidRPr="007D5E3F" w14:paraId="436ED5D6" w14:textId="77777777" w:rsidTr="0DFBE047">
        <w:tc>
          <w:tcPr>
            <w:tcW w:w="6150" w:type="dxa"/>
            <w:shd w:val="clear" w:color="auto" w:fill="F2DBDB" w:themeFill="accent2" w:themeFillTint="33"/>
          </w:tcPr>
          <w:p w14:paraId="590DFD98" w14:textId="268574BA"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Broj objekata komercijalnih</w:t>
            </w:r>
            <w:r w:rsidR="000509A0">
              <w:rPr>
                <w:rFonts w:cstheme="minorBidi"/>
                <w:sz w:val="18"/>
                <w:szCs w:val="18"/>
              </w:rPr>
              <w:t xml:space="preserve"> i </w:t>
            </w:r>
            <w:r w:rsidRPr="00291DF5">
              <w:rPr>
                <w:rFonts w:cstheme="minorBidi"/>
                <w:sz w:val="18"/>
                <w:szCs w:val="18"/>
              </w:rPr>
              <w:t>uslužnih djelatnosti</w:t>
            </w:r>
          </w:p>
        </w:tc>
        <w:tc>
          <w:tcPr>
            <w:tcW w:w="2866" w:type="dxa"/>
          </w:tcPr>
          <w:p w14:paraId="08C6887D"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27 452</w:t>
            </w:r>
          </w:p>
        </w:tc>
      </w:tr>
      <w:tr w:rsidR="0037035E" w:rsidRPr="007D5E3F" w14:paraId="52256332" w14:textId="77777777" w:rsidTr="0DFBE047">
        <w:tc>
          <w:tcPr>
            <w:tcW w:w="6150" w:type="dxa"/>
            <w:shd w:val="clear" w:color="auto" w:fill="F2DBDB" w:themeFill="accent2" w:themeFillTint="33"/>
          </w:tcPr>
          <w:p w14:paraId="0E0E55F3" w14:textId="68DBD889"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Površina objekata (m</w:t>
            </w:r>
            <w:r w:rsidRPr="005808FC">
              <w:rPr>
                <w:rFonts w:cstheme="minorBidi"/>
                <w:sz w:val="18"/>
                <w:szCs w:val="18"/>
                <w:vertAlign w:val="superscript"/>
              </w:rPr>
              <w:t>2</w:t>
            </w:r>
            <w:r w:rsidRPr="005808FC">
              <w:rPr>
                <w:rFonts w:cstheme="minorBidi"/>
                <w:sz w:val="18"/>
                <w:szCs w:val="18"/>
              </w:rPr>
              <w:t>) komercijalnih</w:t>
            </w:r>
            <w:r w:rsidR="000509A0">
              <w:rPr>
                <w:rFonts w:cstheme="minorBidi"/>
                <w:sz w:val="18"/>
                <w:szCs w:val="18"/>
              </w:rPr>
              <w:t xml:space="preserve"> i </w:t>
            </w:r>
            <w:r w:rsidRPr="00291DF5">
              <w:rPr>
                <w:rFonts w:cstheme="minorBidi"/>
                <w:sz w:val="18"/>
                <w:szCs w:val="18"/>
              </w:rPr>
              <w:t>uslužnih djelatnosti</w:t>
            </w:r>
          </w:p>
        </w:tc>
        <w:tc>
          <w:tcPr>
            <w:tcW w:w="2866" w:type="dxa"/>
          </w:tcPr>
          <w:p w14:paraId="570411A2"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10 377 926</w:t>
            </w:r>
          </w:p>
        </w:tc>
      </w:tr>
      <w:tr w:rsidR="0037035E" w:rsidRPr="007D5E3F" w14:paraId="1D0AF241" w14:textId="77777777" w:rsidTr="0DFBE047">
        <w:tc>
          <w:tcPr>
            <w:tcW w:w="6150" w:type="dxa"/>
            <w:shd w:val="clear" w:color="auto" w:fill="F2DBDB" w:themeFill="accent2" w:themeFillTint="33"/>
          </w:tcPr>
          <w:p w14:paraId="7F5B4BDA" w14:textId="77777777" w:rsidR="0037035E" w:rsidRPr="007D5E3F" w:rsidRDefault="0037035E" w:rsidP="00975CD4">
            <w:pPr>
              <w:spacing w:line="276" w:lineRule="auto"/>
              <w:rPr>
                <w:rFonts w:asciiTheme="minorHAnsi" w:hAnsiTheme="minorHAnsi" w:cstheme="minorHAnsi"/>
                <w:sz w:val="18"/>
                <w:szCs w:val="18"/>
                <w:highlight w:val="yellow"/>
              </w:rPr>
            </w:pPr>
          </w:p>
        </w:tc>
        <w:tc>
          <w:tcPr>
            <w:tcW w:w="2866" w:type="dxa"/>
          </w:tcPr>
          <w:p w14:paraId="6C79F077" w14:textId="77777777" w:rsidR="0037035E" w:rsidRPr="007D5E3F" w:rsidRDefault="0037035E" w:rsidP="00975CD4">
            <w:pPr>
              <w:spacing w:line="276" w:lineRule="auto"/>
              <w:rPr>
                <w:rFonts w:asciiTheme="minorHAnsi" w:hAnsiTheme="minorHAnsi" w:cstheme="minorHAnsi"/>
                <w:sz w:val="18"/>
                <w:szCs w:val="18"/>
                <w:highlight w:val="yellow"/>
              </w:rPr>
            </w:pPr>
          </w:p>
        </w:tc>
      </w:tr>
      <w:tr w:rsidR="0037035E" w:rsidRPr="007D5E3F" w14:paraId="541644C0" w14:textId="77777777" w:rsidTr="0DFBE047">
        <w:tc>
          <w:tcPr>
            <w:tcW w:w="6150" w:type="dxa"/>
            <w:shd w:val="clear" w:color="auto" w:fill="F2DBDB" w:themeFill="accent2" w:themeFillTint="33"/>
          </w:tcPr>
          <w:p w14:paraId="47FC662E"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Pregled rezultata energetske analize u 2008. godini:</w:t>
            </w:r>
          </w:p>
        </w:tc>
        <w:tc>
          <w:tcPr>
            <w:tcW w:w="2866" w:type="dxa"/>
          </w:tcPr>
          <w:p w14:paraId="38E8BFE3"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70A1DB86" w14:textId="77777777" w:rsidTr="0DFBE047">
        <w:tc>
          <w:tcPr>
            <w:tcW w:w="6150" w:type="dxa"/>
            <w:shd w:val="clear" w:color="auto" w:fill="F2DBDB" w:themeFill="accent2" w:themeFillTint="33"/>
          </w:tcPr>
          <w:p w14:paraId="7558590E"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Energetska potrošnja u sektoru zgradarstvo (MWh)</w:t>
            </w:r>
          </w:p>
        </w:tc>
        <w:tc>
          <w:tcPr>
            <w:tcW w:w="2866" w:type="dxa"/>
          </w:tcPr>
          <w:p w14:paraId="595D7016"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7 443 455</w:t>
            </w:r>
          </w:p>
        </w:tc>
      </w:tr>
      <w:tr w:rsidR="0037035E" w:rsidRPr="007D5E3F" w14:paraId="2DA15FEA" w14:textId="77777777" w:rsidTr="0DFBE047">
        <w:tc>
          <w:tcPr>
            <w:tcW w:w="6150" w:type="dxa"/>
            <w:shd w:val="clear" w:color="auto" w:fill="F2DBDB" w:themeFill="accent2" w:themeFillTint="33"/>
          </w:tcPr>
          <w:p w14:paraId="0C6F943A"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Energetska potrošnja u sektoru prometa (MWh)</w:t>
            </w:r>
          </w:p>
        </w:tc>
        <w:tc>
          <w:tcPr>
            <w:tcW w:w="2866" w:type="dxa"/>
          </w:tcPr>
          <w:p w14:paraId="2F9621F4"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3 909 237</w:t>
            </w:r>
          </w:p>
        </w:tc>
      </w:tr>
      <w:tr w:rsidR="0037035E" w:rsidRPr="007D5E3F" w14:paraId="1471B487" w14:textId="77777777" w:rsidTr="0DFBE047">
        <w:tc>
          <w:tcPr>
            <w:tcW w:w="6150" w:type="dxa"/>
            <w:shd w:val="clear" w:color="auto" w:fill="F2DBDB" w:themeFill="accent2" w:themeFillTint="33"/>
          </w:tcPr>
          <w:p w14:paraId="22E9586B"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 xml:space="preserve">Energetska potrošnja u </w:t>
            </w:r>
            <w:r w:rsidRPr="005808FC">
              <w:rPr>
                <w:rFonts w:cstheme="minorBidi"/>
                <w:sz w:val="18"/>
                <w:szCs w:val="18"/>
              </w:rPr>
              <w:t>sektoru javne rasvjete (MWh)</w:t>
            </w:r>
          </w:p>
        </w:tc>
        <w:tc>
          <w:tcPr>
            <w:tcW w:w="2866" w:type="dxa"/>
          </w:tcPr>
          <w:p w14:paraId="6CF1D47D"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90 458</w:t>
            </w:r>
          </w:p>
        </w:tc>
      </w:tr>
      <w:tr w:rsidR="0037035E" w:rsidRPr="007D5E3F" w14:paraId="6AA7AD8C" w14:textId="77777777" w:rsidTr="0DFBE047">
        <w:tc>
          <w:tcPr>
            <w:tcW w:w="6150" w:type="dxa"/>
            <w:shd w:val="clear" w:color="auto" w:fill="F2DBDB" w:themeFill="accent2" w:themeFillTint="33"/>
          </w:tcPr>
          <w:p w14:paraId="69274EEC"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Ukupna energetska potrošnja (MWh)</w:t>
            </w:r>
          </w:p>
        </w:tc>
        <w:tc>
          <w:tcPr>
            <w:tcW w:w="2866" w:type="dxa"/>
          </w:tcPr>
          <w:p w14:paraId="240B9033"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11 443 150</w:t>
            </w:r>
          </w:p>
        </w:tc>
      </w:tr>
      <w:tr w:rsidR="0037035E" w:rsidRPr="007D5E3F" w14:paraId="5F967A9F" w14:textId="77777777" w:rsidTr="0DFBE047">
        <w:tc>
          <w:tcPr>
            <w:tcW w:w="6150" w:type="dxa"/>
            <w:shd w:val="clear" w:color="auto" w:fill="F2DBDB" w:themeFill="accent2" w:themeFillTint="33"/>
          </w:tcPr>
          <w:p w14:paraId="3DB9B677" w14:textId="77777777" w:rsidR="0037035E" w:rsidRPr="007D5E3F" w:rsidRDefault="0037035E" w:rsidP="00975CD4">
            <w:pPr>
              <w:spacing w:line="276" w:lineRule="auto"/>
              <w:rPr>
                <w:rFonts w:asciiTheme="minorHAnsi" w:hAnsiTheme="minorHAnsi" w:cstheme="minorHAnsi"/>
                <w:sz w:val="18"/>
                <w:szCs w:val="18"/>
                <w:highlight w:val="yellow"/>
              </w:rPr>
            </w:pPr>
          </w:p>
        </w:tc>
        <w:tc>
          <w:tcPr>
            <w:tcW w:w="2866" w:type="dxa"/>
          </w:tcPr>
          <w:p w14:paraId="1899CE92" w14:textId="77777777" w:rsidR="0037035E" w:rsidRPr="007D5E3F" w:rsidRDefault="0037035E" w:rsidP="00975CD4">
            <w:pPr>
              <w:spacing w:line="276" w:lineRule="auto"/>
              <w:rPr>
                <w:rFonts w:asciiTheme="minorHAnsi" w:hAnsiTheme="minorHAnsi" w:cstheme="minorHAnsi"/>
                <w:sz w:val="18"/>
                <w:szCs w:val="18"/>
                <w:highlight w:val="yellow"/>
              </w:rPr>
            </w:pPr>
          </w:p>
        </w:tc>
      </w:tr>
      <w:tr w:rsidR="0037035E" w:rsidRPr="007D5E3F" w14:paraId="7737CBC5" w14:textId="77777777" w:rsidTr="0DFBE047">
        <w:tc>
          <w:tcPr>
            <w:tcW w:w="6150" w:type="dxa"/>
            <w:shd w:val="clear" w:color="auto" w:fill="F2DBDB" w:themeFill="accent2" w:themeFillTint="33"/>
          </w:tcPr>
          <w:p w14:paraId="2AEB1FD2"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zgradarstvo (kt CO</w:t>
            </w:r>
            <w:r w:rsidRPr="005808FC">
              <w:rPr>
                <w:rFonts w:cstheme="minorBidi"/>
                <w:sz w:val="18"/>
                <w:szCs w:val="18"/>
                <w:vertAlign w:val="subscript"/>
              </w:rPr>
              <w:t>2</w:t>
            </w:r>
            <w:r w:rsidRPr="005808FC">
              <w:rPr>
                <w:rFonts w:cstheme="minorBidi"/>
                <w:sz w:val="18"/>
                <w:szCs w:val="18"/>
              </w:rPr>
              <w:t>)</w:t>
            </w:r>
          </w:p>
        </w:tc>
        <w:tc>
          <w:tcPr>
            <w:tcW w:w="2866" w:type="dxa"/>
          </w:tcPr>
          <w:p w14:paraId="19309102"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1 760</w:t>
            </w:r>
          </w:p>
        </w:tc>
      </w:tr>
      <w:tr w:rsidR="0037035E" w:rsidRPr="007D5E3F" w14:paraId="1D15D017" w14:textId="77777777" w:rsidTr="0DFBE047">
        <w:tc>
          <w:tcPr>
            <w:tcW w:w="6150" w:type="dxa"/>
            <w:shd w:val="clear" w:color="auto" w:fill="F2DBDB" w:themeFill="accent2" w:themeFillTint="33"/>
          </w:tcPr>
          <w:p w14:paraId="329140CC"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promet (kt CO</w:t>
            </w:r>
            <w:r w:rsidRPr="005808FC">
              <w:rPr>
                <w:rFonts w:cstheme="minorBidi"/>
                <w:sz w:val="18"/>
                <w:szCs w:val="18"/>
                <w:vertAlign w:val="subscript"/>
              </w:rPr>
              <w:t>2</w:t>
            </w:r>
            <w:r w:rsidRPr="005808FC">
              <w:rPr>
                <w:rFonts w:cstheme="minorBidi"/>
                <w:sz w:val="18"/>
                <w:szCs w:val="18"/>
              </w:rPr>
              <w:t>)</w:t>
            </w:r>
          </w:p>
        </w:tc>
        <w:tc>
          <w:tcPr>
            <w:tcW w:w="2866" w:type="dxa"/>
          </w:tcPr>
          <w:p w14:paraId="096FB23F"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1 005</w:t>
            </w:r>
          </w:p>
        </w:tc>
      </w:tr>
      <w:tr w:rsidR="0037035E" w:rsidRPr="007D5E3F" w14:paraId="2F552015" w14:textId="77777777" w:rsidTr="0DFBE047">
        <w:tc>
          <w:tcPr>
            <w:tcW w:w="6150" w:type="dxa"/>
            <w:shd w:val="clear" w:color="auto" w:fill="F2DBDB" w:themeFill="accent2" w:themeFillTint="33"/>
          </w:tcPr>
          <w:p w14:paraId="68DCB47B"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javna rasvjeta (kt CO</w:t>
            </w:r>
            <w:r w:rsidRPr="005808FC">
              <w:rPr>
                <w:rFonts w:cstheme="minorBidi"/>
                <w:sz w:val="18"/>
                <w:szCs w:val="18"/>
                <w:vertAlign w:val="subscript"/>
              </w:rPr>
              <w:t>2</w:t>
            </w:r>
            <w:r w:rsidRPr="005808FC">
              <w:rPr>
                <w:rFonts w:cstheme="minorBidi"/>
                <w:sz w:val="18"/>
                <w:szCs w:val="18"/>
              </w:rPr>
              <w:t>)</w:t>
            </w:r>
          </w:p>
        </w:tc>
        <w:tc>
          <w:tcPr>
            <w:tcW w:w="2866" w:type="dxa"/>
          </w:tcPr>
          <w:p w14:paraId="7604C060"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29</w:t>
            </w:r>
          </w:p>
        </w:tc>
      </w:tr>
      <w:tr w:rsidR="0037035E" w:rsidRPr="007D5E3F" w14:paraId="0A146CED" w14:textId="77777777" w:rsidTr="0DFBE047">
        <w:tc>
          <w:tcPr>
            <w:tcW w:w="6150" w:type="dxa"/>
            <w:shd w:val="clear" w:color="auto" w:fill="F2DBDB" w:themeFill="accent2" w:themeFillTint="33"/>
          </w:tcPr>
          <w:p w14:paraId="6FBC8D2F" w14:textId="77777777" w:rsidR="0037035E" w:rsidRPr="005808FC" w:rsidRDefault="0037035E" w:rsidP="005808FC">
            <w:pPr>
              <w:numPr>
                <w:ilvl w:val="0"/>
                <w:numId w:val="24"/>
              </w:numPr>
              <w:spacing w:line="276" w:lineRule="auto"/>
              <w:contextualSpacing/>
              <w:rPr>
                <w:rFonts w:asciiTheme="minorHAnsi" w:hAnsiTheme="minorHAnsi" w:cstheme="minorBidi"/>
                <w:sz w:val="18"/>
                <w:szCs w:val="18"/>
              </w:rPr>
            </w:pPr>
            <w:r w:rsidRPr="00291DF5">
              <w:rPr>
                <w:rFonts w:cstheme="minorBidi"/>
                <w:sz w:val="18"/>
                <w:szCs w:val="18"/>
              </w:rPr>
              <w:t>Ukupna emisija kt CO</w:t>
            </w:r>
            <w:r w:rsidRPr="005808FC">
              <w:rPr>
                <w:rFonts w:cstheme="minorBidi"/>
                <w:sz w:val="18"/>
                <w:szCs w:val="18"/>
                <w:vertAlign w:val="subscript"/>
              </w:rPr>
              <w:t>2</w:t>
            </w:r>
          </w:p>
        </w:tc>
        <w:tc>
          <w:tcPr>
            <w:tcW w:w="2866" w:type="dxa"/>
          </w:tcPr>
          <w:p w14:paraId="2F812FD3"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2 794</w:t>
            </w:r>
          </w:p>
        </w:tc>
      </w:tr>
      <w:tr w:rsidR="0037035E" w:rsidRPr="007D5E3F" w14:paraId="34C89255" w14:textId="77777777" w:rsidTr="0DFBE047">
        <w:tc>
          <w:tcPr>
            <w:tcW w:w="6150" w:type="dxa"/>
            <w:shd w:val="clear" w:color="auto" w:fill="F2DBDB" w:themeFill="accent2" w:themeFillTint="33"/>
          </w:tcPr>
          <w:p w14:paraId="4CA36736" w14:textId="77777777" w:rsidR="0037035E" w:rsidRPr="007D5E3F" w:rsidRDefault="0037035E" w:rsidP="00975CD4">
            <w:pPr>
              <w:spacing w:line="276" w:lineRule="auto"/>
              <w:rPr>
                <w:rFonts w:asciiTheme="minorHAnsi" w:hAnsiTheme="minorHAnsi" w:cstheme="minorHAnsi"/>
                <w:sz w:val="18"/>
                <w:szCs w:val="18"/>
                <w:highlight w:val="yellow"/>
              </w:rPr>
            </w:pPr>
          </w:p>
        </w:tc>
        <w:tc>
          <w:tcPr>
            <w:tcW w:w="2866" w:type="dxa"/>
          </w:tcPr>
          <w:p w14:paraId="33BB556A" w14:textId="77777777" w:rsidR="0037035E" w:rsidRPr="007D5E3F" w:rsidRDefault="0037035E" w:rsidP="00975CD4">
            <w:pPr>
              <w:spacing w:line="276" w:lineRule="auto"/>
              <w:rPr>
                <w:rFonts w:asciiTheme="minorHAnsi" w:hAnsiTheme="minorHAnsi" w:cstheme="minorHAnsi"/>
                <w:sz w:val="18"/>
                <w:szCs w:val="18"/>
                <w:highlight w:val="yellow"/>
              </w:rPr>
            </w:pPr>
          </w:p>
        </w:tc>
      </w:tr>
      <w:tr w:rsidR="0037035E" w:rsidRPr="007D5E3F" w14:paraId="108EC889" w14:textId="77777777" w:rsidTr="0DFBE047">
        <w:tc>
          <w:tcPr>
            <w:tcW w:w="6150" w:type="dxa"/>
            <w:shd w:val="clear" w:color="auto" w:fill="F2DBDB" w:themeFill="accent2" w:themeFillTint="33"/>
          </w:tcPr>
          <w:p w14:paraId="0DA2A405"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Pregled rezultata energetske analize u 2015. godini:</w:t>
            </w:r>
          </w:p>
        </w:tc>
        <w:tc>
          <w:tcPr>
            <w:tcW w:w="2866" w:type="dxa"/>
          </w:tcPr>
          <w:p w14:paraId="337AFED4"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51955F3B" w14:textId="77777777" w:rsidTr="0DFBE047">
        <w:tc>
          <w:tcPr>
            <w:tcW w:w="6150" w:type="dxa"/>
            <w:shd w:val="clear" w:color="auto" w:fill="F2DBDB" w:themeFill="accent2" w:themeFillTint="33"/>
          </w:tcPr>
          <w:p w14:paraId="50AFE81D"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Energetska potrošnja u sektoru zgradarstva (MWh)</w:t>
            </w:r>
          </w:p>
        </w:tc>
        <w:tc>
          <w:tcPr>
            <w:tcW w:w="2866" w:type="dxa"/>
          </w:tcPr>
          <w:p w14:paraId="07689128"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7 722 299</w:t>
            </w:r>
          </w:p>
        </w:tc>
      </w:tr>
      <w:tr w:rsidR="0037035E" w:rsidRPr="007D5E3F" w14:paraId="10DC9740" w14:textId="77777777" w:rsidTr="0DFBE047">
        <w:tc>
          <w:tcPr>
            <w:tcW w:w="6150" w:type="dxa"/>
            <w:shd w:val="clear" w:color="auto" w:fill="F2DBDB" w:themeFill="accent2" w:themeFillTint="33"/>
          </w:tcPr>
          <w:p w14:paraId="6A734102"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Energetska potrošnja u sektoru prometa (MWh)</w:t>
            </w:r>
          </w:p>
        </w:tc>
        <w:tc>
          <w:tcPr>
            <w:tcW w:w="2866" w:type="dxa"/>
          </w:tcPr>
          <w:p w14:paraId="6291DD1D"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4 222 812</w:t>
            </w:r>
          </w:p>
        </w:tc>
      </w:tr>
      <w:tr w:rsidR="0037035E" w:rsidRPr="007D5E3F" w14:paraId="65E32FFA" w14:textId="77777777" w:rsidTr="0DFBE047">
        <w:tc>
          <w:tcPr>
            <w:tcW w:w="6150" w:type="dxa"/>
            <w:shd w:val="clear" w:color="auto" w:fill="F2DBDB" w:themeFill="accent2" w:themeFillTint="33"/>
          </w:tcPr>
          <w:p w14:paraId="79A3336F"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Energetska potrošnja u sektoru javne rasvjete (MWh)</w:t>
            </w:r>
          </w:p>
        </w:tc>
        <w:tc>
          <w:tcPr>
            <w:tcW w:w="2866" w:type="dxa"/>
          </w:tcPr>
          <w:p w14:paraId="04F92A94"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84 189</w:t>
            </w:r>
          </w:p>
        </w:tc>
      </w:tr>
      <w:tr w:rsidR="0037035E" w:rsidRPr="007D5E3F" w14:paraId="6BEC9E47" w14:textId="77777777" w:rsidTr="0DFBE047">
        <w:tc>
          <w:tcPr>
            <w:tcW w:w="6150" w:type="dxa"/>
            <w:shd w:val="clear" w:color="auto" w:fill="F2DBDB" w:themeFill="accent2" w:themeFillTint="33"/>
          </w:tcPr>
          <w:p w14:paraId="57B47D35"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Ukupna energetska potrošnja (MWh)</w:t>
            </w:r>
          </w:p>
        </w:tc>
        <w:tc>
          <w:tcPr>
            <w:tcW w:w="2866" w:type="dxa"/>
          </w:tcPr>
          <w:p w14:paraId="42344FF7"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12 029 300</w:t>
            </w:r>
          </w:p>
        </w:tc>
      </w:tr>
      <w:tr w:rsidR="0037035E" w:rsidRPr="007D5E3F" w14:paraId="1EA45382" w14:textId="77777777" w:rsidTr="0DFBE047">
        <w:tc>
          <w:tcPr>
            <w:tcW w:w="6150" w:type="dxa"/>
            <w:shd w:val="clear" w:color="auto" w:fill="F2DBDB" w:themeFill="accent2" w:themeFillTint="33"/>
          </w:tcPr>
          <w:p w14:paraId="6F810B0B" w14:textId="77777777" w:rsidR="0037035E" w:rsidRPr="007D5E3F" w:rsidRDefault="0037035E" w:rsidP="00975CD4">
            <w:pPr>
              <w:spacing w:line="276" w:lineRule="auto"/>
              <w:rPr>
                <w:rFonts w:asciiTheme="minorHAnsi" w:hAnsiTheme="minorHAnsi" w:cstheme="minorHAnsi"/>
                <w:sz w:val="18"/>
                <w:szCs w:val="18"/>
              </w:rPr>
            </w:pPr>
          </w:p>
        </w:tc>
        <w:tc>
          <w:tcPr>
            <w:tcW w:w="2866" w:type="dxa"/>
          </w:tcPr>
          <w:p w14:paraId="44918B93"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65004A57" w14:textId="77777777" w:rsidTr="0DFBE047">
        <w:tc>
          <w:tcPr>
            <w:tcW w:w="6150" w:type="dxa"/>
            <w:shd w:val="clear" w:color="auto" w:fill="F2DBDB" w:themeFill="accent2" w:themeFillTint="33"/>
          </w:tcPr>
          <w:p w14:paraId="2124522F"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zgradarstvo (kt CO</w:t>
            </w:r>
            <w:r w:rsidRPr="005808FC">
              <w:rPr>
                <w:rFonts w:cstheme="minorBidi"/>
                <w:sz w:val="18"/>
                <w:szCs w:val="18"/>
                <w:vertAlign w:val="subscript"/>
              </w:rPr>
              <w:t>2</w:t>
            </w:r>
            <w:r w:rsidRPr="005808FC">
              <w:rPr>
                <w:rFonts w:cstheme="minorBidi"/>
                <w:sz w:val="18"/>
                <w:szCs w:val="18"/>
              </w:rPr>
              <w:t>)</w:t>
            </w:r>
          </w:p>
        </w:tc>
        <w:tc>
          <w:tcPr>
            <w:tcW w:w="2866" w:type="dxa"/>
          </w:tcPr>
          <w:p w14:paraId="09719225"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1 802</w:t>
            </w:r>
          </w:p>
        </w:tc>
      </w:tr>
      <w:tr w:rsidR="0037035E" w:rsidRPr="007D5E3F" w14:paraId="6481340A" w14:textId="77777777" w:rsidTr="0DFBE047">
        <w:tc>
          <w:tcPr>
            <w:tcW w:w="6150" w:type="dxa"/>
            <w:shd w:val="clear" w:color="auto" w:fill="F2DBDB" w:themeFill="accent2" w:themeFillTint="33"/>
          </w:tcPr>
          <w:p w14:paraId="5730CE96"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promet (kt CO</w:t>
            </w:r>
            <w:r w:rsidRPr="005808FC">
              <w:rPr>
                <w:rFonts w:cstheme="minorBidi"/>
                <w:sz w:val="18"/>
                <w:szCs w:val="18"/>
                <w:vertAlign w:val="subscript"/>
              </w:rPr>
              <w:t>2</w:t>
            </w:r>
            <w:r w:rsidRPr="005808FC">
              <w:rPr>
                <w:rFonts w:cstheme="minorBidi"/>
                <w:sz w:val="18"/>
                <w:szCs w:val="18"/>
              </w:rPr>
              <w:t>)</w:t>
            </w:r>
          </w:p>
        </w:tc>
        <w:tc>
          <w:tcPr>
            <w:tcW w:w="2866" w:type="dxa"/>
          </w:tcPr>
          <w:p w14:paraId="06722850"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1 101</w:t>
            </w:r>
          </w:p>
        </w:tc>
      </w:tr>
      <w:tr w:rsidR="0037035E" w:rsidRPr="007D5E3F" w14:paraId="0CBA5A22" w14:textId="77777777" w:rsidTr="0DFBE047">
        <w:tc>
          <w:tcPr>
            <w:tcW w:w="6150" w:type="dxa"/>
            <w:shd w:val="clear" w:color="auto" w:fill="F2DBDB" w:themeFill="accent2" w:themeFillTint="33"/>
          </w:tcPr>
          <w:p w14:paraId="4BB65F90"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Emisija CO</w:t>
            </w:r>
            <w:r w:rsidRPr="005808FC">
              <w:rPr>
                <w:rFonts w:cstheme="minorBidi"/>
                <w:sz w:val="18"/>
                <w:szCs w:val="18"/>
                <w:vertAlign w:val="subscript"/>
              </w:rPr>
              <w:t>2</w:t>
            </w:r>
            <w:r w:rsidRPr="005808FC">
              <w:rPr>
                <w:rFonts w:cstheme="minorBidi"/>
                <w:sz w:val="18"/>
                <w:szCs w:val="18"/>
              </w:rPr>
              <w:t xml:space="preserve"> iz sektora javna rasvjeta (kt CO</w:t>
            </w:r>
            <w:r w:rsidRPr="005808FC">
              <w:rPr>
                <w:rFonts w:cstheme="minorBidi"/>
                <w:sz w:val="18"/>
                <w:szCs w:val="18"/>
                <w:vertAlign w:val="subscript"/>
              </w:rPr>
              <w:t>2</w:t>
            </w:r>
            <w:r w:rsidRPr="005808FC">
              <w:rPr>
                <w:rFonts w:cstheme="minorBidi"/>
                <w:sz w:val="18"/>
                <w:szCs w:val="18"/>
              </w:rPr>
              <w:t>)</w:t>
            </w:r>
          </w:p>
        </w:tc>
        <w:tc>
          <w:tcPr>
            <w:tcW w:w="2866" w:type="dxa"/>
          </w:tcPr>
          <w:p w14:paraId="2E7D01C9"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27</w:t>
            </w:r>
          </w:p>
        </w:tc>
      </w:tr>
      <w:tr w:rsidR="0037035E" w:rsidRPr="007D5E3F" w14:paraId="7936A474" w14:textId="77777777" w:rsidTr="0DFBE047">
        <w:tc>
          <w:tcPr>
            <w:tcW w:w="6150" w:type="dxa"/>
            <w:shd w:val="clear" w:color="auto" w:fill="F2DBDB" w:themeFill="accent2" w:themeFillTint="33"/>
          </w:tcPr>
          <w:p w14:paraId="64208338" w14:textId="77777777" w:rsidR="0037035E" w:rsidRPr="005808FC" w:rsidRDefault="0037035E" w:rsidP="005808FC">
            <w:pPr>
              <w:numPr>
                <w:ilvl w:val="0"/>
                <w:numId w:val="25"/>
              </w:numPr>
              <w:spacing w:line="276" w:lineRule="auto"/>
              <w:contextualSpacing/>
              <w:rPr>
                <w:rFonts w:asciiTheme="minorHAnsi" w:hAnsiTheme="minorHAnsi" w:cstheme="minorBidi"/>
                <w:sz w:val="18"/>
                <w:szCs w:val="18"/>
              </w:rPr>
            </w:pPr>
            <w:r w:rsidRPr="00291DF5">
              <w:rPr>
                <w:rFonts w:cstheme="minorBidi"/>
                <w:sz w:val="18"/>
                <w:szCs w:val="18"/>
              </w:rPr>
              <w:t>Ukupna emisija kt CO</w:t>
            </w:r>
            <w:r w:rsidRPr="005808FC">
              <w:rPr>
                <w:rFonts w:cstheme="minorBidi"/>
                <w:sz w:val="18"/>
                <w:szCs w:val="18"/>
                <w:vertAlign w:val="subscript"/>
              </w:rPr>
              <w:t>2</w:t>
            </w:r>
          </w:p>
        </w:tc>
        <w:tc>
          <w:tcPr>
            <w:tcW w:w="2866" w:type="dxa"/>
          </w:tcPr>
          <w:p w14:paraId="4E56F660"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2 930</w:t>
            </w:r>
          </w:p>
        </w:tc>
      </w:tr>
      <w:tr w:rsidR="0037035E" w:rsidRPr="007D5E3F" w14:paraId="22B2F389" w14:textId="77777777" w:rsidTr="0DFBE047">
        <w:tc>
          <w:tcPr>
            <w:tcW w:w="6150" w:type="dxa"/>
            <w:shd w:val="clear" w:color="auto" w:fill="F2DBDB" w:themeFill="accent2" w:themeFillTint="33"/>
          </w:tcPr>
          <w:p w14:paraId="404FDF57" w14:textId="77777777" w:rsidR="0037035E" w:rsidRPr="007D5E3F" w:rsidRDefault="0037035E" w:rsidP="00975CD4">
            <w:pPr>
              <w:spacing w:line="276" w:lineRule="auto"/>
              <w:rPr>
                <w:rFonts w:asciiTheme="minorHAnsi" w:hAnsiTheme="minorHAnsi" w:cstheme="minorHAnsi"/>
                <w:sz w:val="18"/>
                <w:szCs w:val="18"/>
              </w:rPr>
            </w:pPr>
          </w:p>
        </w:tc>
        <w:tc>
          <w:tcPr>
            <w:tcW w:w="2866" w:type="dxa"/>
          </w:tcPr>
          <w:p w14:paraId="5337E758" w14:textId="77777777" w:rsidR="0037035E" w:rsidRPr="007D5E3F" w:rsidRDefault="0037035E" w:rsidP="00975CD4">
            <w:pPr>
              <w:spacing w:line="276" w:lineRule="auto"/>
              <w:rPr>
                <w:rFonts w:asciiTheme="minorHAnsi" w:hAnsiTheme="minorHAnsi" w:cstheme="minorHAnsi"/>
                <w:sz w:val="18"/>
                <w:szCs w:val="18"/>
              </w:rPr>
            </w:pPr>
          </w:p>
        </w:tc>
      </w:tr>
      <w:tr w:rsidR="0037035E" w:rsidRPr="007D5E3F" w14:paraId="15796833" w14:textId="77777777" w:rsidTr="0DFBE047">
        <w:tc>
          <w:tcPr>
            <w:tcW w:w="6150" w:type="dxa"/>
            <w:shd w:val="clear" w:color="auto" w:fill="F2DBDB" w:themeFill="accent2" w:themeFillTint="33"/>
          </w:tcPr>
          <w:p w14:paraId="46359D12" w14:textId="77777777"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Analiza uspješnosti, ostvareno smanjenje emisije, kt CO</w:t>
            </w:r>
            <w:r w:rsidRPr="005808FC">
              <w:rPr>
                <w:rFonts w:cstheme="minorBidi"/>
                <w:b/>
                <w:bCs/>
                <w:sz w:val="18"/>
                <w:szCs w:val="18"/>
                <w:vertAlign w:val="subscript"/>
              </w:rPr>
              <w:t xml:space="preserve">2 </w:t>
            </w:r>
          </w:p>
        </w:tc>
        <w:tc>
          <w:tcPr>
            <w:tcW w:w="2866" w:type="dxa"/>
          </w:tcPr>
          <w:p w14:paraId="11D78E43"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303</w:t>
            </w:r>
          </w:p>
        </w:tc>
      </w:tr>
      <w:tr w:rsidR="0037035E" w:rsidRPr="007D5E3F" w14:paraId="6D5F5DE8" w14:textId="77777777" w:rsidTr="0DFBE047">
        <w:tc>
          <w:tcPr>
            <w:tcW w:w="6150" w:type="dxa"/>
            <w:shd w:val="clear" w:color="auto" w:fill="F2DBDB" w:themeFill="accent2" w:themeFillTint="33"/>
          </w:tcPr>
          <w:p w14:paraId="6D9F276B" w14:textId="550EFF39" w:rsidR="0037035E" w:rsidRPr="005808FC" w:rsidRDefault="0037035E" w:rsidP="005808FC">
            <w:pPr>
              <w:spacing w:line="276" w:lineRule="auto"/>
              <w:rPr>
                <w:rFonts w:asciiTheme="minorHAnsi" w:hAnsiTheme="minorHAnsi" w:cstheme="minorBidi"/>
                <w:b/>
                <w:bCs/>
                <w:sz w:val="18"/>
                <w:szCs w:val="18"/>
              </w:rPr>
            </w:pPr>
            <w:r w:rsidRPr="00291DF5">
              <w:rPr>
                <w:rFonts w:cstheme="minorBidi"/>
                <w:b/>
                <w:bCs/>
                <w:sz w:val="18"/>
                <w:szCs w:val="18"/>
              </w:rPr>
              <w:t>Udio u postavljenom cilju CO</w:t>
            </w:r>
            <w:r w:rsidRPr="005808FC">
              <w:rPr>
                <w:rFonts w:cstheme="minorBidi"/>
                <w:b/>
                <w:bCs/>
                <w:sz w:val="18"/>
                <w:szCs w:val="18"/>
                <w:vertAlign w:val="subscript"/>
              </w:rPr>
              <w:t>2,</w:t>
            </w:r>
            <w:r w:rsidR="000509A0">
              <w:rPr>
                <w:rFonts w:cstheme="minorBidi"/>
                <w:b/>
                <w:bCs/>
                <w:sz w:val="18"/>
                <w:szCs w:val="18"/>
              </w:rPr>
              <w:t>%</w:t>
            </w:r>
            <w:r w:rsidRPr="00291DF5">
              <w:rPr>
                <w:rFonts w:cstheme="minorBidi"/>
                <w:b/>
                <w:bCs/>
                <w:sz w:val="18"/>
                <w:szCs w:val="18"/>
                <w:vertAlign w:val="subscript"/>
              </w:rPr>
              <w:t xml:space="preserve"> </w:t>
            </w:r>
          </w:p>
        </w:tc>
        <w:tc>
          <w:tcPr>
            <w:tcW w:w="2866" w:type="dxa"/>
          </w:tcPr>
          <w:p w14:paraId="0DB82B3C" w14:textId="77777777" w:rsidR="0037035E" w:rsidRPr="005808FC" w:rsidRDefault="0037035E" w:rsidP="005808FC">
            <w:pPr>
              <w:spacing w:line="276" w:lineRule="auto"/>
              <w:rPr>
                <w:rFonts w:asciiTheme="minorHAnsi" w:hAnsiTheme="minorHAnsi" w:cstheme="minorBidi"/>
                <w:sz w:val="18"/>
                <w:szCs w:val="18"/>
              </w:rPr>
            </w:pPr>
            <w:r w:rsidRPr="00291DF5">
              <w:rPr>
                <w:rFonts w:cstheme="minorBidi"/>
                <w:sz w:val="18"/>
                <w:szCs w:val="18"/>
              </w:rPr>
              <w:t>51,60</w:t>
            </w:r>
          </w:p>
        </w:tc>
      </w:tr>
    </w:tbl>
    <w:p w14:paraId="368CFEE0" w14:textId="3AB91BB4" w:rsidR="0037035E" w:rsidRPr="00EA7864" w:rsidRDefault="007D5E3F" w:rsidP="00EA7864">
      <w:pPr>
        <w:rPr>
          <w:lang w:eastAsia="hr-HR"/>
        </w:rPr>
      </w:pPr>
      <w:r>
        <w:rPr>
          <w:lang w:eastAsia="hr-HR"/>
        </w:rPr>
        <w:br w:type="page"/>
      </w:r>
    </w:p>
    <w:p w14:paraId="5E9C612C" w14:textId="3B62066C" w:rsidR="00E8748B" w:rsidRDefault="00E8748B" w:rsidP="00E8748B">
      <w:pPr>
        <w:pStyle w:val="Heading2"/>
      </w:pPr>
      <w:bookmarkStart w:id="212" w:name="_Toc4156095"/>
      <w:r w:rsidRPr="00922031">
        <w:lastRenderedPageBreak/>
        <w:t>Analiza uspješnosti</w:t>
      </w:r>
      <w:r w:rsidR="000509A0">
        <w:t xml:space="preserve"> i </w:t>
      </w:r>
      <w:r>
        <w:t>zaključak</w:t>
      </w:r>
      <w:bookmarkEnd w:id="212"/>
    </w:p>
    <w:p w14:paraId="5A1AA8AC" w14:textId="3A9D3979" w:rsidR="009245B1" w:rsidRPr="00922031" w:rsidRDefault="009245B1">
      <w:r w:rsidRPr="00291DF5">
        <w:t>Provedena Analiza uspješnosti obuhvatila je sve mjere</w:t>
      </w:r>
      <w:r w:rsidR="000509A0">
        <w:t xml:space="preserve"> i </w:t>
      </w:r>
      <w:r w:rsidRPr="00291DF5">
        <w:t xml:space="preserve">aktivnosti realizirane zaključno do 31. </w:t>
      </w:r>
      <w:r w:rsidRPr="005808FC">
        <w:t>prosinca 2015. godine.</w:t>
      </w:r>
    </w:p>
    <w:p w14:paraId="4BC5AB65" w14:textId="46525D3E" w:rsidR="009245B1" w:rsidRPr="00922031" w:rsidRDefault="009245B1">
      <w:r w:rsidRPr="00291DF5">
        <w:t xml:space="preserve">Detaljan prikaz analize po sektorima nalazi se u </w:t>
      </w:r>
      <w:r w:rsidR="000E7303" w:rsidRPr="005808FC">
        <w:rPr>
          <w:i/>
          <w:iCs/>
        </w:rPr>
        <w:t>Prilogu 6 – Revizija Akcijskog plana energetski održivog razvoja Grada Zagreba</w:t>
      </w:r>
      <w:r w:rsidR="000E7303" w:rsidRPr="00291DF5">
        <w:t>, a u nastavku ovog poglavlja dan je prikaz glavnih zaključaka analize.</w:t>
      </w:r>
    </w:p>
    <w:p w14:paraId="794D2485" w14:textId="3CB2A170" w:rsidR="009245B1" w:rsidRPr="00922031" w:rsidRDefault="009245B1">
      <w:r w:rsidRPr="00291DF5">
        <w:t>Analizom je utvrđeno da je na osno</w:t>
      </w:r>
      <w:r w:rsidRPr="005808FC">
        <w:t>vu provedenih mjera</w:t>
      </w:r>
      <w:r w:rsidR="000509A0">
        <w:t xml:space="preserve"> i </w:t>
      </w:r>
      <w:r w:rsidRPr="00291DF5">
        <w:t>aktivnosti ostvareno smanjenje emisije CO</w:t>
      </w:r>
      <w:r w:rsidRPr="005808FC">
        <w:rPr>
          <w:vertAlign w:val="subscript"/>
        </w:rPr>
        <w:t>2</w:t>
      </w:r>
      <w:r w:rsidRPr="005808FC">
        <w:t xml:space="preserve"> od (303 kt CO</w:t>
      </w:r>
      <w:r w:rsidRPr="005808FC">
        <w:rPr>
          <w:vertAlign w:val="subscript"/>
        </w:rPr>
        <w:t>2</w:t>
      </w:r>
      <w:r w:rsidRPr="005808FC">
        <w:t xml:space="preserve">), odnosno (51,60%) u odnosu na postavljen cilj smanjenja emisije od </w:t>
      </w:r>
      <w:r w:rsidRPr="005808FC">
        <w:rPr>
          <w:b/>
          <w:bCs/>
        </w:rPr>
        <w:t>587 170,69 t CO</w:t>
      </w:r>
      <w:r w:rsidRPr="005808FC">
        <w:rPr>
          <w:b/>
          <w:bCs/>
          <w:vertAlign w:val="subscript"/>
        </w:rPr>
        <w:t>2</w:t>
      </w:r>
      <w:r w:rsidRPr="005808FC">
        <w:t xml:space="preserve"> do 2020. godine, </w:t>
      </w:r>
      <w:r w:rsidRPr="005808FC">
        <w:fldChar w:fldCharType="begin"/>
      </w:r>
      <w:r w:rsidRPr="00E20858">
        <w:rPr>
          <w:rFonts w:cstheme="minorHAnsi"/>
        </w:rPr>
        <w:instrText xml:space="preserve"> REF _Ref467321608 \h  \* MERGEFORMAT </w:instrText>
      </w:r>
      <w:r w:rsidRPr="005808FC">
        <w:rPr>
          <w:rFonts w:cstheme="minorHAnsi"/>
        </w:rPr>
        <w:fldChar w:fldCharType="separate"/>
      </w:r>
      <w:r w:rsidR="00E20858" w:rsidRPr="005808FC">
        <w:rPr>
          <w:rFonts w:eastAsia="Calibri"/>
        </w:rPr>
        <w:t xml:space="preserve">Tablica </w:t>
      </w:r>
      <w:r w:rsidR="00E20858" w:rsidRPr="005808FC">
        <w:rPr>
          <w:rFonts w:eastAsia="Calibri"/>
          <w:noProof/>
        </w:rPr>
        <w:t>6.5</w:t>
      </w:r>
      <w:r w:rsidRPr="005808FC">
        <w:fldChar w:fldCharType="end"/>
      </w:r>
      <w:r w:rsidRPr="00291DF5">
        <w:t>.</w:t>
      </w:r>
    </w:p>
    <w:p w14:paraId="1F7EF290" w14:textId="4C701BD8" w:rsidR="009245B1" w:rsidRPr="005808FC" w:rsidRDefault="009245B1">
      <w:pPr>
        <w:pStyle w:val="Caption"/>
        <w:rPr>
          <w:rFonts w:eastAsia="Calibri"/>
          <w:b/>
          <w:bCs/>
          <w:lang w:val="it-IT"/>
        </w:rPr>
      </w:pPr>
      <w:bookmarkStart w:id="213" w:name="_Ref467321608"/>
      <w:bookmarkStart w:id="214" w:name="_Toc451240979"/>
      <w:bookmarkStart w:id="215" w:name="_Toc468277524"/>
      <w:bookmarkStart w:id="216" w:name="_Toc4156016"/>
      <w:r w:rsidRPr="005808FC">
        <w:rPr>
          <w:rFonts w:eastAsia="Calibri"/>
          <w:lang w:val="it-IT"/>
        </w:rPr>
        <w:t xml:space="preserve">Tablica </w:t>
      </w:r>
      <w:r w:rsidR="0019556A" w:rsidRPr="005808FC">
        <w:fldChar w:fldCharType="begin"/>
      </w:r>
      <w:r w:rsidR="0019556A" w:rsidRPr="005808FC">
        <w:rPr>
          <w:rFonts w:eastAsia="Calibri"/>
          <w:lang w:val="it-IT"/>
        </w:rPr>
        <w:instrText xml:space="preserve"> STYLEREF 1 \s </w:instrText>
      </w:r>
      <w:r w:rsidR="0019556A" w:rsidRPr="005808FC">
        <w:rPr>
          <w:rFonts w:eastAsia="Calibri"/>
        </w:rPr>
        <w:fldChar w:fldCharType="separate"/>
      </w:r>
      <w:r w:rsidR="0019556A" w:rsidRPr="005808FC">
        <w:rPr>
          <w:rFonts w:eastAsia="Calibri"/>
          <w:noProof/>
          <w:lang w:val="it-IT"/>
        </w:rPr>
        <w:t>6</w:t>
      </w:r>
      <w:r w:rsidR="0019556A" w:rsidRPr="005808FC">
        <w:fldChar w:fldCharType="end"/>
      </w:r>
      <w:r w:rsidR="0019556A" w:rsidRPr="005808FC">
        <w:rPr>
          <w:rFonts w:eastAsia="Calibri"/>
          <w:lang w:val="it-IT"/>
        </w:rPr>
        <w:t>.</w:t>
      </w:r>
      <w:r w:rsidR="0019556A" w:rsidRPr="005808FC">
        <w:fldChar w:fldCharType="begin"/>
      </w:r>
      <w:r w:rsidR="0019556A" w:rsidRPr="005808FC">
        <w:rPr>
          <w:rFonts w:eastAsia="Calibri"/>
          <w:lang w:val="it-IT"/>
        </w:rPr>
        <w:instrText xml:space="preserve"> SEQ Tablica \* ARABIC \s 1 </w:instrText>
      </w:r>
      <w:r w:rsidR="0019556A" w:rsidRPr="005808FC">
        <w:rPr>
          <w:rFonts w:eastAsia="Calibri"/>
        </w:rPr>
        <w:fldChar w:fldCharType="separate"/>
      </w:r>
      <w:r w:rsidR="0019556A" w:rsidRPr="005808FC">
        <w:rPr>
          <w:rFonts w:eastAsia="Calibri"/>
          <w:noProof/>
          <w:lang w:val="it-IT"/>
        </w:rPr>
        <w:t>5</w:t>
      </w:r>
      <w:r w:rsidR="0019556A" w:rsidRPr="005808FC">
        <w:fldChar w:fldCharType="end"/>
      </w:r>
      <w:bookmarkEnd w:id="213"/>
      <w:r w:rsidRPr="005808FC">
        <w:rPr>
          <w:rFonts w:eastAsia="Calibri"/>
          <w:b/>
          <w:bCs/>
          <w:lang w:val="it-IT"/>
        </w:rPr>
        <w:t xml:space="preserve"> </w:t>
      </w:r>
      <w:r w:rsidR="00244D74" w:rsidRPr="005808FC">
        <w:rPr>
          <w:rFonts w:eastAsia="Calibri"/>
          <w:b/>
          <w:bCs/>
          <w:lang w:val="it-IT"/>
        </w:rPr>
        <w:t xml:space="preserve">- </w:t>
      </w:r>
      <w:r w:rsidRPr="005808FC">
        <w:rPr>
          <w:rFonts w:eastAsia="Calibri"/>
          <w:lang w:val="it-IT"/>
        </w:rPr>
        <w:t>Prikaz</w:t>
      </w:r>
      <w:bookmarkEnd w:id="214"/>
      <w:r w:rsidRPr="005808FC">
        <w:rPr>
          <w:rFonts w:eastAsia="Calibri"/>
          <w:lang w:val="it-IT"/>
        </w:rPr>
        <w:t xml:space="preserve"> rezultata Analize uspješnosti provede Akcijskog plana</w:t>
      </w:r>
      <w:bookmarkEnd w:id="215"/>
      <w:bookmarkEnd w:id="216"/>
      <w:r w:rsidRPr="005808FC">
        <w:rPr>
          <w:rFonts w:eastAsia="Calibri"/>
          <w:lang w:val="it-IT"/>
        </w:rPr>
        <w:t xml:space="preserve"> </w:t>
      </w:r>
    </w:p>
    <w:tbl>
      <w:tblPr>
        <w:tblW w:w="4942" w:type="pct"/>
        <w:tblInd w:w="108" w:type="dxa"/>
        <w:tblLook w:val="04A0" w:firstRow="1" w:lastRow="0" w:firstColumn="1" w:lastColumn="0" w:noHBand="0" w:noVBand="1"/>
      </w:tblPr>
      <w:tblGrid>
        <w:gridCol w:w="3308"/>
        <w:gridCol w:w="5603"/>
      </w:tblGrid>
      <w:tr w:rsidR="009245B1" w:rsidRPr="00922031" w14:paraId="1B4D48CB" w14:textId="77777777" w:rsidTr="005808FC">
        <w:trPr>
          <w:trHeight w:val="430"/>
        </w:trPr>
        <w:tc>
          <w:tcPr>
            <w:tcW w:w="1856" w:type="pct"/>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642C35AF" w14:textId="77777777" w:rsidR="009245B1" w:rsidRPr="005808FC" w:rsidRDefault="009245B1" w:rsidP="005808FC">
            <w:pPr>
              <w:spacing w:after="0"/>
              <w:rPr>
                <w:rFonts w:eastAsia="Times New Roman"/>
                <w:b/>
                <w:bCs/>
                <w:sz w:val="20"/>
                <w:szCs w:val="18"/>
                <w:lang w:eastAsia="hr-HR"/>
              </w:rPr>
            </w:pPr>
            <w:r w:rsidRPr="005808FC">
              <w:rPr>
                <w:rFonts w:eastAsia="Times New Roman"/>
                <w:b/>
                <w:bCs/>
                <w:sz w:val="20"/>
                <w:szCs w:val="18"/>
                <w:lang w:eastAsia="hr-HR"/>
              </w:rPr>
              <w:t>SEKTOR</w:t>
            </w:r>
          </w:p>
        </w:tc>
        <w:tc>
          <w:tcPr>
            <w:tcW w:w="3144"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F145D55" w14:textId="77777777" w:rsidR="009245B1" w:rsidRPr="005808FC" w:rsidRDefault="009245B1" w:rsidP="005808FC">
            <w:pPr>
              <w:spacing w:after="0"/>
              <w:jc w:val="center"/>
              <w:rPr>
                <w:rFonts w:eastAsia="Times New Roman"/>
                <w:b/>
                <w:bCs/>
                <w:sz w:val="20"/>
                <w:szCs w:val="18"/>
                <w:lang w:eastAsia="hr-HR"/>
              </w:rPr>
            </w:pPr>
            <w:r w:rsidRPr="005808FC">
              <w:rPr>
                <w:rFonts w:eastAsia="Times New Roman"/>
                <w:b/>
                <w:bCs/>
                <w:sz w:val="20"/>
                <w:szCs w:val="18"/>
                <w:lang w:eastAsia="hr-HR"/>
              </w:rPr>
              <w:t>Ostvareno smanjenje emisije, t CO</w:t>
            </w:r>
            <w:r w:rsidRPr="005808FC">
              <w:rPr>
                <w:rFonts w:eastAsia="Times New Roman"/>
                <w:b/>
                <w:bCs/>
                <w:sz w:val="20"/>
                <w:szCs w:val="18"/>
                <w:vertAlign w:val="subscript"/>
                <w:lang w:eastAsia="hr-HR"/>
              </w:rPr>
              <w:t>2</w:t>
            </w:r>
          </w:p>
        </w:tc>
      </w:tr>
      <w:tr w:rsidR="009245B1" w:rsidRPr="00922031" w14:paraId="64E7FC38" w14:textId="77777777" w:rsidTr="005808FC">
        <w:trPr>
          <w:trHeight w:val="240"/>
        </w:trPr>
        <w:tc>
          <w:tcPr>
            <w:tcW w:w="1856"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7EEE4F16" w14:textId="77777777" w:rsidR="009245B1" w:rsidRPr="005808FC" w:rsidRDefault="009245B1" w:rsidP="005808FC">
            <w:pPr>
              <w:spacing w:after="0"/>
              <w:rPr>
                <w:rFonts w:eastAsia="Times New Roman"/>
                <w:sz w:val="20"/>
                <w:szCs w:val="18"/>
                <w:lang w:eastAsia="hr-HR"/>
              </w:rPr>
            </w:pPr>
            <w:r w:rsidRPr="005808FC">
              <w:rPr>
                <w:rFonts w:eastAsia="Times New Roman"/>
                <w:sz w:val="20"/>
                <w:szCs w:val="18"/>
                <w:lang w:eastAsia="hr-HR"/>
              </w:rPr>
              <w:t>ZGRADARSTVO</w:t>
            </w:r>
          </w:p>
        </w:tc>
        <w:tc>
          <w:tcPr>
            <w:tcW w:w="3144" w:type="pct"/>
            <w:tcBorders>
              <w:top w:val="nil"/>
              <w:left w:val="nil"/>
              <w:bottom w:val="single" w:sz="4" w:space="0" w:color="auto"/>
              <w:right w:val="single" w:sz="4" w:space="0" w:color="auto"/>
            </w:tcBorders>
            <w:shd w:val="clear" w:color="auto" w:fill="auto"/>
            <w:noWrap/>
            <w:vAlign w:val="center"/>
            <w:hideMark/>
          </w:tcPr>
          <w:p w14:paraId="175CF9CD" w14:textId="77777777" w:rsidR="009245B1" w:rsidRPr="005808FC" w:rsidRDefault="009245B1" w:rsidP="005808FC">
            <w:pPr>
              <w:spacing w:after="0"/>
              <w:jc w:val="center"/>
              <w:rPr>
                <w:rFonts w:eastAsia="Times New Roman"/>
                <w:sz w:val="20"/>
                <w:szCs w:val="18"/>
                <w:lang w:eastAsia="hr-HR"/>
              </w:rPr>
            </w:pPr>
            <w:r w:rsidRPr="005808FC">
              <w:rPr>
                <w:rFonts w:eastAsia="Times New Roman"/>
                <w:sz w:val="20"/>
                <w:szCs w:val="18"/>
                <w:lang w:eastAsia="hr-HR"/>
              </w:rPr>
              <w:t>209 115,86</w:t>
            </w:r>
          </w:p>
        </w:tc>
      </w:tr>
      <w:tr w:rsidR="009245B1" w:rsidRPr="00922031" w14:paraId="733D8227" w14:textId="77777777" w:rsidTr="005808FC">
        <w:trPr>
          <w:trHeight w:val="240"/>
        </w:trPr>
        <w:tc>
          <w:tcPr>
            <w:tcW w:w="1856"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32C3ECE0" w14:textId="77777777" w:rsidR="009245B1" w:rsidRPr="005808FC" w:rsidRDefault="009245B1" w:rsidP="005808FC">
            <w:pPr>
              <w:spacing w:after="0"/>
              <w:rPr>
                <w:rFonts w:eastAsia="Times New Roman"/>
                <w:sz w:val="20"/>
                <w:szCs w:val="18"/>
                <w:lang w:eastAsia="hr-HR"/>
              </w:rPr>
            </w:pPr>
            <w:r w:rsidRPr="005808FC">
              <w:rPr>
                <w:rFonts w:eastAsia="Times New Roman"/>
                <w:sz w:val="20"/>
                <w:szCs w:val="18"/>
                <w:lang w:eastAsia="hr-HR"/>
              </w:rPr>
              <w:t>PROMET</w:t>
            </w:r>
          </w:p>
        </w:tc>
        <w:tc>
          <w:tcPr>
            <w:tcW w:w="3144" w:type="pct"/>
            <w:tcBorders>
              <w:top w:val="nil"/>
              <w:left w:val="nil"/>
              <w:bottom w:val="single" w:sz="4" w:space="0" w:color="auto"/>
              <w:right w:val="single" w:sz="4" w:space="0" w:color="auto"/>
            </w:tcBorders>
            <w:shd w:val="clear" w:color="auto" w:fill="auto"/>
            <w:noWrap/>
            <w:vAlign w:val="center"/>
            <w:hideMark/>
          </w:tcPr>
          <w:p w14:paraId="216322DF" w14:textId="77777777" w:rsidR="009245B1" w:rsidRPr="005808FC" w:rsidRDefault="009245B1" w:rsidP="005808FC">
            <w:pPr>
              <w:spacing w:after="0"/>
              <w:jc w:val="center"/>
              <w:rPr>
                <w:rFonts w:eastAsia="Times New Roman"/>
                <w:sz w:val="20"/>
                <w:szCs w:val="18"/>
                <w:lang w:eastAsia="hr-HR"/>
              </w:rPr>
            </w:pPr>
            <w:r w:rsidRPr="005808FC">
              <w:rPr>
                <w:rFonts w:eastAsia="Times New Roman"/>
                <w:sz w:val="20"/>
                <w:szCs w:val="18"/>
                <w:lang w:eastAsia="hr-HR"/>
              </w:rPr>
              <w:t>91 018,51</w:t>
            </w:r>
          </w:p>
        </w:tc>
      </w:tr>
      <w:tr w:rsidR="009245B1" w:rsidRPr="00922031" w14:paraId="71008811" w14:textId="77777777" w:rsidTr="005808FC">
        <w:trPr>
          <w:trHeight w:val="240"/>
        </w:trPr>
        <w:tc>
          <w:tcPr>
            <w:tcW w:w="1856"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19B6F467" w14:textId="77777777" w:rsidR="009245B1" w:rsidRPr="005808FC" w:rsidRDefault="009245B1" w:rsidP="005808FC">
            <w:pPr>
              <w:spacing w:after="0"/>
              <w:rPr>
                <w:rFonts w:eastAsia="Times New Roman"/>
                <w:sz w:val="20"/>
                <w:szCs w:val="18"/>
                <w:lang w:eastAsia="hr-HR"/>
              </w:rPr>
            </w:pPr>
            <w:r w:rsidRPr="005808FC">
              <w:rPr>
                <w:rFonts w:eastAsia="Times New Roman"/>
                <w:sz w:val="20"/>
                <w:szCs w:val="18"/>
                <w:lang w:eastAsia="hr-HR"/>
              </w:rPr>
              <w:t>JAVNA RASVJETA</w:t>
            </w:r>
          </w:p>
        </w:tc>
        <w:tc>
          <w:tcPr>
            <w:tcW w:w="3144" w:type="pct"/>
            <w:tcBorders>
              <w:top w:val="nil"/>
              <w:left w:val="nil"/>
              <w:bottom w:val="single" w:sz="4" w:space="0" w:color="auto"/>
              <w:right w:val="single" w:sz="4" w:space="0" w:color="auto"/>
            </w:tcBorders>
            <w:shd w:val="clear" w:color="auto" w:fill="auto"/>
            <w:noWrap/>
            <w:vAlign w:val="center"/>
            <w:hideMark/>
          </w:tcPr>
          <w:p w14:paraId="1ACACBFE" w14:textId="77777777" w:rsidR="009245B1" w:rsidRPr="005808FC" w:rsidRDefault="009245B1" w:rsidP="005808FC">
            <w:pPr>
              <w:spacing w:after="0"/>
              <w:jc w:val="center"/>
              <w:rPr>
                <w:rFonts w:eastAsia="Times New Roman"/>
                <w:sz w:val="20"/>
                <w:szCs w:val="18"/>
                <w:lang w:eastAsia="hr-HR"/>
              </w:rPr>
            </w:pPr>
            <w:r w:rsidRPr="005808FC">
              <w:rPr>
                <w:rFonts w:eastAsia="Times New Roman"/>
                <w:sz w:val="20"/>
                <w:szCs w:val="18"/>
                <w:lang w:eastAsia="hr-HR"/>
              </w:rPr>
              <w:t>2 830,33</w:t>
            </w:r>
          </w:p>
        </w:tc>
      </w:tr>
      <w:tr w:rsidR="009245B1" w:rsidRPr="00922031" w14:paraId="1FC2E79F" w14:textId="77777777" w:rsidTr="005808FC">
        <w:trPr>
          <w:trHeight w:val="60"/>
        </w:trPr>
        <w:tc>
          <w:tcPr>
            <w:tcW w:w="1856" w:type="pct"/>
            <w:tcBorders>
              <w:top w:val="nil"/>
              <w:left w:val="single" w:sz="4" w:space="0" w:color="auto"/>
              <w:bottom w:val="single" w:sz="4" w:space="0" w:color="auto"/>
              <w:right w:val="single" w:sz="4" w:space="0" w:color="auto"/>
            </w:tcBorders>
            <w:shd w:val="clear" w:color="auto" w:fill="F2DBDB" w:themeFill="accent2" w:themeFillTint="33"/>
            <w:noWrap/>
            <w:vAlign w:val="bottom"/>
            <w:hideMark/>
          </w:tcPr>
          <w:p w14:paraId="3C70E83E" w14:textId="77777777" w:rsidR="009245B1" w:rsidRPr="005808FC" w:rsidRDefault="009245B1" w:rsidP="005808FC">
            <w:pPr>
              <w:spacing w:after="0"/>
              <w:rPr>
                <w:rFonts w:eastAsia="Times New Roman"/>
                <w:b/>
                <w:bCs/>
                <w:sz w:val="20"/>
                <w:szCs w:val="18"/>
                <w:lang w:eastAsia="hr-HR"/>
              </w:rPr>
            </w:pPr>
            <w:r w:rsidRPr="005808FC">
              <w:rPr>
                <w:rFonts w:eastAsia="Times New Roman"/>
                <w:b/>
                <w:bCs/>
                <w:sz w:val="20"/>
                <w:szCs w:val="18"/>
                <w:lang w:eastAsia="hr-HR"/>
              </w:rPr>
              <w:t>UKUPNO</w:t>
            </w:r>
          </w:p>
        </w:tc>
        <w:tc>
          <w:tcPr>
            <w:tcW w:w="3144" w:type="pct"/>
            <w:tcBorders>
              <w:top w:val="nil"/>
              <w:left w:val="nil"/>
              <w:bottom w:val="single" w:sz="4" w:space="0" w:color="auto"/>
              <w:right w:val="single" w:sz="4" w:space="0" w:color="auto"/>
            </w:tcBorders>
            <w:shd w:val="clear" w:color="auto" w:fill="auto"/>
            <w:noWrap/>
            <w:vAlign w:val="center"/>
            <w:hideMark/>
          </w:tcPr>
          <w:p w14:paraId="528A53EF" w14:textId="77777777" w:rsidR="009245B1" w:rsidRPr="005808FC" w:rsidRDefault="009245B1" w:rsidP="005808FC">
            <w:pPr>
              <w:spacing w:after="0"/>
              <w:jc w:val="center"/>
              <w:rPr>
                <w:rFonts w:eastAsia="Times New Roman"/>
                <w:b/>
                <w:bCs/>
                <w:sz w:val="20"/>
                <w:szCs w:val="18"/>
                <w:lang w:eastAsia="hr-HR"/>
              </w:rPr>
            </w:pPr>
            <w:r w:rsidRPr="005808FC">
              <w:rPr>
                <w:rFonts w:eastAsia="Times New Roman"/>
                <w:b/>
                <w:bCs/>
                <w:sz w:val="20"/>
                <w:szCs w:val="18"/>
                <w:lang w:eastAsia="hr-HR"/>
              </w:rPr>
              <w:t>302 964,70</w:t>
            </w:r>
          </w:p>
        </w:tc>
      </w:tr>
    </w:tbl>
    <w:p w14:paraId="133C728A" w14:textId="2BE80E4B" w:rsidR="009245B1" w:rsidRPr="00E20858" w:rsidRDefault="009245B1" w:rsidP="005808FC">
      <w:pPr>
        <w:spacing w:before="240"/>
      </w:pPr>
      <w:r w:rsidRPr="00291DF5">
        <w:t>Prikaz udjela pojedinog sektora u ukupno ostvarenom smanjenju emisije CO</w:t>
      </w:r>
      <w:r w:rsidRPr="005808FC">
        <w:rPr>
          <w:vertAlign w:val="subscript"/>
        </w:rPr>
        <w:t>2</w:t>
      </w:r>
      <w:r w:rsidRPr="005808FC">
        <w:t xml:space="preserve"> dan je na </w:t>
      </w:r>
      <w:r w:rsidRPr="005808FC">
        <w:fldChar w:fldCharType="begin"/>
      </w:r>
      <w:r w:rsidRPr="00E20858">
        <w:rPr>
          <w:rFonts w:cstheme="minorHAnsi"/>
        </w:rPr>
        <w:instrText xml:space="preserve"> REF _Ref467273165 \h  \* MERGEFORMAT </w:instrText>
      </w:r>
      <w:r w:rsidRPr="005808FC">
        <w:rPr>
          <w:rFonts w:cstheme="minorHAnsi"/>
        </w:rPr>
        <w:fldChar w:fldCharType="separate"/>
      </w:r>
      <w:r w:rsidRPr="005808FC">
        <w:t xml:space="preserve">Slici </w:t>
      </w:r>
      <w:r w:rsidR="00E20858" w:rsidRPr="005808FC">
        <w:rPr>
          <w:noProof/>
        </w:rPr>
        <w:t>6</w:t>
      </w:r>
      <w:r w:rsidRPr="005808FC">
        <w:rPr>
          <w:noProof/>
        </w:rPr>
        <w:t>.</w:t>
      </w:r>
      <w:r w:rsidR="00E20858" w:rsidRPr="005808FC">
        <w:rPr>
          <w:noProof/>
        </w:rPr>
        <w:t>9</w:t>
      </w:r>
      <w:r w:rsidRPr="005808FC">
        <w:fldChar w:fldCharType="end"/>
      </w:r>
      <w:r w:rsidR="000509A0">
        <w:t xml:space="preserve"> i </w:t>
      </w:r>
      <w:r w:rsidRPr="005808FC">
        <w:fldChar w:fldCharType="begin"/>
      </w:r>
      <w:r w:rsidRPr="00E20858">
        <w:rPr>
          <w:rFonts w:cstheme="minorHAnsi"/>
        </w:rPr>
        <w:instrText xml:space="preserve"> REF _Ref467330605 \h  \* MERGEFORMAT </w:instrText>
      </w:r>
      <w:r w:rsidRPr="005808FC">
        <w:rPr>
          <w:rFonts w:cstheme="minorHAnsi"/>
        </w:rPr>
        <w:fldChar w:fldCharType="separate"/>
      </w:r>
      <w:r w:rsidR="00E20858" w:rsidRPr="005808FC">
        <w:t xml:space="preserve">Slika </w:t>
      </w:r>
      <w:r w:rsidR="00E20858" w:rsidRPr="005808FC">
        <w:rPr>
          <w:noProof/>
        </w:rPr>
        <w:t>6.10</w:t>
      </w:r>
      <w:r w:rsidRPr="005808FC">
        <w:fldChar w:fldCharType="end"/>
      </w:r>
      <w:r w:rsidRPr="00291DF5">
        <w:t>.</w:t>
      </w:r>
    </w:p>
    <w:p w14:paraId="1102DF51" w14:textId="77777777" w:rsidR="009245B1" w:rsidRPr="00922031" w:rsidRDefault="009245B1" w:rsidP="00922031">
      <w:pPr>
        <w:spacing w:before="240" w:after="0"/>
        <w:jc w:val="center"/>
        <w:rPr>
          <w:rFonts w:cstheme="minorHAnsi"/>
        </w:rPr>
      </w:pPr>
      <w:r w:rsidRPr="00922031">
        <w:rPr>
          <w:rFonts w:cstheme="minorHAnsi"/>
          <w:noProof/>
          <w:lang w:eastAsia="hr-HR"/>
        </w:rPr>
        <w:drawing>
          <wp:inline distT="0" distB="0" distL="0" distR="0" wp14:anchorId="76234595" wp14:editId="7BCFA188">
            <wp:extent cx="5038725" cy="28956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63DEF55" w14:textId="35E759CF" w:rsidR="009245B1" w:rsidRPr="006D77A6" w:rsidRDefault="009245B1" w:rsidP="006D77A6">
      <w:pPr>
        <w:pStyle w:val="Heading6"/>
        <w:rPr>
          <w:vertAlign w:val="subscript"/>
        </w:rPr>
      </w:pPr>
      <w:bookmarkStart w:id="217" w:name="_Ref467273165"/>
      <w:bookmarkStart w:id="218" w:name="_Toc468277487"/>
      <w:bookmarkStart w:id="219" w:name="_Toc4156049"/>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9</w:t>
      </w:r>
      <w:r w:rsidR="00CA6C6C" w:rsidRPr="005808FC">
        <w:fldChar w:fldCharType="end"/>
      </w:r>
      <w:bookmarkEnd w:id="217"/>
      <w:r w:rsidRPr="006D77A6">
        <w:t xml:space="preserve"> </w:t>
      </w:r>
      <w:r w:rsidR="000509A0">
        <w:t xml:space="preserve">- </w:t>
      </w:r>
      <w:r w:rsidRPr="006D77A6">
        <w:t>Udio pojedinog sektora u ukupno ostvarenom smanjenju emisije CO</w:t>
      </w:r>
      <w:r w:rsidRPr="006D77A6">
        <w:rPr>
          <w:vertAlign w:val="subscript"/>
        </w:rPr>
        <w:t>2</w:t>
      </w:r>
      <w:bookmarkEnd w:id="218"/>
      <w:bookmarkEnd w:id="219"/>
    </w:p>
    <w:p w14:paraId="01135F9B" w14:textId="00792D77" w:rsidR="009245B1" w:rsidRPr="00922031" w:rsidRDefault="009245B1">
      <w:r w:rsidRPr="00291DF5">
        <w:t>U ukupno ostvarenom smanjenju emisije CO</w:t>
      </w:r>
      <w:r w:rsidRPr="005808FC">
        <w:rPr>
          <w:vertAlign w:val="subscript"/>
        </w:rPr>
        <w:t>2</w:t>
      </w:r>
      <w:r w:rsidRPr="005808FC">
        <w:t xml:space="preserve"> udio pojedinog sektora je sljedeći: zgradarstvo 69,02%, promet 30,04%</w:t>
      </w:r>
      <w:r w:rsidR="000509A0">
        <w:t xml:space="preserve"> i </w:t>
      </w:r>
      <w:r w:rsidRPr="00291DF5">
        <w:t>javna rasvjeta 0,93%.</w:t>
      </w:r>
    </w:p>
    <w:p w14:paraId="29E07563" w14:textId="77777777" w:rsidR="009245B1" w:rsidRPr="00922031" w:rsidRDefault="009245B1" w:rsidP="00975CD4">
      <w:pPr>
        <w:rPr>
          <w:rFonts w:cstheme="minorHAnsi"/>
          <w:noProof/>
          <w:lang w:eastAsia="hr-HR"/>
        </w:rPr>
      </w:pPr>
    </w:p>
    <w:p w14:paraId="2304286A" w14:textId="77777777" w:rsidR="009245B1" w:rsidRPr="00922031" w:rsidRDefault="009245B1" w:rsidP="00922031">
      <w:pPr>
        <w:spacing w:after="0"/>
        <w:jc w:val="center"/>
        <w:rPr>
          <w:rFonts w:cstheme="minorHAnsi"/>
          <w:noProof/>
          <w:lang w:eastAsia="hr-HR"/>
        </w:rPr>
      </w:pPr>
      <w:r w:rsidRPr="00922031">
        <w:rPr>
          <w:rFonts w:cstheme="minorHAnsi"/>
          <w:noProof/>
          <w:lang w:eastAsia="hr-HR"/>
        </w:rPr>
        <w:lastRenderedPageBreak/>
        <w:drawing>
          <wp:inline distT="0" distB="0" distL="0" distR="0" wp14:anchorId="7A3D5451" wp14:editId="1DD88EFB">
            <wp:extent cx="4953000" cy="3057525"/>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18F2EFD" w14:textId="31A50129" w:rsidR="009245B1" w:rsidRPr="006D77A6" w:rsidRDefault="009245B1" w:rsidP="006D77A6">
      <w:pPr>
        <w:pStyle w:val="Heading6"/>
      </w:pPr>
      <w:bookmarkStart w:id="220" w:name="_Ref467330605"/>
      <w:bookmarkStart w:id="221" w:name="_Toc468277488"/>
      <w:bookmarkStart w:id="222" w:name="_Toc4156050"/>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10</w:t>
      </w:r>
      <w:r w:rsidR="00CA6C6C" w:rsidRPr="005808FC">
        <w:fldChar w:fldCharType="end"/>
      </w:r>
      <w:bookmarkEnd w:id="220"/>
      <w:r w:rsidRPr="006D77A6">
        <w:t xml:space="preserve"> </w:t>
      </w:r>
      <w:r w:rsidR="000509A0">
        <w:t xml:space="preserve">- </w:t>
      </w:r>
      <w:r w:rsidRPr="006D77A6">
        <w:t>Udio pojedinog podsektora u ukupno ostvarenom smanjenju emisije CO</w:t>
      </w:r>
      <w:r w:rsidRPr="006D77A6">
        <w:rPr>
          <w:vertAlign w:val="subscript"/>
        </w:rPr>
        <w:t>2</w:t>
      </w:r>
      <w:bookmarkEnd w:id="221"/>
      <w:bookmarkEnd w:id="222"/>
    </w:p>
    <w:p w14:paraId="1D0AA0DD" w14:textId="4B316DEA" w:rsidR="009245B1" w:rsidRPr="00922031" w:rsidRDefault="009245B1">
      <w:r w:rsidRPr="00291DF5">
        <w:t>Promatrajući podsektore u ukupno ostvarenom smanjenju emisije CO</w:t>
      </w:r>
      <w:r w:rsidRPr="005808FC">
        <w:rPr>
          <w:vertAlign w:val="subscript"/>
        </w:rPr>
        <w:t>2</w:t>
      </w:r>
      <w:r w:rsidRPr="005808FC">
        <w:t xml:space="preserve"> najveći udio ima podsektor stambene zgrade – kućanstva 44,37%.</w:t>
      </w:r>
    </w:p>
    <w:p w14:paraId="3BCA08FD" w14:textId="43D1D604" w:rsidR="009245B1" w:rsidRPr="00E20858" w:rsidRDefault="009245B1">
      <w:r w:rsidRPr="00291DF5">
        <w:t>Zaključno, u nastavku je dan pregled provedene Analize uspješnosti provedbe Akcijsko</w:t>
      </w:r>
      <w:r w:rsidRPr="005808FC">
        <w:t xml:space="preserve">g plana </w:t>
      </w:r>
      <w:r w:rsidRPr="005808FC">
        <w:fldChar w:fldCharType="begin"/>
      </w:r>
      <w:r w:rsidRPr="00E20858">
        <w:rPr>
          <w:rFonts w:cstheme="minorHAnsi"/>
        </w:rPr>
        <w:instrText xml:space="preserve"> REF _Ref467499150 \h  \* MERGEFORMAT </w:instrText>
      </w:r>
      <w:r w:rsidRPr="005808FC">
        <w:rPr>
          <w:rFonts w:cstheme="minorHAnsi"/>
        </w:rPr>
        <w:fldChar w:fldCharType="separate"/>
      </w:r>
      <w:r w:rsidR="00E20858" w:rsidRPr="005808FC">
        <w:t xml:space="preserve">Slika </w:t>
      </w:r>
      <w:r w:rsidR="00E20858" w:rsidRPr="005808FC">
        <w:rPr>
          <w:noProof/>
        </w:rPr>
        <w:t>6.11</w:t>
      </w:r>
      <w:r w:rsidRPr="005808FC">
        <w:fldChar w:fldCharType="end"/>
      </w:r>
      <w:r w:rsidR="000509A0">
        <w:t xml:space="preserve"> i </w:t>
      </w:r>
      <w:r w:rsidRPr="005808FC">
        <w:fldChar w:fldCharType="begin"/>
      </w:r>
      <w:r w:rsidRPr="00E20858">
        <w:rPr>
          <w:rFonts w:cstheme="minorHAnsi"/>
        </w:rPr>
        <w:instrText xml:space="preserve"> REF _Ref467499162 \h  \* MERGEFORMAT </w:instrText>
      </w:r>
      <w:r w:rsidRPr="005808FC">
        <w:rPr>
          <w:rFonts w:cstheme="minorHAnsi"/>
        </w:rPr>
        <w:fldChar w:fldCharType="separate"/>
      </w:r>
      <w:r w:rsidR="00E20858" w:rsidRPr="005808FC">
        <w:t xml:space="preserve">Slika </w:t>
      </w:r>
      <w:r w:rsidR="00E20858" w:rsidRPr="005808FC">
        <w:rPr>
          <w:noProof/>
        </w:rPr>
        <w:t>6.12</w:t>
      </w:r>
      <w:r w:rsidRPr="005808FC">
        <w:fldChar w:fldCharType="end"/>
      </w:r>
      <w:r w:rsidRPr="00291DF5">
        <w:t>.</w:t>
      </w:r>
    </w:p>
    <w:p w14:paraId="50C7AF6C" w14:textId="77777777" w:rsidR="009245B1" w:rsidRPr="00922031" w:rsidRDefault="009245B1" w:rsidP="00922031">
      <w:pPr>
        <w:spacing w:after="0"/>
        <w:jc w:val="center"/>
        <w:rPr>
          <w:rFonts w:cstheme="minorHAnsi"/>
        </w:rPr>
      </w:pPr>
      <w:r w:rsidRPr="00922031">
        <w:rPr>
          <w:rFonts w:cstheme="minorHAnsi"/>
          <w:noProof/>
          <w:lang w:eastAsia="hr-HR"/>
        </w:rPr>
        <w:drawing>
          <wp:inline distT="0" distB="0" distL="0" distR="0" wp14:anchorId="17F1E7DC" wp14:editId="3658B100">
            <wp:extent cx="4572000" cy="2743200"/>
            <wp:effectExtent l="0" t="0" r="0" b="0"/>
            <wp:docPr id="5"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7A19016" w14:textId="4E5029FE" w:rsidR="009245B1" w:rsidRPr="006D77A6" w:rsidRDefault="009245B1" w:rsidP="006D77A6">
      <w:pPr>
        <w:pStyle w:val="Heading6"/>
      </w:pPr>
      <w:bookmarkStart w:id="223" w:name="_Ref467499150"/>
      <w:bookmarkStart w:id="224" w:name="_Toc468277489"/>
      <w:bookmarkStart w:id="225" w:name="_Toc4156051"/>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11</w:t>
      </w:r>
      <w:r w:rsidR="00CA6C6C" w:rsidRPr="005808FC">
        <w:fldChar w:fldCharType="end"/>
      </w:r>
      <w:bookmarkEnd w:id="223"/>
      <w:r w:rsidRPr="006D77A6">
        <w:t xml:space="preserve"> </w:t>
      </w:r>
      <w:r w:rsidR="000509A0">
        <w:t xml:space="preserve">- </w:t>
      </w:r>
      <w:r w:rsidRPr="006D77A6">
        <w:t>Udio ostvarenog smanjenja emisije CO</w:t>
      </w:r>
      <w:r w:rsidRPr="006D77A6">
        <w:rPr>
          <w:vertAlign w:val="subscript"/>
        </w:rPr>
        <w:t>2</w:t>
      </w:r>
      <w:r w:rsidRPr="006D77A6">
        <w:t xml:space="preserve"> u ukupno postavljenom cilju smanjenja emisije CO</w:t>
      </w:r>
      <w:r w:rsidRPr="006D77A6">
        <w:rPr>
          <w:vertAlign w:val="subscript"/>
        </w:rPr>
        <w:t>2</w:t>
      </w:r>
      <w:r w:rsidRPr="006D77A6">
        <w:t xml:space="preserve"> do 2020. godine</w:t>
      </w:r>
      <w:bookmarkEnd w:id="224"/>
      <w:bookmarkEnd w:id="225"/>
    </w:p>
    <w:p w14:paraId="2069C42C" w14:textId="60CFF168" w:rsidR="000E7303" w:rsidRDefault="000E7303">
      <w:pPr>
        <w:rPr>
          <w:rFonts w:cstheme="minorHAnsi"/>
          <w:noProof/>
          <w:lang w:eastAsia="hr-HR"/>
        </w:rPr>
      </w:pPr>
      <w:r>
        <w:rPr>
          <w:rFonts w:cstheme="minorHAnsi"/>
          <w:noProof/>
          <w:lang w:eastAsia="hr-HR"/>
        </w:rPr>
        <w:br w:type="page"/>
      </w:r>
    </w:p>
    <w:p w14:paraId="246D137A" w14:textId="77777777" w:rsidR="009245B1" w:rsidRPr="00922031" w:rsidRDefault="009245B1" w:rsidP="00975CD4">
      <w:pPr>
        <w:spacing w:after="0"/>
        <w:rPr>
          <w:rFonts w:cstheme="minorHAnsi"/>
          <w:noProof/>
          <w:lang w:eastAsia="hr-HR"/>
        </w:rPr>
      </w:pPr>
    </w:p>
    <w:p w14:paraId="14979591" w14:textId="77777777" w:rsidR="009245B1" w:rsidRPr="00922031" w:rsidRDefault="009245B1" w:rsidP="00922031">
      <w:pPr>
        <w:spacing w:after="0"/>
        <w:jc w:val="center"/>
        <w:rPr>
          <w:rFonts w:cstheme="minorHAnsi"/>
          <w:noProof/>
          <w:lang w:eastAsia="hr-HR"/>
        </w:rPr>
      </w:pPr>
      <w:r w:rsidRPr="00922031">
        <w:rPr>
          <w:rFonts w:cstheme="minorHAnsi"/>
          <w:noProof/>
          <w:lang w:eastAsia="hr-HR"/>
        </w:rPr>
        <w:drawing>
          <wp:inline distT="0" distB="0" distL="0" distR="0" wp14:anchorId="038B0AD2" wp14:editId="0BA1FF0A">
            <wp:extent cx="5759450" cy="3260933"/>
            <wp:effectExtent l="0" t="0" r="0" b="0"/>
            <wp:docPr id="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6519D64" w14:textId="640C429A" w:rsidR="009245B1" w:rsidRPr="006D77A6" w:rsidRDefault="009245B1" w:rsidP="006D77A6">
      <w:pPr>
        <w:pStyle w:val="Heading6"/>
      </w:pPr>
      <w:bookmarkStart w:id="226" w:name="_Ref467499162"/>
      <w:bookmarkStart w:id="227" w:name="_Toc468277490"/>
      <w:bookmarkStart w:id="228" w:name="_Toc4156052"/>
      <w:r w:rsidRPr="006D77A6">
        <w:t xml:space="preserve">Slika </w:t>
      </w:r>
      <w:r w:rsidR="00CA6C6C" w:rsidRPr="005808FC">
        <w:fldChar w:fldCharType="begin"/>
      </w:r>
      <w:r w:rsidR="00CA6C6C">
        <w:rPr>
          <w:noProof/>
        </w:rPr>
        <w:instrText xml:space="preserve"> STYLEREF 1 \s </w:instrText>
      </w:r>
      <w:r w:rsidR="00CA6C6C" w:rsidRPr="005808FC">
        <w:rPr>
          <w:noProof/>
        </w:rPr>
        <w:fldChar w:fldCharType="separate"/>
      </w:r>
      <w:r w:rsidR="0019556A">
        <w:rPr>
          <w:noProof/>
        </w:rPr>
        <w:t>6</w:t>
      </w:r>
      <w:r w:rsidR="00CA6C6C" w:rsidRPr="005808FC">
        <w:fldChar w:fldCharType="end"/>
      </w:r>
      <w:r w:rsidR="0019556A" w:rsidRPr="5886DDC2">
        <w:t>.</w:t>
      </w:r>
      <w:r w:rsidR="00CA6C6C" w:rsidRPr="005808FC">
        <w:fldChar w:fldCharType="begin"/>
      </w:r>
      <w:r w:rsidR="00CA6C6C">
        <w:rPr>
          <w:noProof/>
        </w:rPr>
        <w:instrText xml:space="preserve"> SEQ Slika \* ARABIC \s 1 </w:instrText>
      </w:r>
      <w:r w:rsidR="00CA6C6C" w:rsidRPr="005808FC">
        <w:rPr>
          <w:noProof/>
        </w:rPr>
        <w:fldChar w:fldCharType="separate"/>
      </w:r>
      <w:r w:rsidR="0019556A">
        <w:rPr>
          <w:noProof/>
        </w:rPr>
        <w:t>12</w:t>
      </w:r>
      <w:r w:rsidR="00CA6C6C" w:rsidRPr="005808FC">
        <w:fldChar w:fldCharType="end"/>
      </w:r>
      <w:bookmarkEnd w:id="226"/>
      <w:r w:rsidRPr="006D77A6">
        <w:t xml:space="preserve"> Usporedba ostvarenog</w:t>
      </w:r>
      <w:r w:rsidR="000509A0">
        <w:t xml:space="preserve"> i </w:t>
      </w:r>
      <w:r w:rsidRPr="006D77A6">
        <w:t>ciljanog smanjenja emisije CO</w:t>
      </w:r>
      <w:r w:rsidRPr="006D77A6">
        <w:rPr>
          <w:vertAlign w:val="subscript"/>
        </w:rPr>
        <w:t xml:space="preserve">2 </w:t>
      </w:r>
      <w:r w:rsidRPr="006D77A6">
        <w:t>do 2020. godine</w:t>
      </w:r>
      <w:bookmarkEnd w:id="227"/>
      <w:bookmarkEnd w:id="228"/>
    </w:p>
    <w:p w14:paraId="540FC444" w14:textId="77777777" w:rsidR="009245B1" w:rsidRPr="00922031" w:rsidRDefault="009245B1">
      <w:r w:rsidRPr="00291DF5">
        <w:t>Iz prethodne sli</w:t>
      </w:r>
      <w:r w:rsidRPr="005808FC">
        <w:t>ke je vidljivo da razlika od ostvarenog do ciljanog smanjenja emisije CO</w:t>
      </w:r>
      <w:r w:rsidRPr="005808FC">
        <w:rPr>
          <w:vertAlign w:val="subscript"/>
        </w:rPr>
        <w:t>2</w:t>
      </w:r>
      <w:r w:rsidRPr="005808FC">
        <w:t xml:space="preserve"> do 2020. godine iznosi oko 284 kt CO</w:t>
      </w:r>
      <w:r w:rsidRPr="005808FC">
        <w:rPr>
          <w:vertAlign w:val="subscript"/>
        </w:rPr>
        <w:t>2</w:t>
      </w:r>
      <w:r w:rsidRPr="005808FC">
        <w:t>.</w:t>
      </w:r>
    </w:p>
    <w:p w14:paraId="3542B6CC" w14:textId="77777777" w:rsidR="00C4176C" w:rsidRPr="00922031" w:rsidRDefault="00C4176C" w:rsidP="00975CD4">
      <w:pPr>
        <w:rPr>
          <w:rFonts w:cstheme="minorHAnsi"/>
          <w:b/>
          <w:lang w:eastAsia="hr-HR"/>
        </w:rPr>
      </w:pPr>
      <w:r w:rsidRPr="00922031">
        <w:rPr>
          <w:rFonts w:cstheme="minorHAnsi"/>
          <w:b/>
          <w:lang w:eastAsia="hr-HR"/>
        </w:rPr>
        <w:br w:type="page"/>
      </w:r>
    </w:p>
    <w:p w14:paraId="5B6B8813" w14:textId="16279E41" w:rsidR="00C4176C" w:rsidRPr="00B731C8" w:rsidRDefault="00BA479D" w:rsidP="0DFBE047">
      <w:pPr>
        <w:pStyle w:val="Heading1"/>
      </w:pPr>
      <w:bookmarkStart w:id="229" w:name="_Toc4156096"/>
      <w:r w:rsidRPr="00B731C8">
        <w:lastRenderedPageBreak/>
        <w:t>UBLAŽAVANJE UČINAKA KLIMATSKIH PROMJENA (engl. Mitigation</w:t>
      </w:r>
      <w:r w:rsidRPr="0DFBE047">
        <w:t>)</w:t>
      </w:r>
      <w:r w:rsidR="00B731C8" w:rsidRPr="0DFBE047">
        <w:t xml:space="preserve"> - </w:t>
      </w:r>
      <w:r w:rsidR="00D43D20" w:rsidRPr="00B731C8">
        <w:t>P</w:t>
      </w:r>
      <w:r w:rsidR="00433244" w:rsidRPr="00B731C8">
        <w:t>lan prioritetnih mjera za ublažavanje učinaka klimatskih promjena</w:t>
      </w:r>
      <w:bookmarkEnd w:id="229"/>
    </w:p>
    <w:p w14:paraId="4750242F" w14:textId="77777777" w:rsidR="00C4176C" w:rsidRPr="00922031" w:rsidRDefault="00C4176C" w:rsidP="00975CD4">
      <w:pPr>
        <w:rPr>
          <w:rFonts w:cstheme="minorHAnsi"/>
        </w:rPr>
      </w:pPr>
    </w:p>
    <w:p w14:paraId="54E2791F" w14:textId="7CC08FB4" w:rsidR="00B731C8" w:rsidRDefault="00B731C8" w:rsidP="00B731C8">
      <w:bookmarkStart w:id="230" w:name="_Toc258238961"/>
      <w:r>
        <w:t>Ublažavanje</w:t>
      </w:r>
      <w:r w:rsidR="002B40F2">
        <w:t xml:space="preserve"> učinaka klimatskih promjena </w:t>
      </w:r>
      <w:r>
        <w:t>podrazumijeva aktivno sprječavanje utjecaja klimatskih promjena na lokalnu zajednicu u vidu smanjenja emisija CO</w:t>
      </w:r>
      <w:r w:rsidRPr="00B731C8">
        <w:rPr>
          <w:vertAlign w:val="subscript"/>
        </w:rPr>
        <w:t>2</w:t>
      </w:r>
      <w:r>
        <w:t xml:space="preserve"> kako bi se spriječilo daljnje zagrijavanje atmosfere.</w:t>
      </w:r>
    </w:p>
    <w:p w14:paraId="67F31D0C" w14:textId="4799EE84" w:rsidR="000E7303" w:rsidRDefault="008F737B" w:rsidP="00B731C8">
      <w:r>
        <w:t xml:space="preserve">Načini na koje se postiže ublažavanje učinaka klimatskih promjena uključuju </w:t>
      </w:r>
      <w:r w:rsidR="00B731C8">
        <w:t xml:space="preserve">implementiranje rješenja koja doprinose većoj energetskoj učinkovitosti, </w:t>
      </w:r>
      <w:r>
        <w:t xml:space="preserve">povećanje </w:t>
      </w:r>
      <w:r w:rsidR="00B731C8">
        <w:t>upotreb</w:t>
      </w:r>
      <w:r>
        <w:t>e</w:t>
      </w:r>
      <w:r w:rsidR="00B731C8">
        <w:t xml:space="preserve"> obnovljivih izvora energije te </w:t>
      </w:r>
      <w:r>
        <w:t xml:space="preserve">rješenja koja doprinose kreiranju </w:t>
      </w:r>
      <w:r w:rsidR="00B731C8">
        <w:t>održivog društva.</w:t>
      </w:r>
    </w:p>
    <w:p w14:paraId="63E11B9C" w14:textId="3E8543F0" w:rsidR="00A30383" w:rsidRPr="00816741" w:rsidRDefault="00A30383" w:rsidP="00A30383">
      <w:r w:rsidRPr="00C64426">
        <w:t>Korištenje obnovljivih izvora energije</w:t>
      </w:r>
      <w:r w:rsidRPr="00816741">
        <w:t xml:space="preserve"> kao što su vjetroelektran</w:t>
      </w:r>
      <w:r w:rsidR="001E4217">
        <w:t>e</w:t>
      </w:r>
      <w:r w:rsidRPr="00816741">
        <w:t>, solarna, geotermalna</w:t>
      </w:r>
      <w:r w:rsidRPr="00C64426">
        <w:t xml:space="preserve"> ili </w:t>
      </w:r>
      <w:r w:rsidRPr="00816741">
        <w:t>hidroelektrana predstavlja jednu od glavnih strategija za smanjenje emisija stakleničkih plinova u atmosferi.</w:t>
      </w:r>
      <w:r w:rsidRPr="0DFBE047">
        <w:t xml:space="preserve"> </w:t>
      </w:r>
      <w:r w:rsidRPr="00C64426">
        <w:t>T</w:t>
      </w:r>
      <w:r w:rsidRPr="00816741">
        <w:t>ehnologije</w:t>
      </w:r>
      <w:r w:rsidRPr="00C64426">
        <w:t xml:space="preserve"> iskorištavanja obnovljivih izvora energije</w:t>
      </w:r>
      <w:r w:rsidRPr="00816741">
        <w:t xml:space="preserve"> suočene </w:t>
      </w:r>
      <w:r w:rsidRPr="00C64426">
        <w:t xml:space="preserve">su </w:t>
      </w:r>
      <w:r w:rsidRPr="00816741">
        <w:t>s preprekama koje se odnose na kapitalne troškove (troškov</w:t>
      </w:r>
      <w:r w:rsidRPr="00C64426">
        <w:t>i pripreme projekta te</w:t>
      </w:r>
      <w:r w:rsidRPr="00816741">
        <w:t xml:space="preserve"> izgradnje</w:t>
      </w:r>
      <w:r w:rsidR="000509A0">
        <w:t xml:space="preserve"> i </w:t>
      </w:r>
      <w:r w:rsidRPr="00816741">
        <w:t xml:space="preserve">održavanja </w:t>
      </w:r>
      <w:r w:rsidRPr="00C64426">
        <w:t>elektrana</w:t>
      </w:r>
      <w:r w:rsidRPr="00816741">
        <w:t>), financiranje, percepciju javnosti</w:t>
      </w:r>
      <w:r w:rsidR="000509A0">
        <w:t xml:space="preserve"> i </w:t>
      </w:r>
      <w:r w:rsidRPr="00816741">
        <w:t>dugotrajnu ovisnost tržišta</w:t>
      </w:r>
      <w:r w:rsidR="000509A0">
        <w:t xml:space="preserve"> i </w:t>
      </w:r>
      <w:r w:rsidRPr="00816741">
        <w:t>institucija o fosilnim gorivima.</w:t>
      </w:r>
      <w:r w:rsidRPr="0DFBE047">
        <w:t xml:space="preserve"> </w:t>
      </w:r>
      <w:r w:rsidRPr="00C64426">
        <w:t>Usprkos tome,</w:t>
      </w:r>
      <w:r w:rsidR="00B25B9E" w:rsidRPr="0DFBE047">
        <w:t xml:space="preserve"> </w:t>
      </w:r>
      <w:r w:rsidRPr="00816741">
        <w:t>IPCC</w:t>
      </w:r>
      <w:r w:rsidRPr="00C64426">
        <w:t xml:space="preserve"> u svojem trećem izvješću </w:t>
      </w:r>
      <w:r w:rsidRPr="00816741">
        <w:t xml:space="preserve">navodi da mnoge tehnologije obnovljivih izvora energije </w:t>
      </w:r>
      <w:r w:rsidRPr="00C64426">
        <w:t>bilježe</w:t>
      </w:r>
      <w:r w:rsidRPr="00816741">
        <w:t xml:space="preserve"> napredak </w:t>
      </w:r>
      <w:r w:rsidRPr="00C64426">
        <w:t>po pitanju isplativosti</w:t>
      </w:r>
      <w:r w:rsidR="000509A0">
        <w:t xml:space="preserve"> i </w:t>
      </w:r>
      <w:r w:rsidRPr="00C64426">
        <w:t xml:space="preserve">učinkovitosti te </w:t>
      </w:r>
      <w:r w:rsidRPr="00816741">
        <w:t>njihova uloga u smanjenju onečišćenja zraka</w:t>
      </w:r>
      <w:r w:rsidR="000509A0">
        <w:t xml:space="preserve"> i </w:t>
      </w:r>
      <w:r w:rsidRPr="00816741">
        <w:t>pružanja energetske sigurnosti nadilazi moguće nedostatke.</w:t>
      </w:r>
    </w:p>
    <w:p w14:paraId="235F63C2" w14:textId="453249E4" w:rsidR="00B731C8" w:rsidRDefault="00B731C8" w:rsidP="00B731C8">
      <w:r w:rsidRPr="00B731C8">
        <w:t xml:space="preserve">Ublažavanje </w:t>
      </w:r>
      <w:r w:rsidR="008F737B">
        <w:t>učinaka klimatskih promjena uključuje</w:t>
      </w:r>
      <w:r w:rsidR="000509A0">
        <w:t xml:space="preserve"> i </w:t>
      </w:r>
      <w:r w:rsidR="008F737B">
        <w:t>aktivne mjere edukacije</w:t>
      </w:r>
      <w:r w:rsidR="000509A0">
        <w:t xml:space="preserve"> i </w:t>
      </w:r>
      <w:r w:rsidR="008F737B">
        <w:t>promjene ponašanja građana te implementiranje održivih</w:t>
      </w:r>
      <w:r w:rsidRPr="00B731C8">
        <w:t xml:space="preserve"> praks</w:t>
      </w:r>
      <w:r w:rsidR="008F737B">
        <w:t>i</w:t>
      </w:r>
      <w:r w:rsidRPr="00B731C8">
        <w:t xml:space="preserve"> upravljanja ili ponašanja potrošača. </w:t>
      </w:r>
    </w:p>
    <w:p w14:paraId="4A0CAEF0" w14:textId="77777777" w:rsidR="00A30383" w:rsidRPr="00B731C8" w:rsidRDefault="00A30383" w:rsidP="00B731C8"/>
    <w:p w14:paraId="1ACABAE0" w14:textId="4AA2F08D" w:rsidR="00C4176C" w:rsidRPr="00922031" w:rsidRDefault="00C4176C" w:rsidP="00801856">
      <w:pPr>
        <w:pStyle w:val="Heading2"/>
        <w:rPr>
          <w:rFonts w:eastAsia="Times New Roman"/>
        </w:rPr>
      </w:pPr>
      <w:bookmarkStart w:id="231" w:name="_Toc4156097"/>
      <w:r w:rsidRPr="00922031">
        <w:rPr>
          <w:rFonts w:eastAsia="Times New Roman"/>
        </w:rPr>
        <w:t>Mjere za smanjenje emisije CO</w:t>
      </w:r>
      <w:r w:rsidRPr="00922031">
        <w:rPr>
          <w:rFonts w:eastAsia="Times New Roman"/>
          <w:vertAlign w:val="subscript"/>
        </w:rPr>
        <w:t>2</w:t>
      </w:r>
      <w:r w:rsidRPr="00922031">
        <w:rPr>
          <w:rFonts w:eastAsia="Times New Roman"/>
        </w:rPr>
        <w:t xml:space="preserve"> iz sektora zgradarstva Grada Zagreba</w:t>
      </w:r>
      <w:bookmarkEnd w:id="230"/>
      <w:bookmarkEnd w:id="231"/>
    </w:p>
    <w:p w14:paraId="6E6FD3A0" w14:textId="77777777" w:rsidR="00C4176C" w:rsidRPr="00922031" w:rsidRDefault="00C4176C" w:rsidP="005808FC">
      <w:pPr>
        <w:spacing w:after="0"/>
      </w:pPr>
      <w:r w:rsidRPr="00291DF5">
        <w:t>U nastavku je dan prikaz mjera z</w:t>
      </w:r>
      <w:r w:rsidRPr="005808FC">
        <w:t>a smanjenje emisije stakleničkih plinova iz sektora zgradarstva Grada Zagreba, pri čemu su mjere podijeljene na sljedeće grupe:</w:t>
      </w:r>
    </w:p>
    <w:p w14:paraId="5316A06D" w14:textId="77777777" w:rsidR="00C4176C" w:rsidRPr="00922031" w:rsidRDefault="00C4176C" w:rsidP="00975CD4">
      <w:pPr>
        <w:spacing w:after="0"/>
        <w:rPr>
          <w:rFonts w:cstheme="minorHAnsi"/>
        </w:rPr>
      </w:pPr>
    </w:p>
    <w:p w14:paraId="261566D1" w14:textId="35498D57" w:rsidR="00C4176C" w:rsidRPr="00922031" w:rsidRDefault="00C4176C" w:rsidP="005808FC">
      <w:pPr>
        <w:pStyle w:val="ListParagraph"/>
        <w:numPr>
          <w:ilvl w:val="0"/>
          <w:numId w:val="19"/>
        </w:numPr>
        <w:spacing w:after="0"/>
      </w:pPr>
      <w:r w:rsidRPr="00291DF5">
        <w:t>Promocija, obrazovanje</w:t>
      </w:r>
      <w:r w:rsidR="000509A0">
        <w:t xml:space="preserve"> i </w:t>
      </w:r>
      <w:r w:rsidRPr="00291DF5">
        <w:t>promjena ponašanja;</w:t>
      </w:r>
    </w:p>
    <w:p w14:paraId="1E162503" w14:textId="77777777" w:rsidR="00C4176C" w:rsidRPr="00922031" w:rsidRDefault="00C4176C" w:rsidP="005808FC">
      <w:pPr>
        <w:pStyle w:val="ListParagraph"/>
        <w:numPr>
          <w:ilvl w:val="0"/>
          <w:numId w:val="19"/>
        </w:numPr>
        <w:spacing w:after="0"/>
      </w:pPr>
      <w:r w:rsidRPr="00291DF5">
        <w:t>Zgrade javne namjene;</w:t>
      </w:r>
    </w:p>
    <w:p w14:paraId="5296A9B3" w14:textId="77777777" w:rsidR="00C4176C" w:rsidRPr="00922031" w:rsidRDefault="00C4176C" w:rsidP="005808FC">
      <w:pPr>
        <w:pStyle w:val="ListParagraph"/>
        <w:numPr>
          <w:ilvl w:val="0"/>
          <w:numId w:val="19"/>
        </w:numPr>
        <w:spacing w:after="0"/>
      </w:pPr>
      <w:r w:rsidRPr="00291DF5">
        <w:t>Stambeni podsektor - kućanstva;</w:t>
      </w:r>
    </w:p>
    <w:p w14:paraId="78F9080C" w14:textId="61C01074" w:rsidR="00DE62D9" w:rsidRDefault="00C4176C" w:rsidP="005808FC">
      <w:pPr>
        <w:pStyle w:val="ListParagraph"/>
        <w:numPr>
          <w:ilvl w:val="0"/>
          <w:numId w:val="19"/>
        </w:numPr>
        <w:spacing w:after="0"/>
      </w:pPr>
      <w:r w:rsidRPr="00291DF5">
        <w:t>Komercijalni</w:t>
      </w:r>
      <w:r w:rsidR="000509A0">
        <w:t xml:space="preserve"> i </w:t>
      </w:r>
      <w:r w:rsidRPr="00291DF5">
        <w:t>uslužni podsektor.</w:t>
      </w:r>
    </w:p>
    <w:p w14:paraId="34475E79" w14:textId="5231C434" w:rsidR="00EA7864" w:rsidRDefault="00EA7864" w:rsidP="00EA7864">
      <w:pPr>
        <w:spacing w:after="0"/>
        <w:rPr>
          <w:rFonts w:cstheme="minorHAnsi"/>
        </w:rPr>
      </w:pPr>
    </w:p>
    <w:p w14:paraId="084B0721" w14:textId="77777777" w:rsidR="00EA7864" w:rsidRPr="005808FC" w:rsidRDefault="00EA7864" w:rsidP="005808FC">
      <w:pPr>
        <w:pStyle w:val="NoSpacing"/>
        <w:spacing w:line="276" w:lineRule="auto"/>
        <w:rPr>
          <w:rFonts w:asciiTheme="minorHAnsi" w:hAnsiTheme="minorHAnsi" w:cstheme="minorBidi"/>
        </w:rPr>
      </w:pPr>
      <w:r w:rsidRPr="00291DF5">
        <w:rPr>
          <w:rFonts w:asciiTheme="minorHAnsi" w:hAnsiTheme="minorHAnsi" w:cstheme="minorBidi"/>
        </w:rPr>
        <w:t>Prioritetne mjere prikazane su u nastavku ovog poglavlja u tabličnom prikazu, pri čemu su svakoj mjeri pridruženi slijedeći parametri:</w:t>
      </w:r>
    </w:p>
    <w:p w14:paraId="346D4431" w14:textId="0A280E1A" w:rsidR="00272584" w:rsidRDefault="00183DC0">
      <w:pPr>
        <w:pStyle w:val="ListParagraph"/>
        <w:numPr>
          <w:ilvl w:val="0"/>
          <w:numId w:val="27"/>
        </w:numPr>
      </w:pPr>
      <w:r>
        <w:t>d</w:t>
      </w:r>
      <w:r w:rsidR="00272584" w:rsidRPr="00291DF5">
        <w:t>ionici uključeni u provedbu aktivnosti;</w:t>
      </w:r>
    </w:p>
    <w:p w14:paraId="415D3E7A" w14:textId="01411BF2" w:rsidR="00EA7864" w:rsidRPr="00922031" w:rsidRDefault="00EA7864">
      <w:pPr>
        <w:pStyle w:val="ListParagraph"/>
        <w:numPr>
          <w:ilvl w:val="0"/>
          <w:numId w:val="27"/>
        </w:numPr>
      </w:pPr>
      <w:r w:rsidRPr="00291DF5">
        <w:t>vremenski okvir provedbe;</w:t>
      </w:r>
    </w:p>
    <w:p w14:paraId="31329EB8" w14:textId="77777777" w:rsidR="00EA7864" w:rsidRPr="00922031" w:rsidRDefault="00EA7864">
      <w:pPr>
        <w:pStyle w:val="ListParagraph"/>
        <w:numPr>
          <w:ilvl w:val="0"/>
          <w:numId w:val="27"/>
        </w:numPr>
      </w:pPr>
      <w:r w:rsidRPr="00291DF5">
        <w:t>tijelo zaduženo za provedbu;</w:t>
      </w:r>
    </w:p>
    <w:p w14:paraId="59AFBBD7" w14:textId="77777777" w:rsidR="00EA7864" w:rsidRPr="00922031" w:rsidRDefault="00EA7864">
      <w:pPr>
        <w:pStyle w:val="ListParagraph"/>
        <w:numPr>
          <w:ilvl w:val="0"/>
          <w:numId w:val="27"/>
        </w:numPr>
      </w:pPr>
      <w:r w:rsidRPr="00291DF5">
        <w:t>procjena očekivanih energetskih ušteda;</w:t>
      </w:r>
    </w:p>
    <w:p w14:paraId="45C612ED" w14:textId="77777777" w:rsidR="00EA7864" w:rsidRPr="00922031" w:rsidRDefault="00EA7864">
      <w:pPr>
        <w:pStyle w:val="ListParagraph"/>
        <w:numPr>
          <w:ilvl w:val="0"/>
          <w:numId w:val="27"/>
        </w:numPr>
      </w:pPr>
      <w:r w:rsidRPr="00291DF5">
        <w:t>procjena smanjenja emisija CO</w:t>
      </w:r>
      <w:r w:rsidRPr="005808FC">
        <w:rPr>
          <w:vertAlign w:val="subscript"/>
        </w:rPr>
        <w:t>2</w:t>
      </w:r>
      <w:r w:rsidRPr="005808FC">
        <w:t>;</w:t>
      </w:r>
    </w:p>
    <w:p w14:paraId="1D8F3AA5" w14:textId="77777777" w:rsidR="00EA7864" w:rsidRPr="00922031" w:rsidRDefault="00EA7864">
      <w:pPr>
        <w:pStyle w:val="ListParagraph"/>
        <w:numPr>
          <w:ilvl w:val="0"/>
          <w:numId w:val="27"/>
        </w:numPr>
      </w:pPr>
      <w:r w:rsidRPr="00291DF5">
        <w:lastRenderedPageBreak/>
        <w:t>mogući izvori sredstava za provedbu;</w:t>
      </w:r>
    </w:p>
    <w:p w14:paraId="1AC980FE" w14:textId="360BA707" w:rsidR="00EA7864" w:rsidRPr="00922031" w:rsidRDefault="00EA7864" w:rsidP="005808FC">
      <w:pPr>
        <w:pStyle w:val="ListParagraph"/>
        <w:numPr>
          <w:ilvl w:val="0"/>
          <w:numId w:val="27"/>
        </w:numPr>
        <w:spacing w:after="0"/>
      </w:pPr>
      <w:r w:rsidRPr="00291DF5">
        <w:t>kratki opis mjere</w:t>
      </w:r>
      <w:r w:rsidR="000509A0">
        <w:t xml:space="preserve"> i </w:t>
      </w:r>
      <w:r w:rsidRPr="00291DF5">
        <w:t>način provedbe.</w:t>
      </w:r>
    </w:p>
    <w:p w14:paraId="3F665AD4" w14:textId="77777777" w:rsidR="00EA7864" w:rsidRPr="00922031" w:rsidRDefault="00EA7864" w:rsidP="00EA7864">
      <w:pPr>
        <w:pStyle w:val="NoSpacing"/>
        <w:spacing w:line="276" w:lineRule="auto"/>
        <w:rPr>
          <w:rFonts w:asciiTheme="minorHAnsi" w:hAnsiTheme="minorHAnsi" w:cstheme="minorHAnsi"/>
        </w:rPr>
      </w:pPr>
    </w:p>
    <w:p w14:paraId="54B74697" w14:textId="781393C7" w:rsidR="00EA7864" w:rsidRPr="005808FC" w:rsidRDefault="00EA7864" w:rsidP="005808FC">
      <w:pPr>
        <w:pStyle w:val="NoSpacing"/>
        <w:spacing w:line="276" w:lineRule="auto"/>
        <w:rPr>
          <w:rFonts w:asciiTheme="minorHAnsi" w:hAnsiTheme="minorHAnsi" w:cstheme="minorBidi"/>
        </w:rPr>
      </w:pPr>
      <w:r w:rsidRPr="00291DF5">
        <w:rPr>
          <w:rFonts w:asciiTheme="minorHAnsi" w:hAnsiTheme="minorHAnsi" w:cstheme="minorBidi"/>
        </w:rPr>
        <w:t xml:space="preserve">Radi bolje </w:t>
      </w:r>
      <w:r w:rsidRPr="005808FC">
        <w:rPr>
          <w:rFonts w:asciiTheme="minorHAnsi" w:hAnsiTheme="minorHAnsi" w:cstheme="minorBidi"/>
        </w:rPr>
        <w:t>preglednosti, svaka mjera prikazana je sažeto u tabličnom prikazu. Mogući izvori sredstava za provedbu svake mjere određeni su temeljem pregleda prikazanog u</w:t>
      </w:r>
      <w:r w:rsidR="00A30383" w:rsidRPr="005808FC">
        <w:rPr>
          <w:rFonts w:asciiTheme="minorHAnsi" w:hAnsiTheme="minorHAnsi" w:cstheme="minorBidi"/>
        </w:rPr>
        <w:t xml:space="preserve"> P</w:t>
      </w:r>
      <w:r w:rsidRPr="005808FC">
        <w:rPr>
          <w:rFonts w:asciiTheme="minorHAnsi" w:hAnsiTheme="minorHAnsi" w:cstheme="minorBidi"/>
        </w:rPr>
        <w:t>oglavlju</w:t>
      </w:r>
      <w:r w:rsidR="00A30383" w:rsidRPr="005808FC">
        <w:rPr>
          <w:rFonts w:asciiTheme="minorHAnsi" w:hAnsiTheme="minorHAnsi" w:cstheme="minorBidi"/>
        </w:rPr>
        <w:t xml:space="preserve"> 11 – Mehanizmi financiranja provedbe akcijskog plana energetski održivog razvitka</w:t>
      </w:r>
      <w:r w:rsidR="000509A0">
        <w:rPr>
          <w:rFonts w:asciiTheme="minorHAnsi" w:hAnsiTheme="minorHAnsi" w:cstheme="minorBidi"/>
        </w:rPr>
        <w:t xml:space="preserve"> i </w:t>
      </w:r>
      <w:r w:rsidR="00A30383" w:rsidRPr="00291DF5">
        <w:rPr>
          <w:rFonts w:asciiTheme="minorHAnsi" w:hAnsiTheme="minorHAnsi" w:cstheme="minorBidi"/>
        </w:rPr>
        <w:t>k</w:t>
      </w:r>
      <w:r w:rsidR="00A30383" w:rsidRPr="005808FC">
        <w:rPr>
          <w:rFonts w:asciiTheme="minorHAnsi" w:hAnsiTheme="minorHAnsi" w:cstheme="minorBidi"/>
        </w:rPr>
        <w:t>limatskih promjena.</w:t>
      </w:r>
      <w:r w:rsidRPr="005808FC">
        <w:rPr>
          <w:rFonts w:asciiTheme="minorHAnsi" w:hAnsiTheme="minorHAnsi" w:cstheme="minorBidi"/>
        </w:rPr>
        <w:t xml:space="preserve"> </w:t>
      </w:r>
    </w:p>
    <w:p w14:paraId="04B6B444" w14:textId="74AE4EAA" w:rsidR="00DE62D9" w:rsidRPr="00922031" w:rsidRDefault="00DE62D9" w:rsidP="00975CD4">
      <w:pPr>
        <w:rPr>
          <w:rFonts w:cstheme="minorHAnsi"/>
        </w:rPr>
      </w:pPr>
    </w:p>
    <w:p w14:paraId="702E4A93" w14:textId="22192A23" w:rsidR="00C4176C" w:rsidRPr="00922031" w:rsidRDefault="00C4176C" w:rsidP="00801856">
      <w:pPr>
        <w:pStyle w:val="Heading3"/>
        <w:rPr>
          <w:rFonts w:eastAsia="Calibri"/>
        </w:rPr>
      </w:pPr>
      <w:bookmarkStart w:id="232" w:name="_Toc4156098"/>
      <w:r w:rsidRPr="00922031">
        <w:rPr>
          <w:rFonts w:eastAsia="Times New Roman"/>
          <w:lang w:eastAsia="hr-HR"/>
        </w:rPr>
        <w:t>Promocija, obrazovanje</w:t>
      </w:r>
      <w:r w:rsidR="000509A0">
        <w:rPr>
          <w:rFonts w:eastAsia="Times New Roman"/>
          <w:lang w:eastAsia="hr-HR"/>
        </w:rPr>
        <w:t xml:space="preserve"> i </w:t>
      </w:r>
      <w:r w:rsidRPr="00922031">
        <w:rPr>
          <w:rFonts w:eastAsia="Times New Roman"/>
          <w:lang w:eastAsia="hr-HR"/>
        </w:rPr>
        <w:t>promjena ponašanja</w:t>
      </w:r>
      <w:bookmarkEnd w:id="232"/>
    </w:p>
    <w:p w14:paraId="1E946BA5" w14:textId="5FDC1CE5" w:rsidR="00D43D20" w:rsidRPr="00922031" w:rsidRDefault="00D43D20">
      <w:r w:rsidRPr="00291DF5">
        <w:t>Sve aktivnosti</w:t>
      </w:r>
      <w:r w:rsidR="000509A0">
        <w:t xml:space="preserve"> i </w:t>
      </w:r>
      <w:r w:rsidRPr="00291DF5">
        <w:t>mjere koje se planiraju provesti u okviru SECAP-a usmjerene su prema boljitku zajednice</w:t>
      </w:r>
      <w:r w:rsidR="000509A0">
        <w:t xml:space="preserve"> i </w:t>
      </w:r>
      <w:r w:rsidRPr="00291DF5">
        <w:t>stanovništva kao krajnjeg korisnika. Kako bi mjere zaživjele</w:t>
      </w:r>
      <w:r w:rsidR="000509A0">
        <w:t xml:space="preserve"> i </w:t>
      </w:r>
      <w:r w:rsidRPr="00291DF5">
        <w:t>projekti razvijeni u okviru tih mjera postigli uspjeh, važno je da oni budu prepoznati</w:t>
      </w:r>
      <w:r w:rsidR="000509A0">
        <w:t xml:space="preserve"> i </w:t>
      </w:r>
      <w:r w:rsidRPr="00291DF5">
        <w:t>prihvaćeni od strane zajednice. Iz tog razloga izraziti napori</w:t>
      </w:r>
      <w:r w:rsidR="000509A0">
        <w:t xml:space="preserve"> i </w:t>
      </w:r>
      <w:r w:rsidRPr="00291DF5">
        <w:t>sredstva ulažu u aktivnosti promocije, edukacije</w:t>
      </w:r>
      <w:r w:rsidR="000509A0">
        <w:t xml:space="preserve"> i </w:t>
      </w:r>
      <w:r w:rsidRPr="00291DF5">
        <w:t>podizanja svijesti o pitanjima iz područja</w:t>
      </w:r>
      <w:r w:rsidRPr="005808FC">
        <w:t xml:space="preserve"> energetske učinkovitosti, održivog razvoja</w:t>
      </w:r>
      <w:r w:rsidR="000509A0">
        <w:t xml:space="preserve"> i </w:t>
      </w:r>
      <w:r w:rsidRPr="00291DF5">
        <w:t xml:space="preserve">klimatskih promjena. </w:t>
      </w:r>
    </w:p>
    <w:p w14:paraId="3EF25ABB" w14:textId="3E13F3AE" w:rsidR="00D43D20" w:rsidRPr="00922031" w:rsidRDefault="00D43D20">
      <w:r w:rsidRPr="00291DF5">
        <w:t>Takvi se programi razvijaju kao preduvjeti za implementaciju projekata</w:t>
      </w:r>
      <w:r w:rsidR="000509A0">
        <w:t xml:space="preserve"> i </w:t>
      </w:r>
      <w:r w:rsidRPr="00291DF5">
        <w:t xml:space="preserve">zahvata u prostoru radi neutraliziranja rizika vezanog uz tzv. NIMBY efekt (engl. </w:t>
      </w:r>
      <w:r w:rsidRPr="00291DF5">
        <w:rPr>
          <w:i/>
          <w:iCs/>
        </w:rPr>
        <w:t>''not in my back yard''</w:t>
      </w:r>
      <w:r w:rsidRPr="00291DF5">
        <w:t>)</w:t>
      </w:r>
      <w:r w:rsidR="000509A0">
        <w:t xml:space="preserve"> i </w:t>
      </w:r>
      <w:r w:rsidRPr="00291DF5">
        <w:t>uključivanja raznih sudionika u procese planiranja</w:t>
      </w:r>
      <w:r w:rsidR="000509A0">
        <w:t xml:space="preserve"> i </w:t>
      </w:r>
      <w:r w:rsidRPr="00291DF5">
        <w:t>pripreme za projekt. Važno je čim bolje obuhvatiti skupine stanovništva na koje projekt utječe te omogućiti izmjenu iskustava</w:t>
      </w:r>
      <w:r w:rsidR="000509A0">
        <w:t xml:space="preserve"> i </w:t>
      </w:r>
      <w:r w:rsidRPr="00291DF5">
        <w:t xml:space="preserve">znanja. </w:t>
      </w:r>
    </w:p>
    <w:p w14:paraId="728F7DD7" w14:textId="02919DFF" w:rsidR="00D43D20" w:rsidRPr="00922031" w:rsidRDefault="00D43D20">
      <w:r w:rsidRPr="00291DF5">
        <w:t xml:space="preserve">Prilikom pokretanja projekta je izrazito važno uključiti </w:t>
      </w:r>
      <w:r w:rsidRPr="005808FC">
        <w:t>krajnje nositelje promjena kako bi bili upoznati s važnošću</w:t>
      </w:r>
      <w:r w:rsidR="000509A0">
        <w:t xml:space="preserve"> i </w:t>
      </w:r>
      <w:r w:rsidR="00A30383" w:rsidRPr="00291DF5">
        <w:t>krajnjim</w:t>
      </w:r>
      <w:r w:rsidRPr="005808FC">
        <w:t xml:space="preserve"> ciljem projekta. U nekim slučajevima to znači razvoj promotivnih kampanji</w:t>
      </w:r>
      <w:r w:rsidR="000509A0">
        <w:t xml:space="preserve"> i </w:t>
      </w:r>
      <w:r w:rsidRPr="00291DF5">
        <w:t>adresiranje stanovnika, dok u drugim slučajevima znači fokusiranje na zaposlenike određenog poslovnog s</w:t>
      </w:r>
      <w:r w:rsidRPr="005808FC">
        <w:t>ubjekta unutar kojeg želimo unijeti promjenu.</w:t>
      </w:r>
    </w:p>
    <w:p w14:paraId="05DB8D02" w14:textId="4A9BA0B1" w:rsidR="00D43D20" w:rsidRPr="00922031" w:rsidRDefault="00D43D20">
      <w:r w:rsidRPr="00291DF5">
        <w:t>Projekti edukacije u vidu razvoja edukativnih programa omogućavaju razvoj</w:t>
      </w:r>
      <w:r w:rsidR="000509A0">
        <w:t xml:space="preserve"> i </w:t>
      </w:r>
      <w:r w:rsidRPr="00291DF5">
        <w:t>širenje tržišta radi osposobljavanja novih generacija stručnjaka iz područja energetske učinkovitosti koji mogu ponuditi svoje uslu</w:t>
      </w:r>
      <w:r w:rsidRPr="005808FC">
        <w:t>ge. Na taj se način katalizira tranzicija u održivo društvo – pojavom</w:t>
      </w:r>
      <w:r w:rsidR="000509A0">
        <w:t xml:space="preserve"> i </w:t>
      </w:r>
      <w:r w:rsidRPr="00291DF5">
        <w:t>ponudom novih znanja</w:t>
      </w:r>
      <w:r w:rsidR="000509A0">
        <w:t xml:space="preserve"> i </w:t>
      </w:r>
      <w:r w:rsidRPr="00291DF5">
        <w:t>obrta.</w:t>
      </w:r>
    </w:p>
    <w:p w14:paraId="52BD286B" w14:textId="0AA6D591" w:rsidR="00C4176C" w:rsidRDefault="00D43D20">
      <w:r w:rsidRPr="00291DF5">
        <w:t>SECAP Grada Zagreba se u vidu umanjenja utjecaja klimatskih promjena orijentira na mjere obrazovanja</w:t>
      </w:r>
      <w:r w:rsidR="000509A0">
        <w:t xml:space="preserve"> i </w:t>
      </w:r>
      <w:r w:rsidRPr="00291DF5">
        <w:t xml:space="preserve">promocije energetske </w:t>
      </w:r>
      <w:r w:rsidRPr="005808FC">
        <w:t>učinkovitosti za građane</w:t>
      </w:r>
      <w:r w:rsidR="000509A0">
        <w:t xml:space="preserve"> i </w:t>
      </w:r>
      <w:r w:rsidRPr="00291DF5">
        <w:t>integriranje energetskog</w:t>
      </w:r>
      <w:r w:rsidR="000509A0">
        <w:t xml:space="preserve"> i </w:t>
      </w:r>
      <w:r w:rsidRPr="00291DF5">
        <w:t xml:space="preserve">urbanog planiranja kao potpore procesu dekarbonizacije. </w:t>
      </w:r>
    </w:p>
    <w:p w14:paraId="3C781C2F" w14:textId="1C8F2609" w:rsidR="000509A0" w:rsidRDefault="000509A0">
      <w:pPr>
        <w:rPr>
          <w:rFonts w:eastAsia="Calibri"/>
        </w:rPr>
      </w:pPr>
      <w:r w:rsidRPr="007C64C8">
        <w:rPr>
          <w:rFonts w:eastAsia="Calibri"/>
        </w:rPr>
        <w:t>Prema Pravilniku o Sustavu za praćenje, mjerenje</w:t>
      </w:r>
      <w:r>
        <w:rPr>
          <w:rFonts w:eastAsia="Calibri"/>
        </w:rPr>
        <w:t xml:space="preserve"> i </w:t>
      </w:r>
      <w:r w:rsidRPr="007C64C8">
        <w:rPr>
          <w:rFonts w:eastAsia="Calibri"/>
        </w:rPr>
        <w:t>verifikaciju ušteda energije na temelju ov</w:t>
      </w:r>
      <w:r>
        <w:rPr>
          <w:rFonts w:eastAsia="Calibri"/>
        </w:rPr>
        <w:t>ih</w:t>
      </w:r>
      <w:r w:rsidRPr="007C64C8">
        <w:rPr>
          <w:rFonts w:eastAsia="Calibri"/>
        </w:rPr>
        <w:t xml:space="preserve"> mjer</w:t>
      </w:r>
      <w:r>
        <w:rPr>
          <w:rFonts w:eastAsia="Calibri"/>
        </w:rPr>
        <w:t>a</w:t>
      </w:r>
      <w:r w:rsidRPr="007C64C8">
        <w:rPr>
          <w:rFonts w:eastAsia="Calibri"/>
        </w:rPr>
        <w:t xml:space="preserve"> se ne proračunavaju uštede energije</w:t>
      </w:r>
      <w:r w:rsidRPr="00271FE8">
        <w:rPr>
          <w:rFonts w:ascii="Century Gothic" w:eastAsia="Calibri" w:hAnsi="Century Gothic" w:cs="Times New Roman"/>
          <w:sz w:val="18"/>
          <w:szCs w:val="18"/>
        </w:rPr>
        <w:t>.</w:t>
      </w:r>
      <w:r w:rsidRPr="000509A0">
        <w:rPr>
          <w:rFonts w:eastAsia="Calibri"/>
        </w:rPr>
        <w:t xml:space="preserve"> </w:t>
      </w:r>
      <w:r w:rsidRPr="007C64C8">
        <w:rPr>
          <w:rFonts w:eastAsia="Calibri"/>
        </w:rPr>
        <w:t>Međutim, pojedina literatura, kao</w:t>
      </w:r>
      <w:r>
        <w:rPr>
          <w:rFonts w:eastAsia="Calibri"/>
        </w:rPr>
        <w:t xml:space="preserve"> i </w:t>
      </w:r>
      <w:r w:rsidRPr="007C64C8">
        <w:rPr>
          <w:rFonts w:eastAsia="Calibri"/>
        </w:rPr>
        <w:t xml:space="preserve">smjernice Sporazuma gradonačelnika predviđaju da upravo ove mjere donose dodatne uštede do čak 5% </w:t>
      </w:r>
      <w:r>
        <w:rPr>
          <w:rFonts w:eastAsia="Calibri"/>
        </w:rPr>
        <w:t xml:space="preserve">godišnje </w:t>
      </w:r>
      <w:r w:rsidRPr="007C64C8">
        <w:rPr>
          <w:rFonts w:eastAsia="Calibri"/>
        </w:rPr>
        <w:t>u odnosu na prethodnu potrošnju energije.</w:t>
      </w:r>
    </w:p>
    <w:p w14:paraId="7B6B57B2" w14:textId="77777777" w:rsidR="000509A0" w:rsidRDefault="000509A0">
      <w:pPr>
        <w:jc w:val="left"/>
        <w:rPr>
          <w:rFonts w:eastAsia="Calibri"/>
        </w:rPr>
      </w:pPr>
      <w:r>
        <w:rPr>
          <w:rFonts w:eastAsia="Calibri"/>
        </w:rPr>
        <w:br w:type="page"/>
      </w:r>
    </w:p>
    <w:p w14:paraId="6291EFC3" w14:textId="77777777" w:rsidR="00F62CC9" w:rsidRPr="00282B4B" w:rsidRDefault="00F62CC9" w:rsidP="00F62CC9">
      <w:pPr>
        <w:spacing w:after="0" w:line="240" w:lineRule="auto"/>
        <w:rPr>
          <w:rFonts w:ascii="Century Gothic" w:eastAsia="Calibri" w:hAnsi="Century Gothic"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5"/>
        <w:gridCol w:w="5220"/>
      </w:tblGrid>
      <w:tr w:rsidR="00F62CC9" w:rsidRPr="00282B4B" w14:paraId="441DE65A" w14:textId="77777777" w:rsidTr="005808FC">
        <w:trPr>
          <w:trHeight w:val="227"/>
        </w:trPr>
        <w:tc>
          <w:tcPr>
            <w:tcW w:w="3775" w:type="dxa"/>
            <w:shd w:val="clear" w:color="auto" w:fill="C6D9F1" w:themeFill="text2" w:themeFillTint="33"/>
          </w:tcPr>
          <w:p w14:paraId="13A8054D" w14:textId="77777777" w:rsidR="00F62CC9" w:rsidRPr="005808FC" w:rsidRDefault="00F62CC9" w:rsidP="005808FC">
            <w:pPr>
              <w:spacing w:after="0" w:line="240" w:lineRule="auto"/>
              <w:rPr>
                <w:rFonts w:eastAsia="Calibri"/>
                <w:b/>
                <w:bCs/>
              </w:rPr>
            </w:pPr>
            <w:r w:rsidRPr="00291DF5">
              <w:rPr>
                <w:rFonts w:eastAsia="Calibri"/>
                <w:b/>
                <w:bCs/>
              </w:rPr>
              <w:t>Redni broj mjere</w:t>
            </w:r>
          </w:p>
        </w:tc>
        <w:tc>
          <w:tcPr>
            <w:tcW w:w="5220" w:type="dxa"/>
            <w:shd w:val="clear" w:color="auto" w:fill="C6D9F1" w:themeFill="text2" w:themeFillTint="33"/>
          </w:tcPr>
          <w:p w14:paraId="2FE01F4F" w14:textId="77777777" w:rsidR="00F62CC9" w:rsidRPr="005808FC" w:rsidRDefault="00F62CC9" w:rsidP="005808FC">
            <w:pPr>
              <w:spacing w:after="0" w:line="240" w:lineRule="auto"/>
              <w:rPr>
                <w:rFonts w:eastAsia="Calibri"/>
                <w:b/>
                <w:bCs/>
              </w:rPr>
            </w:pPr>
            <w:r w:rsidRPr="00291DF5">
              <w:rPr>
                <w:rFonts w:eastAsia="Calibri"/>
                <w:b/>
                <w:bCs/>
              </w:rPr>
              <w:t>1</w:t>
            </w:r>
          </w:p>
        </w:tc>
      </w:tr>
      <w:tr w:rsidR="00F62CC9" w:rsidRPr="00282B4B" w14:paraId="7F4DA99B" w14:textId="77777777" w:rsidTr="005808FC">
        <w:trPr>
          <w:trHeight w:val="227"/>
        </w:trPr>
        <w:tc>
          <w:tcPr>
            <w:tcW w:w="3775" w:type="dxa"/>
            <w:shd w:val="clear" w:color="auto" w:fill="C6D9F1" w:themeFill="text2" w:themeFillTint="33"/>
          </w:tcPr>
          <w:p w14:paraId="4A1ADD91" w14:textId="77777777" w:rsidR="00F62CC9" w:rsidRPr="005808FC" w:rsidRDefault="00F62CC9" w:rsidP="005808FC">
            <w:pPr>
              <w:spacing w:after="0" w:line="240" w:lineRule="auto"/>
              <w:rPr>
                <w:rFonts w:eastAsia="Calibri"/>
                <w:b/>
                <w:bCs/>
              </w:rPr>
            </w:pPr>
            <w:r w:rsidRPr="00291DF5">
              <w:rPr>
                <w:rFonts w:eastAsia="Calibri"/>
              </w:rPr>
              <w:br w:type="page"/>
            </w:r>
            <w:r w:rsidRPr="005808FC">
              <w:rPr>
                <w:rFonts w:eastAsia="Calibri"/>
                <w:b/>
                <w:bCs/>
              </w:rPr>
              <w:t>Ime mjere/aktivnost</w:t>
            </w:r>
          </w:p>
        </w:tc>
        <w:tc>
          <w:tcPr>
            <w:tcW w:w="5220" w:type="dxa"/>
            <w:shd w:val="clear" w:color="auto" w:fill="C6D9F1" w:themeFill="text2" w:themeFillTint="33"/>
          </w:tcPr>
          <w:p w14:paraId="03B2D979" w14:textId="1DC313A4" w:rsidR="00F62CC9" w:rsidRPr="005808FC" w:rsidRDefault="00F62CC9" w:rsidP="005808FC">
            <w:pPr>
              <w:spacing w:after="0" w:line="240" w:lineRule="auto"/>
              <w:jc w:val="left"/>
              <w:rPr>
                <w:rFonts w:eastAsia="Calibri"/>
                <w:b/>
                <w:bCs/>
              </w:rPr>
            </w:pPr>
            <w:r w:rsidRPr="00291DF5">
              <w:rPr>
                <w:rFonts w:eastAsia="Calibri"/>
                <w:b/>
                <w:bCs/>
              </w:rPr>
              <w:t>Obrazovanje</w:t>
            </w:r>
            <w:r w:rsidR="000509A0">
              <w:rPr>
                <w:rFonts w:eastAsia="Calibri"/>
                <w:b/>
                <w:bCs/>
              </w:rPr>
              <w:t xml:space="preserve"> i </w:t>
            </w:r>
            <w:r w:rsidRPr="00291DF5">
              <w:rPr>
                <w:rFonts w:eastAsia="Calibri"/>
                <w:b/>
                <w:bCs/>
              </w:rPr>
              <w:t>promocija energetske učinkovitosti</w:t>
            </w:r>
            <w:r w:rsidR="000509A0">
              <w:rPr>
                <w:rFonts w:eastAsia="Calibri"/>
                <w:b/>
                <w:bCs/>
              </w:rPr>
              <w:t xml:space="preserve"> i </w:t>
            </w:r>
            <w:r w:rsidRPr="00291DF5">
              <w:rPr>
                <w:rFonts w:eastAsia="Calibri"/>
                <w:b/>
                <w:bCs/>
              </w:rPr>
              <w:t>informiranje o učincima klimatskih promjena za građane</w:t>
            </w:r>
          </w:p>
        </w:tc>
      </w:tr>
      <w:tr w:rsidR="00F62CC9" w:rsidRPr="00282B4B" w14:paraId="610C4526" w14:textId="77777777" w:rsidTr="005808FC">
        <w:trPr>
          <w:trHeight w:val="227"/>
        </w:trPr>
        <w:tc>
          <w:tcPr>
            <w:tcW w:w="3775" w:type="dxa"/>
            <w:shd w:val="clear" w:color="auto" w:fill="F2DBDB" w:themeFill="accent2" w:themeFillTint="33"/>
          </w:tcPr>
          <w:p w14:paraId="6170976B" w14:textId="77777777" w:rsidR="00F62CC9" w:rsidRPr="005808FC" w:rsidRDefault="00F62CC9" w:rsidP="005808FC">
            <w:pPr>
              <w:spacing w:line="240" w:lineRule="auto"/>
              <w:rPr>
                <w:b/>
                <w:bCs/>
              </w:rPr>
            </w:pPr>
            <w:r w:rsidRPr="00291DF5">
              <w:rPr>
                <w:b/>
                <w:bCs/>
              </w:rPr>
              <w:t>Nositelj aktivnosti :</w:t>
            </w:r>
          </w:p>
        </w:tc>
        <w:tc>
          <w:tcPr>
            <w:tcW w:w="5220" w:type="dxa"/>
          </w:tcPr>
          <w:p w14:paraId="0910B569" w14:textId="5FD53F70" w:rsidR="00F62CC9" w:rsidRPr="00282B4B" w:rsidRDefault="00F62CC9" w:rsidP="00271FE8">
            <w:pPr>
              <w:numPr>
                <w:ilvl w:val="0"/>
                <w:numId w:val="9"/>
              </w:numPr>
              <w:spacing w:after="0" w:line="240" w:lineRule="auto"/>
              <w:ind w:left="482" w:hanging="357"/>
            </w:pPr>
            <w:r w:rsidRPr="00282B4B">
              <w:t>Gradski ured za gospodarstvo, energetiku</w:t>
            </w:r>
            <w:r w:rsidR="000509A0">
              <w:t xml:space="preserve"> i </w:t>
            </w:r>
            <w:r w:rsidRPr="00282B4B">
              <w:t>zaštitu okoliša</w:t>
            </w:r>
          </w:p>
        </w:tc>
      </w:tr>
      <w:tr w:rsidR="00F62CC9" w:rsidRPr="00282B4B" w14:paraId="1CE275E1" w14:textId="77777777" w:rsidTr="005808FC">
        <w:trPr>
          <w:trHeight w:val="989"/>
        </w:trPr>
        <w:tc>
          <w:tcPr>
            <w:tcW w:w="3775" w:type="dxa"/>
            <w:shd w:val="clear" w:color="auto" w:fill="F2DBDB" w:themeFill="accent2" w:themeFillTint="33"/>
          </w:tcPr>
          <w:p w14:paraId="2EC5B200" w14:textId="77777777" w:rsidR="00F62CC9" w:rsidRPr="005808FC" w:rsidRDefault="00F62CC9" w:rsidP="005808FC">
            <w:pPr>
              <w:spacing w:line="240" w:lineRule="auto"/>
              <w:rPr>
                <w:b/>
                <w:bCs/>
              </w:rPr>
            </w:pPr>
            <w:r w:rsidRPr="00291DF5">
              <w:rPr>
                <w:b/>
                <w:bCs/>
              </w:rPr>
              <w:t xml:space="preserve">Partneri u provođenju </w:t>
            </w:r>
            <w:r w:rsidRPr="005808FC">
              <w:rPr>
                <w:b/>
                <w:bCs/>
              </w:rPr>
              <w:t>aktivnosti:</w:t>
            </w:r>
          </w:p>
        </w:tc>
        <w:tc>
          <w:tcPr>
            <w:tcW w:w="5220" w:type="dxa"/>
          </w:tcPr>
          <w:p w14:paraId="714A72C1" w14:textId="12EF82C2" w:rsidR="00F62CC9" w:rsidRPr="00282B4B" w:rsidRDefault="00F62CC9" w:rsidP="00BF405C">
            <w:pPr>
              <w:numPr>
                <w:ilvl w:val="0"/>
                <w:numId w:val="9"/>
              </w:numPr>
              <w:spacing w:after="0" w:line="240" w:lineRule="auto"/>
              <w:ind w:left="482" w:hanging="357"/>
            </w:pPr>
            <w:r w:rsidRPr="00282B4B">
              <w:t>Gradski uredi, zavodi</w:t>
            </w:r>
            <w:r w:rsidR="000509A0">
              <w:t xml:space="preserve"> i </w:t>
            </w:r>
            <w:r w:rsidRPr="00282B4B">
              <w:t>službe</w:t>
            </w:r>
          </w:p>
          <w:p w14:paraId="50213E43" w14:textId="2C65CBBE" w:rsidR="00F62CC9" w:rsidRPr="00282B4B" w:rsidRDefault="00F62CC9" w:rsidP="00BF405C">
            <w:pPr>
              <w:numPr>
                <w:ilvl w:val="0"/>
                <w:numId w:val="9"/>
              </w:numPr>
              <w:spacing w:after="0" w:line="240" w:lineRule="auto"/>
              <w:ind w:left="482" w:hanging="357"/>
            </w:pPr>
            <w:r w:rsidRPr="00282B4B">
              <w:t>Zagrebački holding</w:t>
            </w:r>
            <w:r w:rsidR="0018120D">
              <w:t xml:space="preserve"> </w:t>
            </w:r>
            <w:r w:rsidRPr="00282B4B">
              <w:t>d.o.o.</w:t>
            </w:r>
          </w:p>
          <w:p w14:paraId="11E51850" w14:textId="59EBEFDC" w:rsidR="00F62CC9" w:rsidRPr="00282B4B" w:rsidDel="00436CBA" w:rsidRDefault="00F62CC9" w:rsidP="00271FE8">
            <w:pPr>
              <w:numPr>
                <w:ilvl w:val="0"/>
                <w:numId w:val="9"/>
              </w:numPr>
              <w:spacing w:after="0" w:line="240" w:lineRule="auto"/>
              <w:ind w:left="482" w:hanging="357"/>
            </w:pPr>
            <w:r w:rsidRPr="00282B4B">
              <w:t>REGEA</w:t>
            </w:r>
          </w:p>
        </w:tc>
      </w:tr>
      <w:tr w:rsidR="00F62CC9" w:rsidRPr="00282B4B" w14:paraId="2F50ED0B" w14:textId="77777777" w:rsidTr="005808FC">
        <w:trPr>
          <w:trHeight w:val="227"/>
        </w:trPr>
        <w:tc>
          <w:tcPr>
            <w:tcW w:w="3775" w:type="dxa"/>
            <w:shd w:val="clear" w:color="auto" w:fill="F2DBDB" w:themeFill="accent2" w:themeFillTint="33"/>
          </w:tcPr>
          <w:p w14:paraId="36D0F0C9" w14:textId="77777777" w:rsidR="00F62CC9" w:rsidRPr="005808FC" w:rsidRDefault="00F62CC9" w:rsidP="005808FC">
            <w:pPr>
              <w:spacing w:line="240" w:lineRule="auto"/>
              <w:rPr>
                <w:b/>
                <w:bCs/>
              </w:rPr>
            </w:pPr>
            <w:r w:rsidRPr="00291DF5">
              <w:rPr>
                <w:b/>
                <w:bCs/>
              </w:rPr>
              <w:t>Ostali uključeni dionici:</w:t>
            </w:r>
          </w:p>
        </w:tc>
        <w:tc>
          <w:tcPr>
            <w:tcW w:w="5220" w:type="dxa"/>
          </w:tcPr>
          <w:p w14:paraId="08B223C4" w14:textId="77777777" w:rsidR="00F62CC9" w:rsidRPr="00282B4B" w:rsidRDefault="00F62CC9" w:rsidP="00BF405C">
            <w:pPr>
              <w:numPr>
                <w:ilvl w:val="0"/>
                <w:numId w:val="9"/>
              </w:numPr>
              <w:spacing w:after="0" w:line="240" w:lineRule="auto"/>
              <w:ind w:left="482" w:hanging="357"/>
            </w:pPr>
            <w:r w:rsidRPr="00282B4B">
              <w:t>Udruge civilnog društva</w:t>
            </w:r>
          </w:p>
          <w:p w14:paraId="3512DA64" w14:textId="09780281" w:rsidR="00F62CC9" w:rsidRPr="00282B4B" w:rsidRDefault="00F62CC9" w:rsidP="00BF405C">
            <w:pPr>
              <w:numPr>
                <w:ilvl w:val="0"/>
                <w:numId w:val="9"/>
              </w:numPr>
              <w:spacing w:after="0" w:line="240" w:lineRule="auto"/>
              <w:ind w:left="482" w:hanging="357"/>
            </w:pPr>
            <w:r w:rsidRPr="00282B4B">
              <w:t>Fond za zaštitu okoliša</w:t>
            </w:r>
            <w:r w:rsidR="000509A0">
              <w:t xml:space="preserve"> i </w:t>
            </w:r>
            <w:r w:rsidRPr="00282B4B">
              <w:t>energetsku učinkovitost</w:t>
            </w:r>
          </w:p>
        </w:tc>
      </w:tr>
      <w:tr w:rsidR="00F62CC9" w:rsidRPr="00282B4B" w14:paraId="26AB930A" w14:textId="77777777" w:rsidTr="005808FC">
        <w:trPr>
          <w:trHeight w:val="227"/>
        </w:trPr>
        <w:tc>
          <w:tcPr>
            <w:tcW w:w="3775" w:type="dxa"/>
            <w:shd w:val="clear" w:color="auto" w:fill="F2DBDB" w:themeFill="accent2" w:themeFillTint="33"/>
          </w:tcPr>
          <w:p w14:paraId="4EA29A1C" w14:textId="77777777" w:rsidR="00F62CC9" w:rsidRPr="005808FC" w:rsidRDefault="00F62CC9" w:rsidP="005808FC">
            <w:pPr>
              <w:spacing w:line="240" w:lineRule="auto"/>
              <w:rPr>
                <w:b/>
                <w:bCs/>
              </w:rPr>
            </w:pPr>
            <w:r w:rsidRPr="00291DF5">
              <w:rPr>
                <w:b/>
                <w:bCs/>
              </w:rPr>
              <w:t>Početak/kraj provedbe (godine)</w:t>
            </w:r>
          </w:p>
        </w:tc>
        <w:tc>
          <w:tcPr>
            <w:tcW w:w="5220" w:type="dxa"/>
          </w:tcPr>
          <w:p w14:paraId="4EFEF937" w14:textId="77777777" w:rsidR="00F62CC9" w:rsidRPr="005808FC" w:rsidRDefault="00F62CC9" w:rsidP="005808FC">
            <w:pPr>
              <w:spacing w:after="0" w:line="240" w:lineRule="auto"/>
              <w:rPr>
                <w:rFonts w:eastAsia="Calibri"/>
                <w:b/>
              </w:rPr>
            </w:pPr>
            <w:r w:rsidRPr="005808FC">
              <w:rPr>
                <w:rFonts w:eastAsia="Calibri"/>
                <w:b/>
              </w:rPr>
              <w:t>Kontinuirano tijekom cijelog razdoblja</w:t>
            </w:r>
          </w:p>
        </w:tc>
      </w:tr>
      <w:tr w:rsidR="00271FE8" w:rsidRPr="00282B4B" w14:paraId="3DD2B593" w14:textId="77777777" w:rsidTr="005808FC">
        <w:trPr>
          <w:trHeight w:val="227"/>
        </w:trPr>
        <w:tc>
          <w:tcPr>
            <w:tcW w:w="3775" w:type="dxa"/>
            <w:shd w:val="clear" w:color="auto" w:fill="F2DBDB" w:themeFill="accent2" w:themeFillTint="33"/>
          </w:tcPr>
          <w:p w14:paraId="117097C6" w14:textId="77777777" w:rsidR="00271FE8" w:rsidRPr="005808FC" w:rsidRDefault="00271FE8" w:rsidP="005808FC">
            <w:pPr>
              <w:spacing w:line="240" w:lineRule="auto"/>
              <w:rPr>
                <w:b/>
                <w:bCs/>
              </w:rPr>
            </w:pPr>
            <w:r w:rsidRPr="00291DF5">
              <w:rPr>
                <w:b/>
                <w:bCs/>
              </w:rPr>
              <w:t>Procjena uštede (MWh)</w:t>
            </w:r>
          </w:p>
        </w:tc>
        <w:tc>
          <w:tcPr>
            <w:tcW w:w="5220" w:type="dxa"/>
            <w:vMerge w:val="restart"/>
          </w:tcPr>
          <w:p w14:paraId="277B3CA8" w14:textId="5C04C0EA" w:rsidR="00271FE8" w:rsidRPr="005808FC" w:rsidRDefault="00271FE8" w:rsidP="00BF405C">
            <w:pPr>
              <w:spacing w:after="0" w:line="240" w:lineRule="auto"/>
              <w:rPr>
                <w:rFonts w:ascii="Century Gothic" w:eastAsia="Calibri" w:hAnsi="Century Gothic" w:cs="Times New Roman"/>
                <w:b/>
                <w:sz w:val="18"/>
                <w:szCs w:val="18"/>
              </w:rPr>
            </w:pPr>
            <w:r w:rsidRPr="005808FC">
              <w:rPr>
                <w:rFonts w:eastAsia="Calibri"/>
                <w:b/>
              </w:rPr>
              <w:t>Prema Pravilniku o Sustavu za praćenje, mjerenje</w:t>
            </w:r>
            <w:r w:rsidR="000509A0">
              <w:rPr>
                <w:rFonts w:eastAsia="Calibri"/>
                <w:b/>
              </w:rPr>
              <w:t xml:space="preserve"> i </w:t>
            </w:r>
            <w:r w:rsidRPr="005808FC">
              <w:rPr>
                <w:rFonts w:eastAsia="Calibri"/>
                <w:b/>
              </w:rPr>
              <w:t>verifikaciju ušteda energije na temelju ove mjere se ne proračunavaju uštede energije</w:t>
            </w:r>
            <w:r w:rsidRPr="005808FC">
              <w:rPr>
                <w:rFonts w:ascii="Century Gothic" w:eastAsia="Calibri" w:hAnsi="Century Gothic" w:cs="Times New Roman"/>
                <w:b/>
                <w:sz w:val="18"/>
                <w:szCs w:val="18"/>
              </w:rPr>
              <w:t>.</w:t>
            </w:r>
          </w:p>
        </w:tc>
      </w:tr>
      <w:tr w:rsidR="00271FE8" w:rsidRPr="00282B4B" w14:paraId="784812AC" w14:textId="77777777" w:rsidTr="005808FC">
        <w:trPr>
          <w:trHeight w:val="227"/>
        </w:trPr>
        <w:tc>
          <w:tcPr>
            <w:tcW w:w="3775" w:type="dxa"/>
            <w:shd w:val="clear" w:color="auto" w:fill="F2DBDB" w:themeFill="accent2" w:themeFillTint="33"/>
          </w:tcPr>
          <w:p w14:paraId="578C9940" w14:textId="19ABF759" w:rsidR="00271FE8" w:rsidRPr="005808FC" w:rsidRDefault="00271FE8" w:rsidP="005808FC">
            <w:pPr>
              <w:spacing w:line="240" w:lineRule="auto"/>
              <w:rPr>
                <w:b/>
                <w:bCs/>
              </w:rPr>
            </w:pPr>
            <w:r w:rsidRPr="00291DF5">
              <w:rPr>
                <w:b/>
                <w:bCs/>
              </w:rPr>
              <w:t>Procjena smanjenja emisije</w:t>
            </w:r>
            <w:r w:rsidR="00AA6D1C" w:rsidRPr="005808FC">
              <w:rPr>
                <w:b/>
                <w:bCs/>
              </w:rPr>
              <w:t xml:space="preserve"> </w:t>
            </w:r>
            <w:r w:rsidRPr="005808FC">
              <w:rPr>
                <w:b/>
                <w:bCs/>
              </w:rPr>
              <w:t>(t CO2eq)</w:t>
            </w:r>
          </w:p>
        </w:tc>
        <w:tc>
          <w:tcPr>
            <w:tcW w:w="5220" w:type="dxa"/>
            <w:vMerge/>
          </w:tcPr>
          <w:p w14:paraId="47E005B7" w14:textId="77777777" w:rsidR="00271FE8" w:rsidRPr="00282B4B" w:rsidRDefault="00271FE8" w:rsidP="00BF405C">
            <w:pPr>
              <w:spacing w:after="0" w:line="240" w:lineRule="auto"/>
              <w:rPr>
                <w:rFonts w:ascii="Century Gothic" w:eastAsia="Calibri" w:hAnsi="Century Gothic" w:cs="Times New Roman"/>
                <w:sz w:val="18"/>
                <w:szCs w:val="18"/>
              </w:rPr>
            </w:pPr>
          </w:p>
        </w:tc>
      </w:tr>
      <w:tr w:rsidR="00F62CC9" w:rsidRPr="00282B4B" w14:paraId="5545EB86" w14:textId="77777777" w:rsidTr="005808FC">
        <w:trPr>
          <w:trHeight w:val="227"/>
        </w:trPr>
        <w:tc>
          <w:tcPr>
            <w:tcW w:w="3775" w:type="dxa"/>
            <w:shd w:val="clear" w:color="auto" w:fill="F2DBDB" w:themeFill="accent2" w:themeFillTint="33"/>
          </w:tcPr>
          <w:p w14:paraId="00013E7C" w14:textId="77777777" w:rsidR="00F62CC9" w:rsidRPr="005808FC" w:rsidRDefault="00F62CC9" w:rsidP="005808FC">
            <w:pPr>
              <w:spacing w:line="240" w:lineRule="auto"/>
              <w:rPr>
                <w:b/>
                <w:bCs/>
              </w:rPr>
            </w:pPr>
            <w:r w:rsidRPr="00291DF5">
              <w:rPr>
                <w:b/>
                <w:bCs/>
              </w:rPr>
              <w:t>Mogući izvor sredstava za provedbu</w:t>
            </w:r>
          </w:p>
        </w:tc>
        <w:tc>
          <w:tcPr>
            <w:tcW w:w="5220" w:type="dxa"/>
          </w:tcPr>
          <w:p w14:paraId="4AC6C109" w14:textId="77777777" w:rsidR="00F62CC9" w:rsidRPr="00282B4B" w:rsidRDefault="00F62CC9" w:rsidP="00BF405C">
            <w:pPr>
              <w:numPr>
                <w:ilvl w:val="0"/>
                <w:numId w:val="9"/>
              </w:numPr>
              <w:spacing w:after="0" w:line="240" w:lineRule="auto"/>
              <w:ind w:left="482" w:hanging="357"/>
            </w:pPr>
            <w:r>
              <w:t>Proračun Grada Zagreba</w:t>
            </w:r>
          </w:p>
          <w:p w14:paraId="45E853A2" w14:textId="3D69B7BC" w:rsidR="00F62CC9" w:rsidRPr="00282B4B" w:rsidRDefault="00F62CC9" w:rsidP="00BF405C">
            <w:pPr>
              <w:numPr>
                <w:ilvl w:val="0"/>
                <w:numId w:val="9"/>
              </w:numPr>
              <w:spacing w:after="0" w:line="240" w:lineRule="auto"/>
              <w:ind w:left="482" w:hanging="357"/>
            </w:pPr>
            <w:r>
              <w:t>Europski strukturni</w:t>
            </w:r>
            <w:r w:rsidR="000509A0">
              <w:t xml:space="preserve"> i </w:t>
            </w:r>
            <w:r>
              <w:t>investicijski fondovi</w:t>
            </w:r>
          </w:p>
          <w:p w14:paraId="7CDD3BA0" w14:textId="77777777" w:rsidR="00F62CC9" w:rsidRPr="00282B4B" w:rsidRDefault="00F62CC9" w:rsidP="00BF405C">
            <w:pPr>
              <w:numPr>
                <w:ilvl w:val="0"/>
                <w:numId w:val="9"/>
              </w:numPr>
              <w:spacing w:after="0" w:line="240" w:lineRule="auto"/>
              <w:ind w:left="482" w:hanging="357"/>
            </w:pPr>
            <w:r w:rsidRPr="00282B4B">
              <w:t xml:space="preserve">Programi </w:t>
            </w:r>
            <w:r>
              <w:t>EU</w:t>
            </w:r>
          </w:p>
          <w:p w14:paraId="4E4557CB" w14:textId="1BBA8243" w:rsidR="00F62CC9" w:rsidRPr="00282B4B" w:rsidRDefault="00F62CC9" w:rsidP="005808FC">
            <w:pPr>
              <w:spacing w:after="0" w:line="240" w:lineRule="auto"/>
              <w:ind w:left="482"/>
            </w:pPr>
          </w:p>
        </w:tc>
      </w:tr>
      <w:tr w:rsidR="00F62CC9" w:rsidRPr="00282B4B" w14:paraId="7002E426" w14:textId="77777777" w:rsidTr="005808FC">
        <w:trPr>
          <w:trHeight w:val="2510"/>
        </w:trPr>
        <w:tc>
          <w:tcPr>
            <w:tcW w:w="3775" w:type="dxa"/>
            <w:shd w:val="clear" w:color="auto" w:fill="F2DBDB" w:themeFill="accent2" w:themeFillTint="33"/>
          </w:tcPr>
          <w:p w14:paraId="76695948" w14:textId="77777777" w:rsidR="00F62CC9" w:rsidRPr="005808FC" w:rsidRDefault="00F62CC9" w:rsidP="005808FC">
            <w:pPr>
              <w:spacing w:line="240" w:lineRule="auto"/>
              <w:rPr>
                <w:b/>
                <w:bCs/>
              </w:rPr>
            </w:pPr>
            <w:r w:rsidRPr="00291DF5">
              <w:rPr>
                <w:b/>
                <w:bCs/>
              </w:rPr>
              <w:t>Kratki opis/komentar</w:t>
            </w:r>
          </w:p>
        </w:tc>
        <w:tc>
          <w:tcPr>
            <w:tcW w:w="5220" w:type="dxa"/>
          </w:tcPr>
          <w:p w14:paraId="429304AF" w14:textId="66A32200" w:rsidR="00F62CC9" w:rsidRPr="00282B4B" w:rsidRDefault="00F62CC9" w:rsidP="00BF405C">
            <w:pPr>
              <w:spacing w:after="0" w:line="240" w:lineRule="auto"/>
              <w:contextualSpacing/>
            </w:pPr>
            <w:r w:rsidRPr="00282B4B">
              <w:t>Ovom mjerom nastoji se povećati svijest građana o energetskoj učinkovitosti</w:t>
            </w:r>
            <w:r w:rsidR="000509A0">
              <w:t xml:space="preserve"> i </w:t>
            </w:r>
            <w:r w:rsidRPr="00282B4B">
              <w:t xml:space="preserve">prilagodbama učincima klimatskih promjena. Info kampanjom </w:t>
            </w:r>
            <w:r w:rsidR="00271FE8">
              <w:t xml:space="preserve">će se </w:t>
            </w:r>
            <w:r w:rsidRPr="00282B4B">
              <w:t>podići svijest ciljanih skupina o koristima</w:t>
            </w:r>
            <w:r w:rsidR="000509A0">
              <w:t xml:space="preserve"> i </w:t>
            </w:r>
            <w:r w:rsidRPr="00282B4B">
              <w:t>mogućnostima provedbe mjera energetske učinkovitosti kroz energetske usluge, informirati</w:t>
            </w:r>
            <w:r w:rsidR="000509A0">
              <w:t xml:space="preserve"> i </w:t>
            </w:r>
            <w:r w:rsidRPr="00282B4B">
              <w:t>obrazovati širu javnost o prednostima ulaganja u energetsku učinkovitost, načinima (su)financiranja, konkretnim postupcima</w:t>
            </w:r>
            <w:r w:rsidR="000509A0">
              <w:t xml:space="preserve"> i </w:t>
            </w:r>
            <w:r w:rsidRPr="00282B4B">
              <w:t>dostupnim savjetničkim uslugama.</w:t>
            </w:r>
          </w:p>
          <w:p w14:paraId="1D278C36" w14:textId="77777777" w:rsidR="00F62CC9" w:rsidRPr="00282B4B" w:rsidRDefault="00F62CC9" w:rsidP="00BF405C">
            <w:pPr>
              <w:spacing w:after="0" w:line="240" w:lineRule="auto"/>
              <w:contextualSpacing/>
            </w:pPr>
            <w:r w:rsidRPr="00282B4B">
              <w:t>Konkretne aktivnosti podrazumijevaju:</w:t>
            </w:r>
          </w:p>
          <w:p w14:paraId="113AB6E8" w14:textId="1B5C56FC" w:rsidR="00F62CC9" w:rsidRPr="00282B4B" w:rsidRDefault="00F62CC9" w:rsidP="005808FC">
            <w:pPr>
              <w:pStyle w:val="ListParagraph"/>
              <w:numPr>
                <w:ilvl w:val="0"/>
                <w:numId w:val="96"/>
              </w:numPr>
              <w:spacing w:after="0" w:line="240" w:lineRule="auto"/>
            </w:pPr>
            <w:r w:rsidRPr="00282B4B">
              <w:t xml:space="preserve">Uspostavu </w:t>
            </w:r>
            <w:r w:rsidR="00271FE8" w:rsidRPr="0DFBE047">
              <w:t>''</w:t>
            </w:r>
            <w:r w:rsidRPr="00575A6C">
              <w:rPr>
                <w:i/>
              </w:rPr>
              <w:t>OneStopShop</w:t>
            </w:r>
            <w:r w:rsidR="00271FE8">
              <w:t>'' lokacije</w:t>
            </w:r>
            <w:r w:rsidRPr="00282B4B">
              <w:t xml:space="preserve"> za potencijalne korisnike s ciljem pružanja neovisnih informacija o energetskim pregledima, tehničkim mogućnostima za energetsku obnovu</w:t>
            </w:r>
            <w:r w:rsidR="000509A0">
              <w:t xml:space="preserve"> i </w:t>
            </w:r>
            <w:r w:rsidRPr="00282B4B">
              <w:t>instalaciju OIE, mogućnostima financiranja, dostupnim potporama, it</w:t>
            </w:r>
            <w:r w:rsidR="00271FE8">
              <w:t>d.</w:t>
            </w:r>
            <w:r w:rsidR="005E21BF">
              <w:t>;</w:t>
            </w:r>
          </w:p>
          <w:p w14:paraId="14879A1B" w14:textId="400809B1" w:rsidR="00F62CC9" w:rsidRPr="00282B4B" w:rsidRDefault="00F62CC9" w:rsidP="005808FC">
            <w:pPr>
              <w:pStyle w:val="ListParagraph"/>
              <w:numPr>
                <w:ilvl w:val="0"/>
                <w:numId w:val="96"/>
              </w:numPr>
              <w:spacing w:after="0" w:line="240" w:lineRule="auto"/>
            </w:pPr>
            <w:r w:rsidRPr="00282B4B">
              <w:t>Zagrebački energetski tjedan</w:t>
            </w:r>
            <w:r w:rsidR="005E21BF">
              <w:t>;</w:t>
            </w:r>
          </w:p>
          <w:p w14:paraId="312FBDA6" w14:textId="48233404" w:rsidR="00F62CC9" w:rsidRDefault="00F62CC9" w:rsidP="005E21BF">
            <w:pPr>
              <w:pStyle w:val="ListParagraph"/>
              <w:numPr>
                <w:ilvl w:val="0"/>
                <w:numId w:val="96"/>
              </w:numPr>
              <w:spacing w:after="0" w:line="240" w:lineRule="auto"/>
            </w:pPr>
            <w:r w:rsidRPr="00282B4B">
              <w:t>Izrada Strategije komunikacije</w:t>
            </w:r>
            <w:r w:rsidR="000509A0">
              <w:t xml:space="preserve"> i </w:t>
            </w:r>
            <w:r w:rsidRPr="00282B4B">
              <w:t>diseminacije</w:t>
            </w:r>
            <w:r w:rsidR="005E21BF">
              <w:t>;</w:t>
            </w:r>
          </w:p>
          <w:p w14:paraId="2D6274EE" w14:textId="6769786C" w:rsidR="00A93E4F" w:rsidRPr="00282B4B" w:rsidRDefault="00A93E4F" w:rsidP="005808FC">
            <w:pPr>
              <w:pStyle w:val="ListParagraph"/>
              <w:numPr>
                <w:ilvl w:val="0"/>
                <w:numId w:val="96"/>
              </w:numPr>
              <w:spacing w:after="0" w:line="240" w:lineRule="auto"/>
            </w:pPr>
            <w:r w:rsidRPr="00282B4B">
              <w:t>Korištenje unaprijeđene varijante portala Moj Zagreb kao glavne kontaktne</w:t>
            </w:r>
            <w:r>
              <w:t xml:space="preserve"> i </w:t>
            </w:r>
            <w:r w:rsidRPr="00282B4B">
              <w:t>informacijske točke za energetsku učinkovitost</w:t>
            </w:r>
            <w:r>
              <w:t xml:space="preserve"> i </w:t>
            </w:r>
            <w:r w:rsidRPr="00282B4B">
              <w:t>prilagodbu učincima klimatskih promjena</w:t>
            </w:r>
            <w:r>
              <w:t>.</w:t>
            </w:r>
          </w:p>
          <w:p w14:paraId="0F8B59DB" w14:textId="01A9D0B0" w:rsidR="00F62CC9" w:rsidRPr="005E21BF" w:rsidRDefault="00F62CC9" w:rsidP="005808FC">
            <w:pPr>
              <w:pStyle w:val="ListParagraph"/>
              <w:spacing w:after="0" w:line="240" w:lineRule="auto"/>
              <w:ind w:left="1080"/>
              <w:rPr>
                <w:rFonts w:ascii="Century Gothic" w:eastAsia="Calibri" w:hAnsi="Century Gothic" w:cs="Times New Roman"/>
                <w:sz w:val="18"/>
                <w:szCs w:val="18"/>
              </w:rPr>
            </w:pPr>
          </w:p>
        </w:tc>
      </w:tr>
    </w:tbl>
    <w:p w14:paraId="63E33A41" w14:textId="6D978069" w:rsidR="00A30383" w:rsidRDefault="00A30383" w:rsidP="00F62CC9">
      <w:pPr>
        <w:spacing w:after="0" w:line="240" w:lineRule="auto"/>
        <w:rPr>
          <w:rFonts w:ascii="Century Gothic" w:eastAsia="Calibri" w:hAnsi="Century Gothic" w:cs="Times New Roman"/>
        </w:rPr>
      </w:pPr>
    </w:p>
    <w:p w14:paraId="6826239E" w14:textId="77777777" w:rsidR="00A30383" w:rsidRDefault="00A30383">
      <w:pPr>
        <w:jc w:val="left"/>
        <w:rPr>
          <w:rFonts w:ascii="Century Gothic" w:eastAsia="Calibri" w:hAnsi="Century Gothic" w:cs="Times New Roman"/>
        </w:rPr>
      </w:pPr>
      <w:r>
        <w:rPr>
          <w:rFonts w:ascii="Century Gothic" w:eastAsia="Calibri" w:hAnsi="Century Gothic" w:cs="Times New Roman"/>
        </w:rPr>
        <w:br w:type="page"/>
      </w:r>
    </w:p>
    <w:p w14:paraId="657C5360" w14:textId="77777777" w:rsidR="00F62CC9" w:rsidRPr="00282B4B" w:rsidRDefault="00F62CC9" w:rsidP="00F62CC9">
      <w:pPr>
        <w:spacing w:after="0" w:line="240" w:lineRule="auto"/>
        <w:rPr>
          <w:rFonts w:ascii="Century Gothic" w:eastAsia="Calibri" w:hAnsi="Century Gothic"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31"/>
      </w:tblGrid>
      <w:tr w:rsidR="00F62CC9" w:rsidRPr="009569AC" w14:paraId="547603E8" w14:textId="77777777" w:rsidTr="005808FC">
        <w:trPr>
          <w:trHeight w:val="227"/>
        </w:trPr>
        <w:tc>
          <w:tcPr>
            <w:tcW w:w="3685" w:type="dxa"/>
            <w:shd w:val="clear" w:color="auto" w:fill="C6D9F1" w:themeFill="text2" w:themeFillTint="33"/>
          </w:tcPr>
          <w:p w14:paraId="1F3EB106" w14:textId="77777777" w:rsidR="00F62CC9" w:rsidRPr="005808FC" w:rsidRDefault="00F62CC9" w:rsidP="005808FC">
            <w:pPr>
              <w:spacing w:after="0" w:line="240" w:lineRule="auto"/>
              <w:rPr>
                <w:rFonts w:eastAsia="Calibri"/>
                <w:b/>
                <w:bCs/>
              </w:rPr>
            </w:pPr>
            <w:r w:rsidRPr="00291DF5">
              <w:rPr>
                <w:rFonts w:eastAsia="Calibri"/>
                <w:b/>
                <w:bCs/>
              </w:rPr>
              <w:t>Redni broj mjere</w:t>
            </w:r>
          </w:p>
        </w:tc>
        <w:tc>
          <w:tcPr>
            <w:tcW w:w="5331" w:type="dxa"/>
            <w:shd w:val="clear" w:color="auto" w:fill="C6D9F1" w:themeFill="text2" w:themeFillTint="33"/>
          </w:tcPr>
          <w:p w14:paraId="4319EBC0" w14:textId="77777777" w:rsidR="00F62CC9" w:rsidRPr="005808FC" w:rsidRDefault="00F62CC9" w:rsidP="005808FC">
            <w:pPr>
              <w:spacing w:after="0" w:line="240" w:lineRule="auto"/>
              <w:rPr>
                <w:rFonts w:eastAsia="Calibri"/>
                <w:b/>
                <w:bCs/>
              </w:rPr>
            </w:pPr>
            <w:r w:rsidRPr="00291DF5">
              <w:rPr>
                <w:rFonts w:eastAsia="Calibri"/>
                <w:b/>
                <w:bCs/>
              </w:rPr>
              <w:t>2</w:t>
            </w:r>
          </w:p>
        </w:tc>
      </w:tr>
      <w:tr w:rsidR="00F62CC9" w:rsidRPr="009569AC" w14:paraId="00006AF3" w14:textId="77777777" w:rsidTr="005808FC">
        <w:trPr>
          <w:trHeight w:val="1043"/>
        </w:trPr>
        <w:tc>
          <w:tcPr>
            <w:tcW w:w="3685" w:type="dxa"/>
            <w:shd w:val="clear" w:color="auto" w:fill="C6D9F1" w:themeFill="text2" w:themeFillTint="33"/>
          </w:tcPr>
          <w:p w14:paraId="4E80CF58" w14:textId="77777777" w:rsidR="00F62CC9" w:rsidRPr="005808FC" w:rsidRDefault="00F62CC9" w:rsidP="005808FC">
            <w:pPr>
              <w:spacing w:after="0" w:line="240" w:lineRule="auto"/>
              <w:rPr>
                <w:rFonts w:eastAsia="Calibri"/>
                <w:b/>
                <w:bCs/>
              </w:rPr>
            </w:pPr>
            <w:r w:rsidRPr="00291DF5">
              <w:rPr>
                <w:rFonts w:eastAsia="Calibri"/>
                <w:b/>
                <w:bCs/>
              </w:rPr>
              <w:br w:type="page"/>
              <w:t>Ime mjere/aktivnost</w:t>
            </w:r>
          </w:p>
        </w:tc>
        <w:tc>
          <w:tcPr>
            <w:tcW w:w="5331" w:type="dxa"/>
            <w:shd w:val="clear" w:color="auto" w:fill="C6D9F1" w:themeFill="text2" w:themeFillTint="33"/>
          </w:tcPr>
          <w:p w14:paraId="3E9F4AAB" w14:textId="6AB793FA" w:rsidR="00F62CC9" w:rsidRPr="005808FC" w:rsidRDefault="00F62CC9" w:rsidP="005808FC">
            <w:pPr>
              <w:spacing w:after="0" w:line="240" w:lineRule="auto"/>
              <w:jc w:val="left"/>
              <w:rPr>
                <w:rFonts w:eastAsia="Calibri"/>
                <w:b/>
                <w:bCs/>
              </w:rPr>
            </w:pPr>
            <w:r w:rsidRPr="00291DF5">
              <w:rPr>
                <w:rFonts w:eastAsia="Calibri"/>
                <w:b/>
                <w:bCs/>
              </w:rPr>
              <w:t>Razvoj platforme za primjenu rješenja za povećanje energetske učinkovitosti</w:t>
            </w:r>
            <w:r w:rsidR="000509A0">
              <w:rPr>
                <w:rFonts w:eastAsia="Calibri"/>
                <w:b/>
                <w:bCs/>
              </w:rPr>
              <w:t xml:space="preserve"> i </w:t>
            </w:r>
            <w:r w:rsidRPr="00291DF5">
              <w:rPr>
                <w:rFonts w:eastAsia="Calibri"/>
                <w:b/>
                <w:bCs/>
              </w:rPr>
              <w:t xml:space="preserve">smanjenje emisije stakleničkih plinova u procese urbanog planiranja </w:t>
            </w:r>
          </w:p>
        </w:tc>
      </w:tr>
      <w:tr w:rsidR="00F62CC9" w:rsidRPr="009569AC" w14:paraId="7F188689" w14:textId="77777777" w:rsidTr="005808FC">
        <w:trPr>
          <w:trHeight w:val="692"/>
        </w:trPr>
        <w:tc>
          <w:tcPr>
            <w:tcW w:w="3685" w:type="dxa"/>
            <w:shd w:val="clear" w:color="auto" w:fill="F2DBDB" w:themeFill="accent2" w:themeFillTint="33"/>
          </w:tcPr>
          <w:p w14:paraId="2B13A42D" w14:textId="77777777" w:rsidR="00F62CC9" w:rsidRPr="005808FC" w:rsidRDefault="00F62CC9" w:rsidP="005808FC">
            <w:pPr>
              <w:spacing w:after="0" w:line="240" w:lineRule="auto"/>
              <w:rPr>
                <w:rFonts w:eastAsia="Calibri"/>
                <w:b/>
                <w:bCs/>
              </w:rPr>
            </w:pPr>
            <w:r w:rsidRPr="00291DF5">
              <w:rPr>
                <w:rFonts w:eastAsia="Calibri"/>
                <w:b/>
                <w:bCs/>
              </w:rPr>
              <w:t>Nositelj aktivnosti:</w:t>
            </w:r>
          </w:p>
        </w:tc>
        <w:tc>
          <w:tcPr>
            <w:tcW w:w="5331" w:type="dxa"/>
          </w:tcPr>
          <w:p w14:paraId="60F280B0" w14:textId="77777777" w:rsidR="00601D46" w:rsidRPr="009569AC" w:rsidRDefault="00601D46" w:rsidP="00601D46">
            <w:pPr>
              <w:numPr>
                <w:ilvl w:val="0"/>
                <w:numId w:val="9"/>
              </w:numPr>
              <w:spacing w:after="0" w:line="240" w:lineRule="auto"/>
              <w:ind w:left="482" w:hanging="357"/>
            </w:pPr>
            <w:r w:rsidRPr="00291DF5">
              <w:t>Zavod za prostorno uređenje grada Zagreba</w:t>
            </w:r>
          </w:p>
          <w:p w14:paraId="0567EDC0" w14:textId="3A879173" w:rsidR="00F62CC9" w:rsidRPr="009569AC" w:rsidRDefault="00F62CC9" w:rsidP="00601D46">
            <w:pPr>
              <w:spacing w:after="0" w:line="240" w:lineRule="auto"/>
              <w:ind w:left="125"/>
            </w:pPr>
          </w:p>
        </w:tc>
      </w:tr>
      <w:tr w:rsidR="00F62CC9" w:rsidRPr="009569AC" w14:paraId="06783198" w14:textId="77777777" w:rsidTr="005808FC">
        <w:trPr>
          <w:trHeight w:val="227"/>
        </w:trPr>
        <w:tc>
          <w:tcPr>
            <w:tcW w:w="3685" w:type="dxa"/>
            <w:shd w:val="clear" w:color="auto" w:fill="F2DBDB" w:themeFill="accent2" w:themeFillTint="33"/>
          </w:tcPr>
          <w:p w14:paraId="6AEE20EA" w14:textId="77777777" w:rsidR="00F62CC9" w:rsidRPr="005808FC" w:rsidRDefault="00F62CC9" w:rsidP="005808FC">
            <w:pPr>
              <w:spacing w:after="0" w:line="240" w:lineRule="auto"/>
              <w:rPr>
                <w:rFonts w:eastAsia="Calibri"/>
                <w:b/>
                <w:bCs/>
              </w:rPr>
            </w:pPr>
            <w:r w:rsidRPr="00291DF5">
              <w:rPr>
                <w:rFonts w:eastAsia="Calibri"/>
                <w:b/>
                <w:bCs/>
              </w:rPr>
              <w:t>Partneri u provođenju aktivnosti:</w:t>
            </w:r>
          </w:p>
        </w:tc>
        <w:tc>
          <w:tcPr>
            <w:tcW w:w="5331" w:type="dxa"/>
          </w:tcPr>
          <w:p w14:paraId="3F3846EB" w14:textId="16972C50" w:rsidR="00F62CC9" w:rsidRPr="009569AC" w:rsidRDefault="00601D46" w:rsidP="005808FC">
            <w:pPr>
              <w:numPr>
                <w:ilvl w:val="0"/>
                <w:numId w:val="9"/>
              </w:numPr>
              <w:spacing w:after="0" w:line="240" w:lineRule="auto"/>
              <w:ind w:left="482" w:hanging="357"/>
            </w:pPr>
            <w:r w:rsidRPr="00291DF5">
              <w:t>Gradski ured za strategijsko planiranje</w:t>
            </w:r>
            <w:r>
              <w:t xml:space="preserve"> i </w:t>
            </w:r>
            <w:r w:rsidRPr="00291DF5">
              <w:t xml:space="preserve">razvoj </w:t>
            </w:r>
            <w:r>
              <w:t>G</w:t>
            </w:r>
            <w:r w:rsidRPr="00291DF5">
              <w:t>rada</w:t>
            </w:r>
            <w:r w:rsidRPr="00291DF5" w:rsidDel="00601D46">
              <w:t xml:space="preserve"> </w:t>
            </w:r>
            <w:r w:rsidR="00F62CC9" w:rsidRPr="00291DF5">
              <w:t xml:space="preserve">Gradski ured za </w:t>
            </w:r>
            <w:r w:rsidR="00F62CC9" w:rsidRPr="005808FC">
              <w:t>gospodarstvo, energetiku</w:t>
            </w:r>
            <w:r w:rsidR="000509A0">
              <w:t xml:space="preserve"> i </w:t>
            </w:r>
            <w:r w:rsidR="00F62CC9" w:rsidRPr="00291DF5">
              <w:t>zaštitu okoliša</w:t>
            </w:r>
          </w:p>
          <w:p w14:paraId="6D057C23" w14:textId="77777777" w:rsidR="00F62CC9" w:rsidRPr="009569AC" w:rsidDel="00436CBA" w:rsidRDefault="00F62CC9" w:rsidP="005808FC">
            <w:pPr>
              <w:numPr>
                <w:ilvl w:val="0"/>
                <w:numId w:val="9"/>
              </w:numPr>
              <w:spacing w:after="0" w:line="240" w:lineRule="auto"/>
              <w:ind w:left="482" w:hanging="357"/>
            </w:pPr>
            <w:r w:rsidRPr="00291DF5">
              <w:t xml:space="preserve">REGEA </w:t>
            </w:r>
          </w:p>
        </w:tc>
      </w:tr>
      <w:tr w:rsidR="00F62CC9" w:rsidRPr="009569AC" w14:paraId="6C7DFB08" w14:textId="77777777" w:rsidTr="005808FC">
        <w:trPr>
          <w:trHeight w:val="227"/>
        </w:trPr>
        <w:tc>
          <w:tcPr>
            <w:tcW w:w="3685" w:type="dxa"/>
            <w:shd w:val="clear" w:color="auto" w:fill="F2DBDB" w:themeFill="accent2" w:themeFillTint="33"/>
          </w:tcPr>
          <w:p w14:paraId="4C1356D4" w14:textId="77777777" w:rsidR="00F62CC9" w:rsidRPr="005808FC" w:rsidRDefault="00F62CC9" w:rsidP="005808FC">
            <w:pPr>
              <w:spacing w:after="0" w:line="240" w:lineRule="auto"/>
              <w:rPr>
                <w:rFonts w:eastAsia="Calibri"/>
                <w:b/>
                <w:bCs/>
              </w:rPr>
            </w:pPr>
            <w:r w:rsidRPr="00291DF5">
              <w:rPr>
                <w:rFonts w:eastAsia="Calibri"/>
                <w:b/>
                <w:bCs/>
              </w:rPr>
              <w:t>Ostali uključeni dionici:</w:t>
            </w:r>
          </w:p>
        </w:tc>
        <w:tc>
          <w:tcPr>
            <w:tcW w:w="5331" w:type="dxa"/>
          </w:tcPr>
          <w:p w14:paraId="4843CF8C" w14:textId="4BF6EF8E" w:rsidR="00F62CC9" w:rsidRPr="009569AC" w:rsidRDefault="00F62CC9" w:rsidP="005808FC">
            <w:pPr>
              <w:numPr>
                <w:ilvl w:val="0"/>
                <w:numId w:val="9"/>
              </w:numPr>
              <w:spacing w:after="0" w:line="240" w:lineRule="auto"/>
              <w:ind w:left="482" w:hanging="357"/>
            </w:pPr>
            <w:r w:rsidRPr="00291DF5">
              <w:t>Udruge civilnog društva</w:t>
            </w:r>
          </w:p>
        </w:tc>
      </w:tr>
      <w:tr w:rsidR="00F62CC9" w:rsidRPr="009569AC" w14:paraId="79D227B2" w14:textId="77777777" w:rsidTr="005808FC">
        <w:trPr>
          <w:trHeight w:val="395"/>
        </w:trPr>
        <w:tc>
          <w:tcPr>
            <w:tcW w:w="3685" w:type="dxa"/>
            <w:shd w:val="clear" w:color="auto" w:fill="F2DBDB" w:themeFill="accent2" w:themeFillTint="33"/>
          </w:tcPr>
          <w:p w14:paraId="3814658E" w14:textId="77777777" w:rsidR="00F62CC9" w:rsidRPr="005808FC" w:rsidRDefault="00F62CC9" w:rsidP="005808FC">
            <w:pPr>
              <w:spacing w:after="0" w:line="240" w:lineRule="auto"/>
              <w:rPr>
                <w:rFonts w:eastAsia="Calibri"/>
                <w:b/>
                <w:bCs/>
              </w:rPr>
            </w:pPr>
            <w:r w:rsidRPr="00291DF5">
              <w:rPr>
                <w:rFonts w:eastAsia="Calibri"/>
                <w:b/>
                <w:bCs/>
              </w:rPr>
              <w:t>Početak/kraj provedbe (godine)</w:t>
            </w:r>
          </w:p>
        </w:tc>
        <w:tc>
          <w:tcPr>
            <w:tcW w:w="5331" w:type="dxa"/>
          </w:tcPr>
          <w:p w14:paraId="0188D7F9" w14:textId="77777777" w:rsidR="00F62CC9" w:rsidRPr="005808FC" w:rsidRDefault="00F62CC9" w:rsidP="005808FC">
            <w:pPr>
              <w:spacing w:after="0" w:line="240" w:lineRule="auto"/>
              <w:rPr>
                <w:rFonts w:eastAsia="Calibri"/>
                <w:b/>
                <w:sz w:val="18"/>
                <w:szCs w:val="18"/>
              </w:rPr>
            </w:pPr>
            <w:r w:rsidRPr="005808FC">
              <w:rPr>
                <w:rFonts w:eastAsia="Calibri"/>
                <w:b/>
              </w:rPr>
              <w:t>2020-2022 razvoj, dalje kontinuirano</w:t>
            </w:r>
          </w:p>
        </w:tc>
      </w:tr>
      <w:tr w:rsidR="00F62CC9" w:rsidRPr="009569AC" w14:paraId="148375DB" w14:textId="77777777" w:rsidTr="005808FC">
        <w:trPr>
          <w:trHeight w:val="404"/>
        </w:trPr>
        <w:tc>
          <w:tcPr>
            <w:tcW w:w="3685" w:type="dxa"/>
            <w:shd w:val="clear" w:color="auto" w:fill="F2DBDB" w:themeFill="accent2" w:themeFillTint="33"/>
          </w:tcPr>
          <w:p w14:paraId="28D6440C" w14:textId="77777777" w:rsidR="00F62CC9" w:rsidRPr="005808FC" w:rsidRDefault="00F62CC9" w:rsidP="005808FC">
            <w:pPr>
              <w:spacing w:after="0" w:line="240" w:lineRule="auto"/>
              <w:rPr>
                <w:rFonts w:eastAsia="Calibri"/>
                <w:b/>
                <w:bCs/>
              </w:rPr>
            </w:pPr>
            <w:r w:rsidRPr="00291DF5">
              <w:rPr>
                <w:rFonts w:eastAsia="Calibri"/>
                <w:b/>
                <w:bCs/>
              </w:rPr>
              <w:t>Procjena uštede (MWh)</w:t>
            </w:r>
          </w:p>
        </w:tc>
        <w:tc>
          <w:tcPr>
            <w:tcW w:w="5331" w:type="dxa"/>
          </w:tcPr>
          <w:p w14:paraId="3EFD3FC0" w14:textId="77777777" w:rsidR="00F62CC9" w:rsidRPr="005808FC" w:rsidRDefault="00F62CC9" w:rsidP="005808FC">
            <w:pPr>
              <w:spacing w:after="0" w:line="240" w:lineRule="auto"/>
              <w:rPr>
                <w:rFonts w:eastAsia="Calibri"/>
                <w:b/>
              </w:rPr>
            </w:pPr>
            <w:r w:rsidRPr="005808FC">
              <w:rPr>
                <w:rFonts w:eastAsia="Calibri"/>
                <w:b/>
              </w:rPr>
              <w:t>0, uštede se ostvaruju kroz druge mjere</w:t>
            </w:r>
          </w:p>
        </w:tc>
      </w:tr>
      <w:tr w:rsidR="00F62CC9" w:rsidRPr="009569AC" w14:paraId="008C7E15" w14:textId="77777777" w:rsidTr="005808FC">
        <w:trPr>
          <w:trHeight w:val="350"/>
        </w:trPr>
        <w:tc>
          <w:tcPr>
            <w:tcW w:w="3685" w:type="dxa"/>
            <w:shd w:val="clear" w:color="auto" w:fill="F2DBDB" w:themeFill="accent2" w:themeFillTint="33"/>
          </w:tcPr>
          <w:p w14:paraId="124D0284" w14:textId="536CC050" w:rsidR="00F62CC9" w:rsidRPr="005808FC" w:rsidRDefault="00F62CC9" w:rsidP="005808FC">
            <w:pPr>
              <w:spacing w:after="0" w:line="240" w:lineRule="auto"/>
              <w:rPr>
                <w:rFonts w:eastAsia="Calibri"/>
                <w:b/>
                <w:bCs/>
              </w:rPr>
            </w:pPr>
            <w:r w:rsidRPr="00291DF5">
              <w:rPr>
                <w:rFonts w:eastAsia="Calibri"/>
                <w:b/>
                <w:bCs/>
              </w:rPr>
              <w:t xml:space="preserve">Procjena smanjenja </w:t>
            </w:r>
            <w:r w:rsidRPr="005808FC">
              <w:rPr>
                <w:rFonts w:eastAsia="Calibri"/>
                <w:b/>
                <w:bCs/>
              </w:rPr>
              <w:t>emisije</w:t>
            </w:r>
            <w:r w:rsidR="00AA6D1C" w:rsidRPr="005808FC">
              <w:rPr>
                <w:rFonts w:eastAsia="Calibri"/>
                <w:b/>
                <w:bCs/>
              </w:rPr>
              <w:t xml:space="preserve"> </w:t>
            </w:r>
            <w:r w:rsidRPr="005808FC">
              <w:rPr>
                <w:rFonts w:eastAsia="Calibri"/>
                <w:b/>
                <w:bCs/>
              </w:rPr>
              <w:t>(t CO</w:t>
            </w:r>
            <w:r w:rsidRPr="005808FC">
              <w:rPr>
                <w:rFonts w:eastAsia="Calibri"/>
                <w:b/>
                <w:bCs/>
                <w:vertAlign w:val="subscript"/>
              </w:rPr>
              <w:t>2</w:t>
            </w:r>
            <w:r w:rsidRPr="005808FC">
              <w:rPr>
                <w:rFonts w:eastAsia="Calibri"/>
                <w:b/>
                <w:bCs/>
              </w:rPr>
              <w:t>eq)</w:t>
            </w:r>
          </w:p>
        </w:tc>
        <w:tc>
          <w:tcPr>
            <w:tcW w:w="5331" w:type="dxa"/>
          </w:tcPr>
          <w:p w14:paraId="2F663F05" w14:textId="77777777" w:rsidR="00F62CC9" w:rsidRPr="005808FC" w:rsidRDefault="00F62CC9" w:rsidP="005808FC">
            <w:pPr>
              <w:spacing w:after="0" w:line="240" w:lineRule="auto"/>
              <w:rPr>
                <w:rFonts w:eastAsia="Calibri"/>
                <w:b/>
              </w:rPr>
            </w:pPr>
            <w:r w:rsidRPr="005808FC">
              <w:rPr>
                <w:rFonts w:eastAsia="Calibri"/>
                <w:b/>
              </w:rPr>
              <w:t>0, uštede se ostvaruju kroz druge mjere</w:t>
            </w:r>
          </w:p>
        </w:tc>
      </w:tr>
      <w:tr w:rsidR="00F62CC9" w:rsidRPr="009569AC" w14:paraId="6BFA81DB" w14:textId="77777777" w:rsidTr="005808FC">
        <w:trPr>
          <w:trHeight w:val="227"/>
        </w:trPr>
        <w:tc>
          <w:tcPr>
            <w:tcW w:w="3685" w:type="dxa"/>
            <w:shd w:val="clear" w:color="auto" w:fill="F2DBDB" w:themeFill="accent2" w:themeFillTint="33"/>
          </w:tcPr>
          <w:p w14:paraId="28CDA83F" w14:textId="77777777" w:rsidR="00F62CC9" w:rsidRPr="005808FC" w:rsidRDefault="00F62CC9" w:rsidP="005808FC">
            <w:pPr>
              <w:spacing w:after="0" w:line="240" w:lineRule="auto"/>
              <w:rPr>
                <w:rFonts w:eastAsia="Calibri"/>
                <w:b/>
                <w:bCs/>
              </w:rPr>
            </w:pPr>
            <w:r w:rsidRPr="00291DF5">
              <w:rPr>
                <w:rFonts w:eastAsia="Calibri"/>
                <w:b/>
                <w:bCs/>
              </w:rPr>
              <w:t>Izvor sredstava za provedbu</w:t>
            </w:r>
          </w:p>
        </w:tc>
        <w:tc>
          <w:tcPr>
            <w:tcW w:w="5331" w:type="dxa"/>
          </w:tcPr>
          <w:p w14:paraId="74BC50B3" w14:textId="77777777" w:rsidR="00F62CC9" w:rsidRPr="005808FC" w:rsidRDefault="00F62CC9" w:rsidP="005808FC">
            <w:pPr>
              <w:numPr>
                <w:ilvl w:val="0"/>
                <w:numId w:val="9"/>
              </w:numPr>
              <w:spacing w:after="0" w:line="240" w:lineRule="auto"/>
              <w:rPr>
                <w:rFonts w:eastAsia="Calibri"/>
              </w:rPr>
            </w:pPr>
            <w:r w:rsidRPr="00291DF5">
              <w:rPr>
                <w:rFonts w:eastAsia="Calibri"/>
              </w:rPr>
              <w:t>Proračun Grada Zagreba</w:t>
            </w:r>
          </w:p>
          <w:p w14:paraId="7770EA3B" w14:textId="77777777" w:rsidR="00F62CC9" w:rsidRPr="005808FC" w:rsidRDefault="00F62CC9" w:rsidP="005808FC">
            <w:pPr>
              <w:numPr>
                <w:ilvl w:val="0"/>
                <w:numId w:val="9"/>
              </w:numPr>
              <w:spacing w:after="0" w:line="240" w:lineRule="auto"/>
              <w:rPr>
                <w:rFonts w:eastAsia="Calibri"/>
              </w:rPr>
            </w:pPr>
            <w:r w:rsidRPr="005808FC">
              <w:rPr>
                <w:rFonts w:eastAsia="Calibri"/>
              </w:rPr>
              <w:t>Programi EU</w:t>
            </w:r>
          </w:p>
          <w:p w14:paraId="41D6E420" w14:textId="661B7F1D" w:rsidR="00F62CC9" w:rsidRPr="009569AC" w:rsidRDefault="00F62CC9" w:rsidP="005808FC">
            <w:pPr>
              <w:spacing w:after="0" w:line="240" w:lineRule="auto"/>
              <w:ind w:left="360"/>
              <w:rPr>
                <w:rFonts w:eastAsia="Calibri" w:cstheme="minorHAnsi"/>
              </w:rPr>
            </w:pPr>
          </w:p>
        </w:tc>
      </w:tr>
      <w:tr w:rsidR="00F62CC9" w:rsidRPr="009569AC" w14:paraId="6E83CDED" w14:textId="77777777" w:rsidTr="005808FC">
        <w:trPr>
          <w:trHeight w:val="1340"/>
        </w:trPr>
        <w:tc>
          <w:tcPr>
            <w:tcW w:w="3685" w:type="dxa"/>
            <w:shd w:val="clear" w:color="auto" w:fill="F2DBDB" w:themeFill="accent2" w:themeFillTint="33"/>
          </w:tcPr>
          <w:p w14:paraId="04548D6C" w14:textId="77777777" w:rsidR="00F62CC9" w:rsidRPr="005808FC" w:rsidRDefault="00F62CC9" w:rsidP="005808FC">
            <w:pPr>
              <w:spacing w:after="0" w:line="240" w:lineRule="auto"/>
              <w:rPr>
                <w:rFonts w:eastAsia="Calibri"/>
                <w:b/>
                <w:bCs/>
              </w:rPr>
            </w:pPr>
            <w:r w:rsidRPr="00291DF5">
              <w:rPr>
                <w:rFonts w:eastAsia="Calibri"/>
                <w:b/>
                <w:bCs/>
              </w:rPr>
              <w:t>Kratki opis/komentar</w:t>
            </w:r>
          </w:p>
        </w:tc>
        <w:tc>
          <w:tcPr>
            <w:tcW w:w="5331" w:type="dxa"/>
          </w:tcPr>
          <w:p w14:paraId="3AC21A36" w14:textId="37C10E4E" w:rsidR="00F62CC9" w:rsidRPr="005808FC" w:rsidRDefault="00F62CC9" w:rsidP="005808FC">
            <w:pPr>
              <w:spacing w:after="0" w:line="240" w:lineRule="auto"/>
              <w:rPr>
                <w:rFonts w:eastAsia="Calibri"/>
              </w:rPr>
            </w:pPr>
            <w:r w:rsidRPr="00291DF5">
              <w:rPr>
                <w:rFonts w:eastAsia="Calibri"/>
              </w:rPr>
              <w:t>Integrativno energetsko planiranje podrazumijeva integraciju energetskih aspekata urbanizam</w:t>
            </w:r>
            <w:r w:rsidR="000509A0">
              <w:rPr>
                <w:rFonts w:eastAsia="Calibri"/>
              </w:rPr>
              <w:t xml:space="preserve"> i </w:t>
            </w:r>
            <w:r w:rsidRPr="00291DF5">
              <w:rPr>
                <w:rFonts w:eastAsia="Calibri"/>
              </w:rPr>
              <w:t>proces planiranja, kada se ponuda</w:t>
            </w:r>
            <w:r w:rsidR="000509A0">
              <w:rPr>
                <w:rFonts w:eastAsia="Calibri"/>
              </w:rPr>
              <w:t xml:space="preserve"> i </w:t>
            </w:r>
            <w:r w:rsidRPr="00291DF5">
              <w:rPr>
                <w:rFonts w:eastAsia="Calibri"/>
              </w:rPr>
              <w:t xml:space="preserve">potražnja energije sustavno sagledava od samog početka (plana). </w:t>
            </w:r>
            <w:r w:rsidR="00271FE8" w:rsidRPr="005808FC">
              <w:rPr>
                <w:rFonts w:eastAsia="Calibri"/>
              </w:rPr>
              <w:t xml:space="preserve">Važno je u </w:t>
            </w:r>
            <w:r w:rsidRPr="005808FC">
              <w:rPr>
                <w:rFonts w:eastAsia="Calibri"/>
              </w:rPr>
              <w:t>proces</w:t>
            </w:r>
            <w:r w:rsidR="00271FE8" w:rsidRPr="005808FC">
              <w:rPr>
                <w:rFonts w:eastAsia="Calibri"/>
              </w:rPr>
              <w:t xml:space="preserve"> </w:t>
            </w:r>
            <w:r w:rsidRPr="005808FC">
              <w:rPr>
                <w:rFonts w:eastAsia="Calibri"/>
              </w:rPr>
              <w:t xml:space="preserve">planiranja </w:t>
            </w:r>
            <w:r w:rsidR="00271FE8" w:rsidRPr="005808FC">
              <w:rPr>
                <w:rFonts w:eastAsia="Calibri"/>
              </w:rPr>
              <w:t xml:space="preserve">od početka </w:t>
            </w:r>
            <w:r w:rsidRPr="005808FC">
              <w:rPr>
                <w:rFonts w:eastAsia="Calibri"/>
              </w:rPr>
              <w:t>uključ</w:t>
            </w:r>
            <w:r w:rsidR="00271FE8" w:rsidRPr="005808FC">
              <w:rPr>
                <w:rFonts w:eastAsia="Calibri"/>
              </w:rPr>
              <w:t>it</w:t>
            </w:r>
            <w:r w:rsidRPr="005808FC">
              <w:rPr>
                <w:rFonts w:eastAsia="Calibri"/>
              </w:rPr>
              <w:t>i sv</w:t>
            </w:r>
            <w:r w:rsidR="00271FE8" w:rsidRPr="005808FC">
              <w:rPr>
                <w:rFonts w:eastAsia="Calibri"/>
              </w:rPr>
              <w:t>e</w:t>
            </w:r>
            <w:r w:rsidRPr="005808FC">
              <w:rPr>
                <w:rFonts w:eastAsia="Calibri"/>
              </w:rPr>
              <w:t xml:space="preserve"> relevantn</w:t>
            </w:r>
            <w:r w:rsidR="00271FE8" w:rsidRPr="005808FC">
              <w:rPr>
                <w:rFonts w:eastAsia="Calibri"/>
              </w:rPr>
              <w:t>e</w:t>
            </w:r>
            <w:r w:rsidRPr="005808FC">
              <w:rPr>
                <w:rFonts w:eastAsia="Calibri"/>
              </w:rPr>
              <w:t xml:space="preserve"> dioni</w:t>
            </w:r>
            <w:r w:rsidR="00271FE8" w:rsidRPr="005808FC">
              <w:rPr>
                <w:rFonts w:eastAsia="Calibri"/>
              </w:rPr>
              <w:t>ke</w:t>
            </w:r>
            <w:r w:rsidRPr="005808FC">
              <w:rPr>
                <w:rFonts w:eastAsia="Calibri"/>
              </w:rPr>
              <w:t>, a infrastruktur</w:t>
            </w:r>
            <w:r w:rsidR="00271FE8" w:rsidRPr="005808FC">
              <w:rPr>
                <w:rFonts w:eastAsia="Calibri"/>
              </w:rPr>
              <w:t>u</w:t>
            </w:r>
            <w:r w:rsidRPr="005808FC">
              <w:rPr>
                <w:rFonts w:eastAsia="Calibri"/>
              </w:rPr>
              <w:t xml:space="preserve"> sagleda</w:t>
            </w:r>
            <w:r w:rsidR="00271FE8" w:rsidRPr="005808FC">
              <w:rPr>
                <w:rFonts w:eastAsia="Calibri"/>
              </w:rPr>
              <w:t>ti</w:t>
            </w:r>
            <w:r w:rsidRPr="005808FC">
              <w:rPr>
                <w:rFonts w:eastAsia="Calibri"/>
              </w:rPr>
              <w:t xml:space="preserve"> na integrativan način.</w:t>
            </w:r>
          </w:p>
          <w:p w14:paraId="43746960" w14:textId="77777777" w:rsidR="00F62CC9" w:rsidRPr="005808FC" w:rsidRDefault="00F62CC9" w:rsidP="005808FC">
            <w:pPr>
              <w:spacing w:after="0" w:line="240" w:lineRule="auto"/>
              <w:rPr>
                <w:rFonts w:eastAsia="Calibri"/>
              </w:rPr>
            </w:pPr>
            <w:r w:rsidRPr="005808FC">
              <w:rPr>
                <w:rFonts w:eastAsia="Calibri"/>
              </w:rPr>
              <w:t>U sklopu mjere:</w:t>
            </w:r>
          </w:p>
          <w:p w14:paraId="63FB66F5" w14:textId="348DD251" w:rsidR="00F62CC9" w:rsidRPr="005808FC" w:rsidRDefault="00F62CC9" w:rsidP="005808FC">
            <w:pPr>
              <w:numPr>
                <w:ilvl w:val="0"/>
                <w:numId w:val="43"/>
              </w:numPr>
              <w:spacing w:after="0" w:line="240" w:lineRule="auto"/>
              <w:contextualSpacing/>
              <w:rPr>
                <w:rFonts w:eastAsia="Calibri"/>
              </w:rPr>
            </w:pPr>
            <w:r w:rsidRPr="005808FC">
              <w:rPr>
                <w:rFonts w:eastAsia="Calibri"/>
              </w:rPr>
              <w:t>Izradit će se smjernice za dugoročno energetsko planiranje;</w:t>
            </w:r>
          </w:p>
          <w:p w14:paraId="3EA9B21A" w14:textId="60F37617" w:rsidR="00F62CC9" w:rsidRPr="005808FC" w:rsidRDefault="008F4D89" w:rsidP="005808FC">
            <w:pPr>
              <w:numPr>
                <w:ilvl w:val="0"/>
                <w:numId w:val="43"/>
              </w:numPr>
              <w:spacing w:after="0" w:line="240" w:lineRule="auto"/>
              <w:contextualSpacing/>
              <w:rPr>
                <w:rFonts w:eastAsia="Calibri"/>
              </w:rPr>
            </w:pPr>
            <w:r w:rsidRPr="005808FC">
              <w:rPr>
                <w:rFonts w:eastAsia="Calibri"/>
              </w:rPr>
              <w:t>P</w:t>
            </w:r>
            <w:r w:rsidR="00F62CC9" w:rsidRPr="005808FC">
              <w:rPr>
                <w:rFonts w:eastAsia="Calibri"/>
              </w:rPr>
              <w:t>ostaviti kratkoročn</w:t>
            </w:r>
            <w:r w:rsidRPr="005808FC">
              <w:rPr>
                <w:rFonts w:eastAsia="Calibri"/>
              </w:rPr>
              <w:t>i</w:t>
            </w:r>
            <w:r w:rsidR="00F62CC9" w:rsidRPr="005808FC">
              <w:rPr>
                <w:rFonts w:eastAsia="Calibri"/>
              </w:rPr>
              <w:t xml:space="preserve"> ciljev</w:t>
            </w:r>
            <w:r w:rsidRPr="005808FC">
              <w:rPr>
                <w:rFonts w:eastAsia="Calibri"/>
              </w:rPr>
              <w:t>i</w:t>
            </w:r>
            <w:r w:rsidR="00F62CC9" w:rsidRPr="005808FC">
              <w:rPr>
                <w:rFonts w:eastAsia="Calibri"/>
              </w:rPr>
              <w:t>;</w:t>
            </w:r>
          </w:p>
          <w:p w14:paraId="0F2254E8" w14:textId="044E9F21" w:rsidR="00F62CC9" w:rsidRPr="005808FC" w:rsidRDefault="008F4D89" w:rsidP="005808FC">
            <w:pPr>
              <w:numPr>
                <w:ilvl w:val="0"/>
                <w:numId w:val="43"/>
              </w:numPr>
              <w:spacing w:after="0" w:line="240" w:lineRule="auto"/>
              <w:contextualSpacing/>
              <w:rPr>
                <w:rFonts w:eastAsia="Calibri"/>
              </w:rPr>
            </w:pPr>
            <w:r w:rsidRPr="005808FC">
              <w:rPr>
                <w:rFonts w:eastAsia="Calibri"/>
              </w:rPr>
              <w:t>U</w:t>
            </w:r>
            <w:r w:rsidR="00F62CC9" w:rsidRPr="005808FC">
              <w:rPr>
                <w:rFonts w:eastAsia="Calibri"/>
              </w:rPr>
              <w:t xml:space="preserve">spostaviti set pokazatelja (održivost – povezati </w:t>
            </w:r>
            <w:r w:rsidRPr="005808FC">
              <w:rPr>
                <w:rFonts w:eastAsia="Calibri"/>
              </w:rPr>
              <w:t xml:space="preserve">s </w:t>
            </w:r>
            <w:r w:rsidR="00F62CC9" w:rsidRPr="005808FC">
              <w:rPr>
                <w:rFonts w:eastAsia="Calibri"/>
              </w:rPr>
              <w:t>klimatskim</w:t>
            </w:r>
            <w:r w:rsidR="000509A0">
              <w:rPr>
                <w:rFonts w:eastAsia="Calibri"/>
              </w:rPr>
              <w:t xml:space="preserve"> i </w:t>
            </w:r>
            <w:r w:rsidR="00F62CC9" w:rsidRPr="00291DF5">
              <w:rPr>
                <w:rFonts w:eastAsia="Calibri"/>
              </w:rPr>
              <w:t>okolišnim pokazateljima);</w:t>
            </w:r>
          </w:p>
          <w:p w14:paraId="33200A5E" w14:textId="573B71D4" w:rsidR="00F62CC9" w:rsidRPr="005808FC" w:rsidRDefault="008F4D89" w:rsidP="005808FC">
            <w:pPr>
              <w:numPr>
                <w:ilvl w:val="0"/>
                <w:numId w:val="43"/>
              </w:numPr>
              <w:spacing w:after="0" w:line="240" w:lineRule="auto"/>
              <w:contextualSpacing/>
              <w:rPr>
                <w:rFonts w:eastAsia="Calibri"/>
              </w:rPr>
            </w:pPr>
            <w:r w:rsidRPr="005808FC">
              <w:rPr>
                <w:rFonts w:eastAsia="Calibri"/>
              </w:rPr>
              <w:t>O</w:t>
            </w:r>
            <w:r w:rsidR="00F62CC9" w:rsidRPr="005808FC">
              <w:rPr>
                <w:rFonts w:eastAsia="Calibri"/>
              </w:rPr>
              <w:t>snovati tijelo zaduženo za energetsko planiranje</w:t>
            </w:r>
            <w:r w:rsidR="000509A0">
              <w:rPr>
                <w:rFonts w:eastAsia="Calibri"/>
              </w:rPr>
              <w:t xml:space="preserve"> i </w:t>
            </w:r>
            <w:r w:rsidR="00F62CC9" w:rsidRPr="00291DF5">
              <w:rPr>
                <w:rFonts w:eastAsia="Calibri"/>
              </w:rPr>
              <w:t>praćenje;</w:t>
            </w:r>
          </w:p>
          <w:p w14:paraId="6F3A99ED" w14:textId="6087E6BB" w:rsidR="00F62CC9" w:rsidRPr="005808FC" w:rsidRDefault="00F62CC9" w:rsidP="005808FC">
            <w:pPr>
              <w:numPr>
                <w:ilvl w:val="0"/>
                <w:numId w:val="43"/>
              </w:numPr>
              <w:spacing w:after="0" w:line="240" w:lineRule="auto"/>
              <w:contextualSpacing/>
              <w:rPr>
                <w:rFonts w:eastAsia="Calibri"/>
              </w:rPr>
            </w:pPr>
            <w:r w:rsidRPr="005808FC">
              <w:rPr>
                <w:rFonts w:eastAsia="Calibri"/>
              </w:rPr>
              <w:t>Postaviti obvezujuć</w:t>
            </w:r>
            <w:r w:rsidR="008F4D89" w:rsidRPr="005808FC">
              <w:rPr>
                <w:rFonts w:eastAsia="Calibri"/>
              </w:rPr>
              <w:t>i</w:t>
            </w:r>
            <w:r w:rsidRPr="005808FC">
              <w:rPr>
                <w:rFonts w:eastAsia="Calibri"/>
              </w:rPr>
              <w:t xml:space="preserve"> ciljev</w:t>
            </w:r>
            <w:r w:rsidR="008F4D89" w:rsidRPr="005808FC">
              <w:rPr>
                <w:rFonts w:eastAsia="Calibri"/>
              </w:rPr>
              <w:t>i</w:t>
            </w:r>
            <w:r w:rsidRPr="005808FC">
              <w:rPr>
                <w:rFonts w:eastAsia="Calibri"/>
              </w:rPr>
              <w:t xml:space="preserve"> u urbanističke planove.</w:t>
            </w:r>
          </w:p>
          <w:p w14:paraId="36301AE0" w14:textId="4BC421A4" w:rsidR="00F62CC9" w:rsidRPr="005808FC" w:rsidRDefault="00F62CC9" w:rsidP="005808FC">
            <w:pPr>
              <w:numPr>
                <w:ilvl w:val="0"/>
                <w:numId w:val="43"/>
              </w:numPr>
              <w:spacing w:after="0" w:line="240" w:lineRule="auto"/>
              <w:contextualSpacing/>
              <w:rPr>
                <w:rFonts w:eastAsia="Calibri"/>
              </w:rPr>
            </w:pPr>
            <w:r w:rsidRPr="005808FC">
              <w:rPr>
                <w:rFonts w:eastAsia="Calibri"/>
              </w:rPr>
              <w:t>Redovito revidirati pokazatelj</w:t>
            </w:r>
            <w:r w:rsidR="008F4D89" w:rsidRPr="005808FC">
              <w:rPr>
                <w:rFonts w:eastAsia="Calibri"/>
              </w:rPr>
              <w:t>i</w:t>
            </w:r>
            <w:r w:rsidR="000509A0">
              <w:rPr>
                <w:rFonts w:eastAsia="Calibri"/>
              </w:rPr>
              <w:t xml:space="preserve"> i </w:t>
            </w:r>
            <w:r w:rsidRPr="00291DF5">
              <w:rPr>
                <w:rFonts w:eastAsia="Calibri"/>
              </w:rPr>
              <w:t>učinkovitost mjere, predlagati</w:t>
            </w:r>
            <w:r w:rsidR="000509A0">
              <w:rPr>
                <w:rFonts w:eastAsia="Calibri"/>
              </w:rPr>
              <w:t xml:space="preserve"> i </w:t>
            </w:r>
            <w:r w:rsidRPr="00291DF5">
              <w:rPr>
                <w:rFonts w:eastAsia="Calibri"/>
              </w:rPr>
              <w:t>implementirati poboljšanja.</w:t>
            </w:r>
          </w:p>
        </w:tc>
      </w:tr>
    </w:tbl>
    <w:p w14:paraId="66BE3E1B" w14:textId="1154FE49" w:rsidR="008F4D89" w:rsidRDefault="008F4D89" w:rsidP="0089101B">
      <w:pPr>
        <w:rPr>
          <w:lang w:eastAsia="hr-HR"/>
        </w:rPr>
      </w:pPr>
    </w:p>
    <w:p w14:paraId="04ABE521" w14:textId="77777777" w:rsidR="008F4D89" w:rsidRDefault="008F4D89">
      <w:pPr>
        <w:jc w:val="left"/>
        <w:rPr>
          <w:lang w:eastAsia="hr-HR"/>
        </w:rPr>
      </w:pPr>
      <w:r>
        <w:rPr>
          <w:lang w:eastAsia="hr-HR"/>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31"/>
      </w:tblGrid>
      <w:tr w:rsidR="00F62CC9" w:rsidRPr="00282B4B" w14:paraId="46D4056B" w14:textId="77777777" w:rsidTr="005808FC">
        <w:trPr>
          <w:trHeight w:val="227"/>
        </w:trPr>
        <w:tc>
          <w:tcPr>
            <w:tcW w:w="3685" w:type="dxa"/>
            <w:shd w:val="clear" w:color="auto" w:fill="C6D9F1" w:themeFill="text2" w:themeFillTint="33"/>
          </w:tcPr>
          <w:p w14:paraId="2B61746A" w14:textId="77777777" w:rsidR="00F62CC9" w:rsidRPr="005808FC" w:rsidRDefault="00F62CC9" w:rsidP="005808FC">
            <w:pPr>
              <w:spacing w:after="0" w:line="240" w:lineRule="auto"/>
              <w:rPr>
                <w:rFonts w:eastAsia="Calibri"/>
                <w:b/>
                <w:bCs/>
              </w:rPr>
            </w:pPr>
            <w:r w:rsidRPr="00291DF5">
              <w:rPr>
                <w:rFonts w:eastAsia="Calibri"/>
                <w:b/>
                <w:bCs/>
              </w:rPr>
              <w:lastRenderedPageBreak/>
              <w:t>Redni broj mjere</w:t>
            </w:r>
          </w:p>
        </w:tc>
        <w:tc>
          <w:tcPr>
            <w:tcW w:w="5331" w:type="dxa"/>
            <w:shd w:val="clear" w:color="auto" w:fill="C6D9F1" w:themeFill="text2" w:themeFillTint="33"/>
          </w:tcPr>
          <w:p w14:paraId="54BBE1D8" w14:textId="77777777" w:rsidR="00F62CC9" w:rsidRPr="005808FC" w:rsidRDefault="00F62CC9" w:rsidP="005808FC">
            <w:pPr>
              <w:spacing w:after="0" w:line="240" w:lineRule="auto"/>
              <w:rPr>
                <w:rFonts w:eastAsia="Calibri"/>
                <w:b/>
                <w:bCs/>
              </w:rPr>
            </w:pPr>
            <w:r w:rsidRPr="00291DF5">
              <w:rPr>
                <w:rFonts w:eastAsia="Calibri"/>
                <w:b/>
                <w:bCs/>
              </w:rPr>
              <w:t>3</w:t>
            </w:r>
          </w:p>
        </w:tc>
      </w:tr>
      <w:tr w:rsidR="00F62CC9" w:rsidRPr="00282B4B" w14:paraId="792B19BC" w14:textId="77777777" w:rsidTr="005808FC">
        <w:trPr>
          <w:trHeight w:val="227"/>
        </w:trPr>
        <w:tc>
          <w:tcPr>
            <w:tcW w:w="3685" w:type="dxa"/>
            <w:shd w:val="clear" w:color="auto" w:fill="C6D9F1" w:themeFill="text2" w:themeFillTint="33"/>
          </w:tcPr>
          <w:p w14:paraId="4EE0AD91" w14:textId="77777777" w:rsidR="00F62CC9" w:rsidRPr="005808FC" w:rsidRDefault="00F62CC9" w:rsidP="005808FC">
            <w:pPr>
              <w:spacing w:after="0" w:line="240" w:lineRule="auto"/>
              <w:rPr>
                <w:rFonts w:eastAsia="Calibri"/>
                <w:b/>
                <w:bCs/>
              </w:rPr>
            </w:pPr>
            <w:r w:rsidRPr="00291DF5">
              <w:rPr>
                <w:rFonts w:eastAsia="Calibri"/>
                <w:b/>
                <w:bCs/>
              </w:rPr>
              <w:t>Ime mjere/aktivnost</w:t>
            </w:r>
          </w:p>
        </w:tc>
        <w:tc>
          <w:tcPr>
            <w:tcW w:w="5331" w:type="dxa"/>
            <w:shd w:val="clear" w:color="auto" w:fill="C6D9F1" w:themeFill="text2" w:themeFillTint="33"/>
          </w:tcPr>
          <w:p w14:paraId="1C6F6965" w14:textId="3E4B6745" w:rsidR="00F62CC9" w:rsidRPr="005808FC" w:rsidRDefault="00F62CC9" w:rsidP="005808FC">
            <w:pPr>
              <w:spacing w:after="0" w:line="240" w:lineRule="auto"/>
              <w:jc w:val="left"/>
              <w:rPr>
                <w:rFonts w:eastAsia="Calibri"/>
                <w:b/>
                <w:bCs/>
              </w:rPr>
            </w:pPr>
            <w:r w:rsidRPr="00291DF5">
              <w:rPr>
                <w:rFonts w:eastAsia="Calibri"/>
                <w:b/>
                <w:bCs/>
              </w:rPr>
              <w:t>Obrazovanje</w:t>
            </w:r>
            <w:r w:rsidR="000509A0">
              <w:rPr>
                <w:rFonts w:eastAsia="Calibri"/>
                <w:b/>
                <w:bCs/>
              </w:rPr>
              <w:t xml:space="preserve"> i </w:t>
            </w:r>
            <w:r w:rsidRPr="00291DF5">
              <w:rPr>
                <w:rFonts w:eastAsia="Calibri"/>
                <w:b/>
                <w:bCs/>
              </w:rPr>
              <w:t xml:space="preserve">promjena ponašanja </w:t>
            </w:r>
            <w:r w:rsidRPr="005808FC">
              <w:rPr>
                <w:rFonts w:eastAsia="Calibri"/>
                <w:b/>
                <w:bCs/>
              </w:rPr>
              <w:t>upravitelja/djelatnika/korisnika zgrada u vlasništvu Grada Zagreba</w:t>
            </w:r>
          </w:p>
        </w:tc>
      </w:tr>
      <w:tr w:rsidR="00F62CC9" w:rsidRPr="00282B4B" w14:paraId="473DBC22" w14:textId="77777777" w:rsidTr="005808FC">
        <w:trPr>
          <w:trHeight w:val="227"/>
        </w:trPr>
        <w:tc>
          <w:tcPr>
            <w:tcW w:w="3685" w:type="dxa"/>
            <w:shd w:val="clear" w:color="auto" w:fill="F2DBDB" w:themeFill="accent2" w:themeFillTint="33"/>
          </w:tcPr>
          <w:p w14:paraId="05873D88" w14:textId="77777777" w:rsidR="00F62CC9" w:rsidRPr="005808FC" w:rsidRDefault="00F62CC9" w:rsidP="005808FC">
            <w:pPr>
              <w:spacing w:line="240" w:lineRule="auto"/>
              <w:rPr>
                <w:b/>
                <w:bCs/>
              </w:rPr>
            </w:pPr>
            <w:r w:rsidRPr="00291DF5">
              <w:rPr>
                <w:b/>
                <w:bCs/>
              </w:rPr>
              <w:t>Nositelj aktivnosti :</w:t>
            </w:r>
          </w:p>
        </w:tc>
        <w:tc>
          <w:tcPr>
            <w:tcW w:w="5331" w:type="dxa"/>
          </w:tcPr>
          <w:p w14:paraId="12544DEA" w14:textId="6DC5A1F9" w:rsidR="00F62CC9" w:rsidRPr="00282B4B" w:rsidRDefault="00F62CC9" w:rsidP="008F4D89">
            <w:pPr>
              <w:numPr>
                <w:ilvl w:val="0"/>
                <w:numId w:val="9"/>
              </w:numPr>
              <w:spacing w:after="0" w:line="240" w:lineRule="auto"/>
              <w:ind w:left="482" w:hanging="357"/>
            </w:pPr>
            <w:r w:rsidRPr="00282B4B">
              <w:t>Gradski ured za gospodarstvo, energetiku</w:t>
            </w:r>
            <w:r w:rsidR="000509A0">
              <w:t xml:space="preserve"> i </w:t>
            </w:r>
            <w:r w:rsidRPr="00282B4B">
              <w:t>zaštitu okoliša</w:t>
            </w:r>
          </w:p>
        </w:tc>
      </w:tr>
      <w:tr w:rsidR="00F62CC9" w:rsidRPr="00282B4B" w14:paraId="57C2BC7C" w14:textId="77777777" w:rsidTr="005808FC">
        <w:trPr>
          <w:trHeight w:val="227"/>
        </w:trPr>
        <w:tc>
          <w:tcPr>
            <w:tcW w:w="3685" w:type="dxa"/>
            <w:shd w:val="clear" w:color="auto" w:fill="F2DBDB" w:themeFill="accent2" w:themeFillTint="33"/>
          </w:tcPr>
          <w:p w14:paraId="2667520C" w14:textId="4FCD8A3D" w:rsidR="00F62CC9" w:rsidRPr="005808FC" w:rsidRDefault="008F4D89" w:rsidP="005808FC">
            <w:pPr>
              <w:spacing w:line="240" w:lineRule="auto"/>
              <w:rPr>
                <w:b/>
                <w:bCs/>
              </w:rPr>
            </w:pPr>
            <w:r w:rsidRPr="00291DF5">
              <w:rPr>
                <w:b/>
                <w:bCs/>
              </w:rPr>
              <w:t>Partneri u provođenju aktivnosti:</w:t>
            </w:r>
          </w:p>
        </w:tc>
        <w:tc>
          <w:tcPr>
            <w:tcW w:w="5331" w:type="dxa"/>
          </w:tcPr>
          <w:p w14:paraId="64C36D33" w14:textId="51E3BA7A" w:rsidR="00F62CC9" w:rsidRDefault="00F62CC9" w:rsidP="00BF405C">
            <w:pPr>
              <w:numPr>
                <w:ilvl w:val="0"/>
                <w:numId w:val="9"/>
              </w:numPr>
              <w:spacing w:after="0" w:line="240" w:lineRule="auto"/>
              <w:ind w:left="482" w:hanging="357"/>
            </w:pPr>
            <w:r w:rsidRPr="00282B4B">
              <w:t>Gradski uredi/zavodi ili službe, proračunski korisnici</w:t>
            </w:r>
            <w:r w:rsidR="000509A0">
              <w:t xml:space="preserve"> i </w:t>
            </w:r>
            <w:r w:rsidRPr="00282B4B">
              <w:t xml:space="preserve">podružnice ZGH u čijoj je nadležnosti zgrada </w:t>
            </w:r>
          </w:p>
          <w:p w14:paraId="3729C04B" w14:textId="7CF0A631" w:rsidR="00F62CC9" w:rsidRPr="00282B4B" w:rsidRDefault="00F62CC9" w:rsidP="008F4D89">
            <w:pPr>
              <w:numPr>
                <w:ilvl w:val="0"/>
                <w:numId w:val="9"/>
              </w:numPr>
              <w:spacing w:after="0" w:line="240" w:lineRule="auto"/>
              <w:ind w:left="482" w:hanging="357"/>
            </w:pPr>
            <w:r w:rsidRPr="00282B4B">
              <w:t>REGEA</w:t>
            </w:r>
          </w:p>
        </w:tc>
      </w:tr>
      <w:tr w:rsidR="00F62CC9" w:rsidRPr="00282B4B" w14:paraId="25437E2D" w14:textId="77777777" w:rsidTr="005808FC">
        <w:trPr>
          <w:trHeight w:val="227"/>
        </w:trPr>
        <w:tc>
          <w:tcPr>
            <w:tcW w:w="3685" w:type="dxa"/>
            <w:shd w:val="clear" w:color="auto" w:fill="F2DBDB" w:themeFill="accent2" w:themeFillTint="33"/>
          </w:tcPr>
          <w:p w14:paraId="77A519AA" w14:textId="77777777" w:rsidR="00F62CC9" w:rsidRPr="005808FC" w:rsidRDefault="00F62CC9" w:rsidP="005808FC">
            <w:pPr>
              <w:spacing w:line="240" w:lineRule="auto"/>
              <w:rPr>
                <w:b/>
                <w:bCs/>
              </w:rPr>
            </w:pPr>
            <w:r w:rsidRPr="00291DF5">
              <w:rPr>
                <w:b/>
                <w:bCs/>
              </w:rPr>
              <w:t>Početak/kraj provedbe (godine)</w:t>
            </w:r>
          </w:p>
        </w:tc>
        <w:tc>
          <w:tcPr>
            <w:tcW w:w="5331" w:type="dxa"/>
          </w:tcPr>
          <w:p w14:paraId="13D67497" w14:textId="2EFF071C" w:rsidR="00F62CC9" w:rsidRPr="005808FC" w:rsidRDefault="000509A0" w:rsidP="005808FC">
            <w:pPr>
              <w:spacing w:after="0" w:line="240" w:lineRule="auto"/>
              <w:rPr>
                <w:rFonts w:eastAsia="Calibri"/>
                <w:b/>
              </w:rPr>
            </w:pPr>
            <w:r w:rsidRPr="005808FC">
              <w:rPr>
                <w:rFonts w:eastAsia="Calibri"/>
                <w:b/>
              </w:rPr>
              <w:t>K</w:t>
            </w:r>
            <w:r w:rsidR="00F62CC9" w:rsidRPr="005808FC">
              <w:rPr>
                <w:rFonts w:eastAsia="Calibri"/>
                <w:b/>
              </w:rPr>
              <w:t>ontinuirano</w:t>
            </w:r>
          </w:p>
        </w:tc>
      </w:tr>
      <w:tr w:rsidR="008F4D89" w:rsidRPr="00282B4B" w14:paraId="3E3A183F" w14:textId="77777777" w:rsidTr="005808FC">
        <w:trPr>
          <w:trHeight w:val="227"/>
        </w:trPr>
        <w:tc>
          <w:tcPr>
            <w:tcW w:w="3685" w:type="dxa"/>
            <w:shd w:val="clear" w:color="auto" w:fill="F2DBDB" w:themeFill="accent2" w:themeFillTint="33"/>
          </w:tcPr>
          <w:p w14:paraId="63F55E06" w14:textId="77777777" w:rsidR="008F4D89" w:rsidRPr="005808FC" w:rsidRDefault="008F4D89" w:rsidP="005808FC">
            <w:pPr>
              <w:spacing w:line="240" w:lineRule="auto"/>
              <w:rPr>
                <w:b/>
                <w:bCs/>
              </w:rPr>
            </w:pPr>
            <w:r w:rsidRPr="00291DF5">
              <w:rPr>
                <w:b/>
                <w:bCs/>
              </w:rPr>
              <w:t>Procjena uštede (MWh)</w:t>
            </w:r>
          </w:p>
        </w:tc>
        <w:tc>
          <w:tcPr>
            <w:tcW w:w="5331" w:type="dxa"/>
            <w:vMerge w:val="restart"/>
          </w:tcPr>
          <w:p w14:paraId="5724EA37" w14:textId="08C09478" w:rsidR="008F4D89" w:rsidRPr="005808FC" w:rsidRDefault="008F4D89" w:rsidP="005808FC">
            <w:pPr>
              <w:spacing w:after="0" w:line="240" w:lineRule="auto"/>
              <w:rPr>
                <w:rFonts w:eastAsia="Calibri"/>
                <w:b/>
                <w:sz w:val="18"/>
                <w:szCs w:val="18"/>
              </w:rPr>
            </w:pPr>
            <w:r w:rsidRPr="005808FC">
              <w:rPr>
                <w:rFonts w:eastAsia="Calibri"/>
                <w:b/>
              </w:rPr>
              <w:t>Prema Pravilniku o Sustavu za praćenje, mjerenje</w:t>
            </w:r>
            <w:r w:rsidR="000509A0">
              <w:rPr>
                <w:rFonts w:eastAsia="Calibri"/>
                <w:b/>
              </w:rPr>
              <w:t xml:space="preserve"> i </w:t>
            </w:r>
            <w:r w:rsidRPr="005808FC">
              <w:rPr>
                <w:rFonts w:eastAsia="Calibri"/>
                <w:b/>
              </w:rPr>
              <w:t>verifikaciju ušteda energije na temelju ove mjere se ne proračunavaju uštede energije.</w:t>
            </w:r>
          </w:p>
        </w:tc>
      </w:tr>
      <w:tr w:rsidR="008F4D89" w:rsidRPr="00282B4B" w14:paraId="4C4F3871" w14:textId="77777777" w:rsidTr="005808FC">
        <w:trPr>
          <w:trHeight w:val="227"/>
        </w:trPr>
        <w:tc>
          <w:tcPr>
            <w:tcW w:w="3685" w:type="dxa"/>
            <w:shd w:val="clear" w:color="auto" w:fill="F2DBDB" w:themeFill="accent2" w:themeFillTint="33"/>
          </w:tcPr>
          <w:p w14:paraId="55C101AD" w14:textId="77777777" w:rsidR="008F4D89" w:rsidRPr="005808FC" w:rsidRDefault="008F4D89" w:rsidP="005808FC">
            <w:pPr>
              <w:spacing w:line="240" w:lineRule="auto"/>
              <w:rPr>
                <w:b/>
                <w:bCs/>
              </w:rPr>
            </w:pPr>
            <w:r w:rsidRPr="00291DF5">
              <w:rPr>
                <w:b/>
                <w:bCs/>
              </w:rPr>
              <w:t>Procjena smanjenja emisije (t CO</w:t>
            </w:r>
            <w:r w:rsidRPr="005808FC">
              <w:rPr>
                <w:b/>
                <w:bCs/>
                <w:vertAlign w:val="subscript"/>
              </w:rPr>
              <w:t>2</w:t>
            </w:r>
            <w:r w:rsidRPr="005808FC">
              <w:rPr>
                <w:b/>
                <w:bCs/>
              </w:rPr>
              <w:t>eq)</w:t>
            </w:r>
          </w:p>
        </w:tc>
        <w:tc>
          <w:tcPr>
            <w:tcW w:w="5331" w:type="dxa"/>
            <w:vMerge/>
          </w:tcPr>
          <w:p w14:paraId="686A2D0D" w14:textId="77777777" w:rsidR="008F4D89" w:rsidRPr="00282B4B" w:rsidRDefault="008F4D89" w:rsidP="00BF405C">
            <w:pPr>
              <w:spacing w:after="0" w:line="240" w:lineRule="auto"/>
              <w:rPr>
                <w:rFonts w:ascii="Century Gothic" w:eastAsia="Calibri" w:hAnsi="Century Gothic" w:cs="Times New Roman"/>
                <w:sz w:val="18"/>
                <w:szCs w:val="18"/>
              </w:rPr>
            </w:pPr>
          </w:p>
        </w:tc>
      </w:tr>
      <w:tr w:rsidR="00F62CC9" w:rsidRPr="00282B4B" w14:paraId="7EC157BD" w14:textId="77777777" w:rsidTr="005808FC">
        <w:trPr>
          <w:trHeight w:val="227"/>
        </w:trPr>
        <w:tc>
          <w:tcPr>
            <w:tcW w:w="3685" w:type="dxa"/>
            <w:shd w:val="clear" w:color="auto" w:fill="F2DBDB" w:themeFill="accent2" w:themeFillTint="33"/>
          </w:tcPr>
          <w:p w14:paraId="16353666" w14:textId="77777777" w:rsidR="00F62CC9" w:rsidRPr="005808FC" w:rsidRDefault="00F62CC9" w:rsidP="005808FC">
            <w:pPr>
              <w:spacing w:line="240" w:lineRule="auto"/>
              <w:rPr>
                <w:b/>
                <w:bCs/>
              </w:rPr>
            </w:pPr>
            <w:r w:rsidRPr="00291DF5">
              <w:rPr>
                <w:b/>
                <w:bCs/>
              </w:rPr>
              <w:t>Izvor sredstava za provedbu</w:t>
            </w:r>
          </w:p>
        </w:tc>
        <w:tc>
          <w:tcPr>
            <w:tcW w:w="5331" w:type="dxa"/>
          </w:tcPr>
          <w:p w14:paraId="12749763" w14:textId="77777777" w:rsidR="00F62CC9" w:rsidRPr="00282B4B" w:rsidRDefault="00F62CC9" w:rsidP="00BF405C">
            <w:pPr>
              <w:numPr>
                <w:ilvl w:val="0"/>
                <w:numId w:val="9"/>
              </w:numPr>
              <w:spacing w:after="0" w:line="240" w:lineRule="auto"/>
              <w:ind w:left="482" w:hanging="357"/>
            </w:pPr>
            <w:r>
              <w:t>Proračun Grada Zagreba</w:t>
            </w:r>
          </w:p>
          <w:p w14:paraId="1DE06A83" w14:textId="77777777" w:rsidR="00F62CC9" w:rsidRPr="00282B4B" w:rsidRDefault="00F62CC9" w:rsidP="00BF405C">
            <w:pPr>
              <w:numPr>
                <w:ilvl w:val="0"/>
                <w:numId w:val="9"/>
              </w:numPr>
              <w:spacing w:after="0" w:line="240" w:lineRule="auto"/>
              <w:ind w:left="482" w:hanging="357"/>
            </w:pPr>
            <w:r w:rsidRPr="00282B4B">
              <w:t xml:space="preserve">Programi </w:t>
            </w:r>
            <w:r>
              <w:t>EU</w:t>
            </w:r>
          </w:p>
          <w:p w14:paraId="4562EA3F" w14:textId="77777777" w:rsidR="00F62CC9" w:rsidRPr="00282B4B" w:rsidRDefault="00F62CC9" w:rsidP="00BF405C">
            <w:pPr>
              <w:numPr>
                <w:ilvl w:val="0"/>
                <w:numId w:val="9"/>
              </w:numPr>
              <w:spacing w:after="0" w:line="240" w:lineRule="auto"/>
              <w:ind w:left="482" w:hanging="357"/>
            </w:pPr>
            <w:r w:rsidRPr="00282B4B">
              <w:t>FZOEU</w:t>
            </w:r>
          </w:p>
        </w:tc>
      </w:tr>
      <w:tr w:rsidR="00F62CC9" w:rsidRPr="00282B4B" w14:paraId="6337D47C" w14:textId="77777777" w:rsidTr="005808FC">
        <w:trPr>
          <w:trHeight w:val="227"/>
        </w:trPr>
        <w:tc>
          <w:tcPr>
            <w:tcW w:w="3685" w:type="dxa"/>
            <w:shd w:val="clear" w:color="auto" w:fill="F2DBDB" w:themeFill="accent2" w:themeFillTint="33"/>
          </w:tcPr>
          <w:p w14:paraId="5A4FDA3B" w14:textId="77777777" w:rsidR="00F62CC9" w:rsidRPr="005808FC" w:rsidRDefault="00F62CC9" w:rsidP="005808FC">
            <w:pPr>
              <w:spacing w:line="240" w:lineRule="auto"/>
              <w:rPr>
                <w:b/>
                <w:bCs/>
              </w:rPr>
            </w:pPr>
            <w:r w:rsidRPr="00291DF5">
              <w:rPr>
                <w:b/>
                <w:bCs/>
              </w:rPr>
              <w:t>Kratki opis/komentar</w:t>
            </w:r>
          </w:p>
        </w:tc>
        <w:tc>
          <w:tcPr>
            <w:tcW w:w="5331" w:type="dxa"/>
          </w:tcPr>
          <w:p w14:paraId="4473EAEA" w14:textId="77777777" w:rsidR="00F62CC9" w:rsidRPr="00282B4B" w:rsidRDefault="00F62CC9" w:rsidP="00BF405C">
            <w:pPr>
              <w:spacing w:line="240" w:lineRule="auto"/>
            </w:pPr>
            <w:r w:rsidRPr="00282B4B">
              <w:t>Mjera obuhvaća niz obrazovnih aktivnosti koje se redovno provode:</w:t>
            </w:r>
          </w:p>
          <w:p w14:paraId="2E07F8E9" w14:textId="77777777" w:rsidR="00F62CC9" w:rsidRPr="00282B4B" w:rsidRDefault="00F62CC9" w:rsidP="00BF405C">
            <w:pPr>
              <w:numPr>
                <w:ilvl w:val="0"/>
                <w:numId w:val="8"/>
              </w:numPr>
              <w:spacing w:line="240" w:lineRule="auto"/>
              <w:contextualSpacing/>
            </w:pPr>
            <w:r w:rsidRPr="00282B4B">
              <w:t>Organizacija obrazovnih radionica o učinkovitom korištenju energije;</w:t>
            </w:r>
          </w:p>
          <w:p w14:paraId="02E4DDB0" w14:textId="796B44F2" w:rsidR="00F62CC9" w:rsidRPr="00282B4B" w:rsidRDefault="00F62CC9" w:rsidP="0DFBE047">
            <w:pPr>
              <w:numPr>
                <w:ilvl w:val="0"/>
                <w:numId w:val="8"/>
              </w:numPr>
              <w:spacing w:line="240" w:lineRule="auto"/>
              <w:contextualSpacing/>
            </w:pPr>
            <w:r w:rsidRPr="00282B4B">
              <w:t>Izrada</w:t>
            </w:r>
            <w:r w:rsidR="000509A0">
              <w:t xml:space="preserve"> i </w:t>
            </w:r>
            <w:r w:rsidRPr="00282B4B">
              <w:t>distribucija obrazovnih materijala (letaka, brošura, postera, naljepnica,</w:t>
            </w:r>
            <w:r w:rsidR="000509A0">
              <w:t xml:space="preserve"> i </w:t>
            </w:r>
            <w:r w:rsidRPr="00282B4B">
              <w:t>sl.)</w:t>
            </w:r>
            <w:r w:rsidR="005E21BF">
              <w:t>;</w:t>
            </w:r>
          </w:p>
          <w:p w14:paraId="211950A7" w14:textId="69AE01EF" w:rsidR="00F62CC9" w:rsidRPr="00282B4B" w:rsidRDefault="00F62CC9" w:rsidP="00BF405C">
            <w:pPr>
              <w:numPr>
                <w:ilvl w:val="0"/>
                <w:numId w:val="8"/>
              </w:numPr>
              <w:spacing w:line="240" w:lineRule="auto"/>
              <w:contextualSpacing/>
            </w:pPr>
            <w:r w:rsidRPr="00282B4B">
              <w:t>Obrazovanje upravitelja zgrada o načinu korištenja svih novih primijenjenih tehnologi</w:t>
            </w:r>
            <w:r w:rsidR="008F4D89">
              <w:t>ja</w:t>
            </w:r>
            <w:r w:rsidR="005E21BF">
              <w:t>.</w:t>
            </w:r>
          </w:p>
        </w:tc>
      </w:tr>
    </w:tbl>
    <w:p w14:paraId="6CE22221" w14:textId="74DB420D" w:rsidR="0089101B" w:rsidRDefault="0089101B" w:rsidP="00F62CC9"/>
    <w:p w14:paraId="1A81DFF7" w14:textId="77777777" w:rsidR="0089101B" w:rsidRDefault="0089101B">
      <w:pPr>
        <w:jc w:val="left"/>
      </w:pPr>
      <w:r>
        <w:br w:type="page"/>
      </w:r>
    </w:p>
    <w:p w14:paraId="082A7D0D" w14:textId="77777777" w:rsidR="005F5283" w:rsidRDefault="005F5283" w:rsidP="0DFBE047">
      <w:pPr>
        <w:pStyle w:val="Heading3"/>
      </w:pPr>
      <w:bookmarkStart w:id="233" w:name="_Toc4156099"/>
      <w:r>
        <w:lastRenderedPageBreak/>
        <w:t>Zgradarstvo</w:t>
      </w:r>
      <w:bookmarkEnd w:id="233"/>
    </w:p>
    <w:p w14:paraId="65E748A8" w14:textId="1C83D260" w:rsidR="00F62CC9" w:rsidRDefault="0089101B" w:rsidP="005F5283">
      <w:pPr>
        <w:pStyle w:val="Heading4"/>
      </w:pPr>
      <w:r>
        <w:t>Zgrade javne namjene</w:t>
      </w:r>
    </w:p>
    <w:p w14:paraId="29663239" w14:textId="1C8A6EED" w:rsidR="0089101B" w:rsidRPr="0089101B" w:rsidRDefault="0089101B" w:rsidP="0089101B">
      <w:r>
        <w:t>Zgrade javne namjene predstavljaju važan potencijal za uštede energije</w:t>
      </w:r>
      <w:r w:rsidR="000509A0">
        <w:t xml:space="preserve"> i </w:t>
      </w:r>
      <w:r w:rsidR="00272584">
        <w:t>smanjenje</w:t>
      </w:r>
      <w:r>
        <w:t xml:space="preserve"> emisijam</w:t>
      </w:r>
      <w:r w:rsidR="00272584">
        <w:t>a</w:t>
      </w:r>
      <w:r>
        <w:t xml:space="preserve"> CO</w:t>
      </w:r>
      <w:r w:rsidRPr="0089101B">
        <w:rPr>
          <w:vertAlign w:val="subscript"/>
        </w:rPr>
        <w:t>2</w:t>
      </w:r>
      <w:r>
        <w:t xml:space="preserve"> te</w:t>
      </w:r>
      <w:r w:rsidR="00B25B9E">
        <w:t xml:space="preserve"> </w:t>
      </w:r>
      <w:r>
        <w:t>ujedno služe kao primjer angažmana za smanjenje emisija CO</w:t>
      </w:r>
      <w:r w:rsidRPr="0089101B">
        <w:rPr>
          <w:vertAlign w:val="subscript"/>
        </w:rPr>
        <w:t>2</w:t>
      </w:r>
      <w:r>
        <w:t>. Lokalna zajednica najbolje prikazuje provođenje energetske</w:t>
      </w:r>
      <w:r w:rsidR="000509A0">
        <w:t xml:space="preserve"> i </w:t>
      </w:r>
      <w:r>
        <w:t>klimatske politike u načinu upravljanja vlastitom imovinom. Iz tog razloga upravo javne zgrade predstavljaju jedn</w:t>
      </w:r>
      <w:r w:rsidR="00272584">
        <w:t>u</w:t>
      </w:r>
      <w:r>
        <w:t xml:space="preserve"> o</w:t>
      </w:r>
      <w:r w:rsidR="00272584">
        <w:t>d</w:t>
      </w:r>
      <w:r>
        <w:t xml:space="preserve"> glavnih okosnica za implementiranje mjera energetske učinkovitosti</w:t>
      </w:r>
      <w:r w:rsidR="000509A0">
        <w:t xml:space="preserve"> i </w:t>
      </w:r>
      <w:r>
        <w:t>samim time ublažavanja klimatskih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31"/>
      </w:tblGrid>
      <w:tr w:rsidR="00C35E2D" w:rsidRPr="009569AC" w14:paraId="0E6F9FB7" w14:textId="77777777" w:rsidTr="00A70A9F">
        <w:trPr>
          <w:trHeight w:val="227"/>
        </w:trPr>
        <w:tc>
          <w:tcPr>
            <w:tcW w:w="3685" w:type="dxa"/>
            <w:shd w:val="clear" w:color="auto" w:fill="C6D9F1"/>
          </w:tcPr>
          <w:p w14:paraId="12C8BC9D" w14:textId="77777777" w:rsidR="00C35E2D" w:rsidRPr="009569AC" w:rsidRDefault="00C35E2D" w:rsidP="00A70A9F">
            <w:pPr>
              <w:spacing w:after="0" w:line="240" w:lineRule="auto"/>
              <w:rPr>
                <w:rFonts w:eastAsia="Calibri" w:cstheme="minorHAnsi"/>
                <w:b/>
                <w:szCs w:val="18"/>
              </w:rPr>
            </w:pPr>
            <w:r w:rsidRPr="009569AC">
              <w:rPr>
                <w:rFonts w:eastAsia="Calibri" w:cstheme="minorHAnsi"/>
                <w:b/>
                <w:szCs w:val="18"/>
              </w:rPr>
              <w:t>Redni broj mjere</w:t>
            </w:r>
          </w:p>
        </w:tc>
        <w:tc>
          <w:tcPr>
            <w:tcW w:w="5331" w:type="dxa"/>
            <w:shd w:val="clear" w:color="auto" w:fill="C6D9F1"/>
          </w:tcPr>
          <w:p w14:paraId="39F88769" w14:textId="77777777" w:rsidR="00C35E2D" w:rsidRPr="009569AC" w:rsidRDefault="00C35E2D" w:rsidP="00A70A9F">
            <w:pPr>
              <w:spacing w:after="0" w:line="240" w:lineRule="auto"/>
              <w:rPr>
                <w:rFonts w:eastAsia="Calibri" w:cstheme="minorHAnsi"/>
                <w:b/>
                <w:szCs w:val="18"/>
              </w:rPr>
            </w:pPr>
            <w:r w:rsidRPr="009569AC">
              <w:rPr>
                <w:rFonts w:eastAsia="Calibri" w:cstheme="minorHAnsi"/>
                <w:b/>
                <w:szCs w:val="18"/>
              </w:rPr>
              <w:t>4</w:t>
            </w:r>
          </w:p>
        </w:tc>
      </w:tr>
      <w:tr w:rsidR="00C35E2D" w:rsidRPr="009569AC" w14:paraId="1BC2ED14" w14:textId="77777777" w:rsidTr="00A70A9F">
        <w:tc>
          <w:tcPr>
            <w:tcW w:w="3685" w:type="dxa"/>
            <w:shd w:val="clear" w:color="auto" w:fill="C6D9F1"/>
          </w:tcPr>
          <w:p w14:paraId="6B4ED76A" w14:textId="77777777" w:rsidR="00C35E2D" w:rsidRPr="009569AC" w:rsidRDefault="00C35E2D" w:rsidP="00A70A9F">
            <w:pPr>
              <w:spacing w:after="0" w:line="240" w:lineRule="auto"/>
              <w:rPr>
                <w:rFonts w:eastAsia="Calibri" w:cstheme="minorHAnsi"/>
                <w:b/>
              </w:rPr>
            </w:pPr>
            <w:r w:rsidRPr="009569AC">
              <w:rPr>
                <w:rFonts w:eastAsia="Calibri" w:cstheme="minorHAnsi"/>
                <w:b/>
              </w:rPr>
              <w:br w:type="page"/>
              <w:t>Ime mjere/aktivnost</w:t>
            </w:r>
          </w:p>
        </w:tc>
        <w:tc>
          <w:tcPr>
            <w:tcW w:w="5331" w:type="dxa"/>
            <w:shd w:val="clear" w:color="auto" w:fill="C6D9F1"/>
          </w:tcPr>
          <w:p w14:paraId="4AAAF697" w14:textId="77777777" w:rsidR="00C35E2D" w:rsidRPr="009569AC" w:rsidRDefault="00C35E2D" w:rsidP="00A70A9F">
            <w:pPr>
              <w:spacing w:after="0" w:line="240" w:lineRule="auto"/>
              <w:jc w:val="left"/>
              <w:rPr>
                <w:rFonts w:eastAsia="Calibri" w:cstheme="minorHAnsi"/>
                <w:b/>
              </w:rPr>
            </w:pPr>
            <w:r w:rsidRPr="009569AC">
              <w:rPr>
                <w:rFonts w:cstheme="minorHAnsi"/>
                <w:b/>
              </w:rPr>
              <w:t>Uvođenje sustava automatskog nadzora i individualnog mjerenja potrošnje energije i vode u zgradama javnog sektora</w:t>
            </w:r>
          </w:p>
        </w:tc>
      </w:tr>
      <w:tr w:rsidR="00C35E2D" w:rsidRPr="00282B4B" w14:paraId="59BBAA62" w14:textId="77777777" w:rsidTr="00A70A9F">
        <w:tc>
          <w:tcPr>
            <w:tcW w:w="3685" w:type="dxa"/>
            <w:shd w:val="clear" w:color="auto" w:fill="F2DBDB"/>
          </w:tcPr>
          <w:p w14:paraId="4D6A9CE4" w14:textId="46DBCE9A" w:rsidR="00C35E2D" w:rsidRPr="00282B4B" w:rsidRDefault="00C35E2D">
            <w:pPr>
              <w:spacing w:line="240" w:lineRule="auto"/>
              <w:ind w:left="142"/>
              <w:contextualSpacing/>
              <w:rPr>
                <w:b/>
              </w:rPr>
            </w:pPr>
            <w:r>
              <w:rPr>
                <w:b/>
              </w:rPr>
              <w:t>Nositelj</w:t>
            </w:r>
            <w:r w:rsidRPr="00282B4B">
              <w:rPr>
                <w:b/>
              </w:rPr>
              <w:t xml:space="preserve"> aktivnosti :</w:t>
            </w:r>
          </w:p>
        </w:tc>
        <w:tc>
          <w:tcPr>
            <w:tcW w:w="5331" w:type="dxa"/>
          </w:tcPr>
          <w:p w14:paraId="0E11BE3C" w14:textId="77777777" w:rsidR="00C35E2D" w:rsidRPr="00282B4B" w:rsidRDefault="00C35E2D" w:rsidP="00A70A9F">
            <w:pPr>
              <w:pStyle w:val="ListParagraph"/>
              <w:numPr>
                <w:ilvl w:val="0"/>
                <w:numId w:val="50"/>
              </w:numPr>
              <w:spacing w:line="240" w:lineRule="auto"/>
              <w:ind w:left="282" w:hanging="282"/>
            </w:pPr>
            <w:r w:rsidRPr="00282B4B">
              <w:t xml:space="preserve">Gradski ured za gospodarstvo, energetiku i zaštitu okoliša </w:t>
            </w:r>
          </w:p>
        </w:tc>
      </w:tr>
      <w:tr w:rsidR="00C35E2D" w:rsidRPr="00282B4B" w14:paraId="5D729D17" w14:textId="77777777" w:rsidTr="00A70A9F">
        <w:tc>
          <w:tcPr>
            <w:tcW w:w="3685" w:type="dxa"/>
            <w:shd w:val="clear" w:color="auto" w:fill="F2DBDB"/>
          </w:tcPr>
          <w:p w14:paraId="0F846059" w14:textId="77777777" w:rsidR="00C35E2D" w:rsidRPr="00282B4B" w:rsidRDefault="00C35E2D" w:rsidP="00A70A9F">
            <w:pPr>
              <w:spacing w:line="240" w:lineRule="auto"/>
              <w:ind w:left="142"/>
              <w:contextualSpacing/>
              <w:rPr>
                <w:b/>
              </w:rPr>
            </w:pPr>
            <w:r w:rsidRPr="00282B4B">
              <w:rPr>
                <w:b/>
              </w:rPr>
              <w:t>Ostali dionici uključeni u provedbu mjere:</w:t>
            </w:r>
          </w:p>
        </w:tc>
        <w:tc>
          <w:tcPr>
            <w:tcW w:w="5331" w:type="dxa"/>
          </w:tcPr>
          <w:p w14:paraId="6470FBA4" w14:textId="77777777" w:rsidR="00C35E2D" w:rsidRPr="00282B4B" w:rsidRDefault="00C35E2D" w:rsidP="00A70A9F">
            <w:pPr>
              <w:pStyle w:val="ListParagraph"/>
              <w:numPr>
                <w:ilvl w:val="0"/>
                <w:numId w:val="50"/>
              </w:numPr>
              <w:spacing w:line="240" w:lineRule="auto"/>
              <w:ind w:left="282" w:hanging="282"/>
            </w:pPr>
            <w:r w:rsidRPr="00282B4B">
              <w:t>Gradski uredi/zavodi ili službe, proračunski korisnici i podružnice ZGH u čijoj je nadležnosti zgrada</w:t>
            </w:r>
            <w:r w:rsidRPr="00282B4B" w:rsidDel="00B02212">
              <w:t xml:space="preserve"> </w:t>
            </w:r>
          </w:p>
        </w:tc>
      </w:tr>
      <w:tr w:rsidR="00C35E2D" w:rsidRPr="00282B4B" w14:paraId="61F56BB1" w14:textId="77777777" w:rsidTr="00A70A9F">
        <w:tc>
          <w:tcPr>
            <w:tcW w:w="3685" w:type="dxa"/>
            <w:shd w:val="clear" w:color="auto" w:fill="F2DBDB"/>
          </w:tcPr>
          <w:p w14:paraId="11016562" w14:textId="77777777" w:rsidR="00C35E2D" w:rsidRPr="00282B4B" w:rsidRDefault="00C35E2D" w:rsidP="00A70A9F">
            <w:pPr>
              <w:spacing w:line="240" w:lineRule="auto"/>
              <w:ind w:left="142"/>
              <w:contextualSpacing/>
              <w:rPr>
                <w:b/>
              </w:rPr>
            </w:pPr>
            <w:r>
              <w:rPr>
                <w:b/>
              </w:rPr>
              <w:t>Ostali uključeni dionici:</w:t>
            </w:r>
          </w:p>
        </w:tc>
        <w:tc>
          <w:tcPr>
            <w:tcW w:w="5331" w:type="dxa"/>
          </w:tcPr>
          <w:p w14:paraId="7D9B14E6" w14:textId="77777777" w:rsidR="00C35E2D" w:rsidRPr="00282B4B" w:rsidRDefault="00C35E2D" w:rsidP="00A70A9F">
            <w:pPr>
              <w:numPr>
                <w:ilvl w:val="0"/>
                <w:numId w:val="14"/>
              </w:numPr>
              <w:spacing w:line="240" w:lineRule="auto"/>
              <w:ind w:left="318" w:hanging="318"/>
              <w:contextualSpacing/>
            </w:pPr>
            <w:r w:rsidRPr="00282B4B">
              <w:t>Vodoopskrba i odvodnja, d.o.o.</w:t>
            </w:r>
          </w:p>
          <w:p w14:paraId="417DB384" w14:textId="3261C1CA" w:rsidR="00C35E2D" w:rsidRPr="00282B4B" w:rsidRDefault="00C35E2D" w:rsidP="00A70A9F">
            <w:pPr>
              <w:numPr>
                <w:ilvl w:val="0"/>
                <w:numId w:val="14"/>
              </w:numPr>
              <w:spacing w:line="240" w:lineRule="auto"/>
              <w:ind w:left="318" w:hanging="318"/>
              <w:contextualSpacing/>
            </w:pPr>
            <w:r w:rsidRPr="00282B4B">
              <w:t>Gradska plinara Zagreb, d.o.o</w:t>
            </w:r>
            <w:r w:rsidR="00574699">
              <w:t>.</w:t>
            </w:r>
          </w:p>
          <w:p w14:paraId="0E5CA174" w14:textId="1D33A9DE" w:rsidR="00C35E2D" w:rsidRPr="00282B4B" w:rsidRDefault="00C35E2D" w:rsidP="00A70A9F">
            <w:pPr>
              <w:numPr>
                <w:ilvl w:val="0"/>
                <w:numId w:val="14"/>
              </w:numPr>
              <w:spacing w:line="240" w:lineRule="auto"/>
              <w:ind w:left="318" w:hanging="318"/>
              <w:contextualSpacing/>
            </w:pPr>
            <w:r w:rsidRPr="00282B4B">
              <w:t xml:space="preserve">HEP </w:t>
            </w:r>
            <w:r w:rsidR="004942A7">
              <w:t>T</w:t>
            </w:r>
            <w:r w:rsidR="004942A7" w:rsidRPr="00282B4B">
              <w:t>oplinarstvo</w:t>
            </w:r>
            <w:r w:rsidRPr="00282B4B">
              <w:t>, d.o.o.</w:t>
            </w:r>
          </w:p>
          <w:p w14:paraId="12AA9218" w14:textId="77777777" w:rsidR="00C35E2D" w:rsidRDefault="00C35E2D" w:rsidP="00A70A9F">
            <w:pPr>
              <w:numPr>
                <w:ilvl w:val="0"/>
                <w:numId w:val="14"/>
              </w:numPr>
              <w:spacing w:line="240" w:lineRule="auto"/>
              <w:ind w:left="318" w:hanging="318"/>
              <w:contextualSpacing/>
            </w:pPr>
            <w:r w:rsidRPr="00282B4B">
              <w:t xml:space="preserve">HEP Elektra, d.o.o. </w:t>
            </w:r>
          </w:p>
          <w:p w14:paraId="34B369FA" w14:textId="77777777" w:rsidR="00C35E2D" w:rsidRPr="00282B4B" w:rsidRDefault="00C35E2D" w:rsidP="00A70A9F">
            <w:pPr>
              <w:numPr>
                <w:ilvl w:val="0"/>
                <w:numId w:val="14"/>
              </w:numPr>
              <w:spacing w:line="240" w:lineRule="auto"/>
              <w:ind w:left="318" w:hanging="318"/>
              <w:contextualSpacing/>
            </w:pPr>
            <w:r w:rsidRPr="00282B4B">
              <w:t>REGEA</w:t>
            </w:r>
          </w:p>
        </w:tc>
      </w:tr>
      <w:tr w:rsidR="00C35E2D" w:rsidRPr="00282B4B" w14:paraId="3389E4EF" w14:textId="77777777" w:rsidTr="00A70A9F">
        <w:tc>
          <w:tcPr>
            <w:tcW w:w="3685" w:type="dxa"/>
            <w:shd w:val="clear" w:color="auto" w:fill="F2DBDB"/>
          </w:tcPr>
          <w:p w14:paraId="1F315745" w14:textId="77777777" w:rsidR="00C35E2D" w:rsidRPr="00282B4B" w:rsidRDefault="00C35E2D" w:rsidP="00A70A9F">
            <w:pPr>
              <w:spacing w:line="240" w:lineRule="auto"/>
              <w:ind w:left="142"/>
              <w:contextualSpacing/>
              <w:rPr>
                <w:b/>
              </w:rPr>
            </w:pPr>
            <w:r w:rsidRPr="00282B4B">
              <w:rPr>
                <w:b/>
              </w:rPr>
              <w:t>Početak/kraj provedbe (godine)</w:t>
            </w:r>
          </w:p>
        </w:tc>
        <w:tc>
          <w:tcPr>
            <w:tcW w:w="5331" w:type="dxa"/>
          </w:tcPr>
          <w:p w14:paraId="42EDB01B" w14:textId="77777777" w:rsidR="00C35E2D" w:rsidRPr="00282B4B" w:rsidRDefault="00C35E2D" w:rsidP="00A70A9F">
            <w:pPr>
              <w:spacing w:after="0" w:line="240" w:lineRule="auto"/>
              <w:rPr>
                <w:rFonts w:eastAsia="Calibri" w:cstheme="minorHAnsi"/>
              </w:rPr>
            </w:pPr>
            <w:r w:rsidRPr="00282B4B">
              <w:rPr>
                <w:rFonts w:eastAsia="Calibri" w:cstheme="minorHAnsi"/>
              </w:rPr>
              <w:t>2021 - 2030</w:t>
            </w:r>
          </w:p>
        </w:tc>
      </w:tr>
      <w:tr w:rsidR="00C35E2D" w:rsidRPr="00282B4B" w14:paraId="076A0136" w14:textId="77777777" w:rsidTr="00A70A9F">
        <w:tc>
          <w:tcPr>
            <w:tcW w:w="3685" w:type="dxa"/>
            <w:shd w:val="clear" w:color="auto" w:fill="F2DBDB"/>
          </w:tcPr>
          <w:p w14:paraId="4C207898" w14:textId="77777777" w:rsidR="00C35E2D" w:rsidRPr="007C64C8" w:rsidRDefault="00C35E2D" w:rsidP="00A70A9F">
            <w:pPr>
              <w:spacing w:line="240" w:lineRule="auto"/>
              <w:ind w:left="142"/>
              <w:contextualSpacing/>
              <w:rPr>
                <w:b/>
              </w:rPr>
            </w:pPr>
            <w:r w:rsidRPr="007C64C8">
              <w:rPr>
                <w:b/>
              </w:rPr>
              <w:t>Procjena uštede (MWh)</w:t>
            </w:r>
          </w:p>
        </w:tc>
        <w:tc>
          <w:tcPr>
            <w:tcW w:w="5331" w:type="dxa"/>
            <w:vMerge w:val="restart"/>
          </w:tcPr>
          <w:p w14:paraId="14BF3BE8" w14:textId="5ECD4926" w:rsidR="00C35E2D" w:rsidRPr="00282B4B" w:rsidRDefault="00C35E2D" w:rsidP="00A70A9F">
            <w:pPr>
              <w:spacing w:after="0" w:line="240" w:lineRule="auto"/>
              <w:rPr>
                <w:rFonts w:eastAsia="Calibri" w:cstheme="minorHAnsi"/>
              </w:rPr>
            </w:pPr>
            <w:r w:rsidRPr="007C64C8">
              <w:rPr>
                <w:rFonts w:eastAsia="Calibri"/>
                <w:b/>
              </w:rPr>
              <w:t>Prema Pravilniku o Sustavu za praćenje, mjerenje</w:t>
            </w:r>
            <w:r>
              <w:rPr>
                <w:rFonts w:eastAsia="Calibri"/>
                <w:b/>
              </w:rPr>
              <w:t xml:space="preserve"> i </w:t>
            </w:r>
            <w:r w:rsidRPr="007C64C8">
              <w:rPr>
                <w:rFonts w:eastAsia="Calibri"/>
                <w:b/>
              </w:rPr>
              <w:t>verifikaciju ušteda energije na temelju ove mjere se ne proračunavaju uštede energije.</w:t>
            </w:r>
          </w:p>
        </w:tc>
      </w:tr>
      <w:tr w:rsidR="00C35E2D" w:rsidRPr="00282B4B" w14:paraId="0DA6E4F8" w14:textId="77777777" w:rsidTr="00A70A9F">
        <w:tc>
          <w:tcPr>
            <w:tcW w:w="3685" w:type="dxa"/>
            <w:shd w:val="clear" w:color="auto" w:fill="F2DBDB"/>
          </w:tcPr>
          <w:p w14:paraId="08BD2480" w14:textId="77777777" w:rsidR="00C35E2D" w:rsidRPr="008F4D89" w:rsidRDefault="00C35E2D" w:rsidP="00A70A9F">
            <w:pPr>
              <w:spacing w:line="240" w:lineRule="auto"/>
              <w:ind w:left="142"/>
              <w:contextualSpacing/>
              <w:rPr>
                <w:b/>
                <w:color w:val="FF0000"/>
              </w:rPr>
            </w:pPr>
            <w:r w:rsidRPr="005808FC">
              <w:rPr>
                <w:b/>
              </w:rPr>
              <w:t>Procjena smanjenja emisije (t CO</w:t>
            </w:r>
            <w:r w:rsidRPr="005808FC">
              <w:rPr>
                <w:b/>
                <w:vertAlign w:val="subscript"/>
              </w:rPr>
              <w:t>2</w:t>
            </w:r>
            <w:r w:rsidRPr="005808FC">
              <w:rPr>
                <w:b/>
              </w:rPr>
              <w:t>eq)</w:t>
            </w:r>
          </w:p>
        </w:tc>
        <w:tc>
          <w:tcPr>
            <w:tcW w:w="5331" w:type="dxa"/>
            <w:vMerge/>
          </w:tcPr>
          <w:p w14:paraId="5B2DF899" w14:textId="77777777" w:rsidR="00C35E2D" w:rsidRPr="00282B4B" w:rsidRDefault="00C35E2D" w:rsidP="00A70A9F">
            <w:pPr>
              <w:spacing w:after="0" w:line="240" w:lineRule="auto"/>
              <w:rPr>
                <w:rFonts w:ascii="Century Gothic" w:eastAsia="Calibri" w:hAnsi="Century Gothic" w:cs="Times New Roman"/>
                <w:sz w:val="18"/>
                <w:szCs w:val="18"/>
              </w:rPr>
            </w:pPr>
          </w:p>
        </w:tc>
      </w:tr>
      <w:tr w:rsidR="00C35E2D" w:rsidRPr="00282B4B" w14:paraId="2A4EF901" w14:textId="77777777" w:rsidTr="00A70A9F">
        <w:tc>
          <w:tcPr>
            <w:tcW w:w="3685" w:type="dxa"/>
            <w:shd w:val="clear" w:color="auto" w:fill="F2DBDB"/>
          </w:tcPr>
          <w:p w14:paraId="56AABA56" w14:textId="77777777" w:rsidR="00C35E2D" w:rsidRPr="00282B4B" w:rsidRDefault="00C35E2D" w:rsidP="00A70A9F">
            <w:pPr>
              <w:spacing w:line="240" w:lineRule="auto"/>
              <w:ind w:left="142"/>
              <w:contextualSpacing/>
              <w:rPr>
                <w:b/>
              </w:rPr>
            </w:pPr>
            <w:r w:rsidRPr="00282B4B">
              <w:rPr>
                <w:b/>
              </w:rPr>
              <w:t>Izvor sredstava za provedbu</w:t>
            </w:r>
          </w:p>
        </w:tc>
        <w:tc>
          <w:tcPr>
            <w:tcW w:w="5331" w:type="dxa"/>
          </w:tcPr>
          <w:p w14:paraId="6EBB5094" w14:textId="77777777" w:rsidR="00C35E2D" w:rsidRPr="00282B4B" w:rsidRDefault="00C35E2D" w:rsidP="00A70A9F">
            <w:pPr>
              <w:numPr>
                <w:ilvl w:val="0"/>
                <w:numId w:val="14"/>
              </w:numPr>
              <w:spacing w:line="240" w:lineRule="auto"/>
              <w:ind w:left="318" w:hanging="318"/>
              <w:contextualSpacing/>
            </w:pPr>
            <w:r>
              <w:t>Proračun Grada Zagreba</w:t>
            </w:r>
          </w:p>
          <w:p w14:paraId="230F27B7" w14:textId="77777777" w:rsidR="00C35E2D" w:rsidRPr="00282B4B" w:rsidRDefault="00C35E2D" w:rsidP="00A70A9F">
            <w:pPr>
              <w:numPr>
                <w:ilvl w:val="0"/>
                <w:numId w:val="14"/>
              </w:numPr>
              <w:spacing w:line="240" w:lineRule="auto"/>
              <w:ind w:left="318" w:hanging="318"/>
              <w:contextualSpacing/>
            </w:pPr>
            <w:r w:rsidRPr="00282B4B">
              <w:t>HBOR</w:t>
            </w:r>
          </w:p>
          <w:p w14:paraId="17736B54" w14:textId="77777777" w:rsidR="00C35E2D" w:rsidRDefault="00C35E2D" w:rsidP="00A70A9F">
            <w:pPr>
              <w:numPr>
                <w:ilvl w:val="0"/>
                <w:numId w:val="14"/>
              </w:numPr>
              <w:spacing w:line="240" w:lineRule="auto"/>
              <w:ind w:left="318" w:hanging="318"/>
              <w:contextualSpacing/>
            </w:pPr>
            <w:r w:rsidRPr="00282B4B">
              <w:t xml:space="preserve">ESCO </w:t>
            </w:r>
          </w:p>
          <w:p w14:paraId="41E932CF" w14:textId="77777777" w:rsidR="00C35E2D" w:rsidRPr="00282B4B" w:rsidRDefault="00C35E2D" w:rsidP="00A70A9F">
            <w:pPr>
              <w:numPr>
                <w:ilvl w:val="0"/>
                <w:numId w:val="14"/>
              </w:numPr>
              <w:spacing w:line="240" w:lineRule="auto"/>
              <w:ind w:left="318" w:hanging="318"/>
              <w:contextualSpacing/>
            </w:pPr>
            <w:r w:rsidRPr="00282B4B">
              <w:t>FZOEU</w:t>
            </w:r>
          </w:p>
        </w:tc>
      </w:tr>
      <w:tr w:rsidR="00C35E2D" w:rsidRPr="00282B4B" w14:paraId="20A10C56" w14:textId="77777777" w:rsidTr="00A70A9F">
        <w:tc>
          <w:tcPr>
            <w:tcW w:w="3685" w:type="dxa"/>
            <w:shd w:val="clear" w:color="auto" w:fill="F2DBDB"/>
          </w:tcPr>
          <w:p w14:paraId="32B371FB" w14:textId="77777777" w:rsidR="00C35E2D" w:rsidRPr="00282B4B" w:rsidRDefault="00C35E2D" w:rsidP="00A70A9F">
            <w:pPr>
              <w:spacing w:line="240" w:lineRule="auto"/>
              <w:ind w:left="142"/>
              <w:contextualSpacing/>
              <w:rPr>
                <w:b/>
              </w:rPr>
            </w:pPr>
            <w:r w:rsidRPr="00282B4B">
              <w:rPr>
                <w:b/>
              </w:rPr>
              <w:t>Kratki opis/komentar</w:t>
            </w:r>
          </w:p>
        </w:tc>
        <w:tc>
          <w:tcPr>
            <w:tcW w:w="5331" w:type="dxa"/>
          </w:tcPr>
          <w:p w14:paraId="29288320" w14:textId="77777777" w:rsidR="00C35E2D" w:rsidRPr="00282B4B" w:rsidRDefault="00C35E2D" w:rsidP="00A70A9F">
            <w:pPr>
              <w:spacing w:after="0" w:line="240" w:lineRule="auto"/>
            </w:pPr>
            <w:r w:rsidRPr="00282B4B">
              <w:t>Revidirana Direktiva o energetskim svojstvima zgrade</w:t>
            </w:r>
            <w:r>
              <w:t xml:space="preserve"> (2018)</w:t>
            </w:r>
            <w:r w:rsidRPr="00282B4B">
              <w:t xml:space="preserve"> uvodi pokazatelj pripremljenosti zgrade za pametne tehnologije kojim se procjenjuje spremnost zgrade da se prilagodi potrebama korisnika i mreže te na taj način poveća stupanj energetske učinkovitosti i ostalih performansi građevine. Metodologija za izračun pokazatelja uzima u obzir sustave pametnog mjerenja, automatizacije i kontrole, samo-regulirajuće sustave i sustave regulacije temperature, punionice za punjenje baterija električnih vozila, skladištenje energije i interoperabilnost svih navedenih sustava.</w:t>
            </w:r>
          </w:p>
          <w:p w14:paraId="123B2D68" w14:textId="77777777" w:rsidR="00C35E2D" w:rsidRPr="00282B4B" w:rsidRDefault="00C35E2D" w:rsidP="00A70A9F">
            <w:pPr>
              <w:spacing w:after="0" w:line="240" w:lineRule="auto"/>
            </w:pPr>
          </w:p>
          <w:p w14:paraId="0349ACE7" w14:textId="77777777" w:rsidR="00C35E2D" w:rsidRPr="00282B4B" w:rsidRDefault="00C35E2D" w:rsidP="00A70A9F">
            <w:pPr>
              <w:spacing w:after="0" w:line="240" w:lineRule="auto"/>
            </w:pPr>
            <w:r w:rsidRPr="00282B4B">
              <w:t xml:space="preserve">Mjera podrazumijeva ugradnju uređaja za daljinsko očitanje potrošnje energije u realnom vremenu, automatizaciju prikupljanja i analize podataka te provođenje mjera povećanja energetske učinkovitosti. Sustavnim prikupljanjem podataka o potrošnji električne, </w:t>
            </w:r>
            <w:r w:rsidRPr="00282B4B">
              <w:lastRenderedPageBreak/>
              <w:t xml:space="preserve">toplinske energije, plina i vode, potiče se energetski efikasno ponašanje i otvara mogućnost ostvarivanja ušteda do 5%. </w:t>
            </w:r>
          </w:p>
          <w:p w14:paraId="3C7ABD49" w14:textId="77777777" w:rsidR="00C35E2D" w:rsidRPr="00282B4B" w:rsidRDefault="00C35E2D" w:rsidP="00A70A9F">
            <w:pPr>
              <w:spacing w:after="0" w:line="240" w:lineRule="auto"/>
            </w:pPr>
            <w:r w:rsidRPr="00282B4B">
              <w:t>Konkretne aktivnosti:</w:t>
            </w:r>
          </w:p>
          <w:p w14:paraId="4BBC692C" w14:textId="1F3DFFAF" w:rsidR="00C35E2D" w:rsidRPr="00282B4B" w:rsidRDefault="00C35E2D" w:rsidP="00A70A9F">
            <w:pPr>
              <w:numPr>
                <w:ilvl w:val="0"/>
                <w:numId w:val="44"/>
              </w:numPr>
              <w:spacing w:after="0" w:line="240" w:lineRule="auto"/>
              <w:contextualSpacing/>
            </w:pPr>
            <w:r w:rsidRPr="00282B4B">
              <w:t>Uvođenje sustava daljinskog očitanja potrošnje energenata – plin, električna i toplinska energija</w:t>
            </w:r>
            <w:r>
              <w:t>;</w:t>
            </w:r>
          </w:p>
          <w:p w14:paraId="161B8AB0" w14:textId="047C1B70" w:rsidR="00C35E2D" w:rsidRPr="00282B4B" w:rsidRDefault="00C35E2D" w:rsidP="00A70A9F">
            <w:pPr>
              <w:numPr>
                <w:ilvl w:val="0"/>
                <w:numId w:val="44"/>
              </w:numPr>
              <w:spacing w:after="0" w:line="240" w:lineRule="auto"/>
              <w:contextualSpacing/>
            </w:pPr>
            <w:r w:rsidRPr="00282B4B">
              <w:t>Uvođenje sustava daljinskog očitanja potrošnje vode</w:t>
            </w:r>
            <w:r>
              <w:t>;</w:t>
            </w:r>
          </w:p>
          <w:p w14:paraId="39A44347" w14:textId="28869406" w:rsidR="00C35E2D" w:rsidRPr="00282B4B" w:rsidRDefault="00C35E2D" w:rsidP="00A70A9F">
            <w:pPr>
              <w:numPr>
                <w:ilvl w:val="0"/>
                <w:numId w:val="44"/>
              </w:numPr>
              <w:spacing w:after="0" w:line="240" w:lineRule="auto"/>
              <w:contextualSpacing/>
            </w:pPr>
            <w:r w:rsidRPr="00282B4B">
              <w:t>Automatizacija analize i kontrole potrošnje te identificiranje neželjene, prekomjerne i neracionalne potrošnje</w:t>
            </w:r>
            <w:r>
              <w:t>;</w:t>
            </w:r>
          </w:p>
          <w:p w14:paraId="6DB5BD40" w14:textId="4DE96D8A" w:rsidR="00C35E2D" w:rsidRPr="00282B4B" w:rsidRDefault="00C35E2D" w:rsidP="00A70A9F">
            <w:pPr>
              <w:numPr>
                <w:ilvl w:val="0"/>
                <w:numId w:val="44"/>
              </w:numPr>
              <w:spacing w:after="0" w:line="240" w:lineRule="auto"/>
              <w:contextualSpacing/>
              <w:rPr>
                <w:rFonts w:ascii="Century Gothic" w:eastAsia="Calibri" w:hAnsi="Century Gothic" w:cs="Times New Roman"/>
                <w:sz w:val="18"/>
                <w:szCs w:val="18"/>
              </w:rPr>
            </w:pPr>
            <w:r w:rsidRPr="00282B4B">
              <w:t>Sustavno (automatsko) obavještavanje odgovornih osoba o kritičnim rezultatima dobiveni</w:t>
            </w:r>
            <w:r>
              <w:t>h</w:t>
            </w:r>
            <w:r w:rsidRPr="00282B4B">
              <w:t xml:space="preserve"> analizama</w:t>
            </w:r>
            <w:r>
              <w:t>;</w:t>
            </w:r>
          </w:p>
          <w:p w14:paraId="702A44DF" w14:textId="0F1C2C4A" w:rsidR="00C35E2D" w:rsidRPr="00282B4B" w:rsidRDefault="00C35E2D" w:rsidP="00A70A9F">
            <w:pPr>
              <w:numPr>
                <w:ilvl w:val="0"/>
                <w:numId w:val="44"/>
              </w:numPr>
              <w:spacing w:after="0" w:line="240" w:lineRule="auto"/>
              <w:contextualSpacing/>
              <w:rPr>
                <w:rFonts w:ascii="Century Gothic" w:eastAsia="Calibri" w:hAnsi="Century Gothic" w:cs="Times New Roman"/>
                <w:sz w:val="18"/>
                <w:szCs w:val="18"/>
              </w:rPr>
            </w:pPr>
            <w:r w:rsidRPr="00282B4B">
              <w:t>Poduzimanje konkretnih mjera za povećanje energetske učinkovitosti i smanjenje potrošnje vode</w:t>
            </w:r>
            <w:r>
              <w:t>.</w:t>
            </w:r>
          </w:p>
        </w:tc>
      </w:tr>
    </w:tbl>
    <w:p w14:paraId="7362078E" w14:textId="77777777" w:rsidR="00C35E2D" w:rsidRDefault="00C35E2D" w:rsidP="00F62CC9"/>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5"/>
        <w:gridCol w:w="5331"/>
      </w:tblGrid>
      <w:tr w:rsidR="00F62CC9" w:rsidRPr="00282B4B" w14:paraId="22841B03" w14:textId="77777777" w:rsidTr="005808FC">
        <w:trPr>
          <w:trHeight w:val="227"/>
        </w:trPr>
        <w:tc>
          <w:tcPr>
            <w:tcW w:w="3685" w:type="dxa"/>
            <w:shd w:val="clear" w:color="auto" w:fill="C6D9F1" w:themeFill="text2" w:themeFillTint="33"/>
          </w:tcPr>
          <w:p w14:paraId="07F4B1EF" w14:textId="77777777" w:rsidR="00F62CC9" w:rsidRPr="005808FC" w:rsidRDefault="00F62CC9" w:rsidP="005808FC">
            <w:pPr>
              <w:spacing w:line="240" w:lineRule="auto"/>
              <w:ind w:left="142"/>
              <w:contextualSpacing/>
              <w:rPr>
                <w:b/>
                <w:bCs/>
              </w:rPr>
            </w:pPr>
            <w:r w:rsidRPr="00291DF5">
              <w:rPr>
                <w:b/>
                <w:bCs/>
              </w:rPr>
              <w:t>Redni broj mjere</w:t>
            </w:r>
          </w:p>
        </w:tc>
        <w:tc>
          <w:tcPr>
            <w:tcW w:w="5331" w:type="dxa"/>
            <w:shd w:val="clear" w:color="auto" w:fill="C6D9F1" w:themeFill="text2" w:themeFillTint="33"/>
          </w:tcPr>
          <w:p w14:paraId="515AC6A9" w14:textId="77777777" w:rsidR="00F62CC9" w:rsidRPr="005808FC" w:rsidRDefault="00F62CC9" w:rsidP="005808FC">
            <w:pPr>
              <w:spacing w:line="240" w:lineRule="auto"/>
              <w:ind w:left="176"/>
              <w:contextualSpacing/>
              <w:rPr>
                <w:b/>
                <w:bCs/>
              </w:rPr>
            </w:pPr>
            <w:r w:rsidRPr="00291DF5">
              <w:rPr>
                <w:b/>
                <w:bCs/>
              </w:rPr>
              <w:t>5</w:t>
            </w:r>
          </w:p>
        </w:tc>
      </w:tr>
      <w:tr w:rsidR="00F62CC9" w:rsidRPr="00282B4B" w14:paraId="7097B329" w14:textId="77777777" w:rsidTr="005808FC">
        <w:trPr>
          <w:trHeight w:val="227"/>
        </w:trPr>
        <w:tc>
          <w:tcPr>
            <w:tcW w:w="3685" w:type="dxa"/>
            <w:shd w:val="clear" w:color="auto" w:fill="C6D9F1" w:themeFill="text2" w:themeFillTint="33"/>
          </w:tcPr>
          <w:p w14:paraId="410CFEDB" w14:textId="77777777" w:rsidR="00F62CC9" w:rsidRPr="005808FC" w:rsidRDefault="00F62CC9" w:rsidP="005808FC">
            <w:pPr>
              <w:spacing w:line="240" w:lineRule="auto"/>
              <w:ind w:left="142"/>
              <w:contextualSpacing/>
              <w:rPr>
                <w:b/>
                <w:bCs/>
              </w:rPr>
            </w:pPr>
            <w:r w:rsidRPr="00291DF5">
              <w:rPr>
                <w:b/>
                <w:bCs/>
              </w:rPr>
              <w:t>Ime mjere/aktivnost</w:t>
            </w:r>
          </w:p>
        </w:tc>
        <w:tc>
          <w:tcPr>
            <w:tcW w:w="5331" w:type="dxa"/>
            <w:shd w:val="clear" w:color="auto" w:fill="C6D9F1" w:themeFill="text2" w:themeFillTint="33"/>
          </w:tcPr>
          <w:p w14:paraId="2A99FD50" w14:textId="77777777" w:rsidR="00F62CC9" w:rsidRPr="005808FC" w:rsidRDefault="00F62CC9" w:rsidP="005808FC">
            <w:pPr>
              <w:spacing w:line="240" w:lineRule="auto"/>
              <w:ind w:left="142"/>
              <w:contextualSpacing/>
              <w:jc w:val="left"/>
              <w:rPr>
                <w:b/>
                <w:bCs/>
              </w:rPr>
            </w:pPr>
            <w:r w:rsidRPr="00291DF5">
              <w:rPr>
                <w:b/>
                <w:bCs/>
              </w:rPr>
              <w:t xml:space="preserve">Provedba troškovno optimalnih </w:t>
            </w:r>
            <w:r w:rsidRPr="005808FC">
              <w:rPr>
                <w:b/>
                <w:bCs/>
              </w:rPr>
              <w:t>aktivnosti male kapitalne intenzivnosti koje donose brze energetske uštede</w:t>
            </w:r>
          </w:p>
        </w:tc>
      </w:tr>
      <w:tr w:rsidR="00F62CC9" w:rsidRPr="00282B4B" w14:paraId="4BFEE68F" w14:textId="77777777" w:rsidTr="005808FC">
        <w:trPr>
          <w:trHeight w:val="227"/>
        </w:trPr>
        <w:tc>
          <w:tcPr>
            <w:tcW w:w="3685" w:type="dxa"/>
            <w:shd w:val="clear" w:color="auto" w:fill="F2DBDB" w:themeFill="accent2" w:themeFillTint="33"/>
          </w:tcPr>
          <w:p w14:paraId="3B3E72D5" w14:textId="364197F5" w:rsidR="00F62CC9" w:rsidRPr="00282B4B" w:rsidRDefault="00F62CC9" w:rsidP="00BF405C">
            <w:pPr>
              <w:spacing w:line="240" w:lineRule="auto"/>
              <w:ind w:left="142"/>
              <w:contextualSpacing/>
            </w:pPr>
            <w:r w:rsidRPr="00291DF5">
              <w:rPr>
                <w:b/>
                <w:bCs/>
              </w:rPr>
              <w:t>Nositelj aktivnosti:</w:t>
            </w:r>
          </w:p>
        </w:tc>
        <w:tc>
          <w:tcPr>
            <w:tcW w:w="5331" w:type="dxa"/>
          </w:tcPr>
          <w:p w14:paraId="65C830A4" w14:textId="728222C8" w:rsidR="00F62CC9" w:rsidRPr="00282B4B" w:rsidRDefault="00F62CC9" w:rsidP="00BF405C">
            <w:pPr>
              <w:numPr>
                <w:ilvl w:val="0"/>
                <w:numId w:val="14"/>
              </w:numPr>
              <w:spacing w:line="240" w:lineRule="auto"/>
              <w:ind w:left="318" w:hanging="318"/>
              <w:contextualSpacing/>
            </w:pPr>
            <w:r w:rsidRPr="00282B4B">
              <w:t>Gradski ured za gospodarstvo, energetiku</w:t>
            </w:r>
            <w:r w:rsidR="000509A0">
              <w:t xml:space="preserve"> i </w:t>
            </w:r>
            <w:r w:rsidRPr="00282B4B">
              <w:t xml:space="preserve">zaštitu okoliša </w:t>
            </w:r>
          </w:p>
        </w:tc>
      </w:tr>
      <w:tr w:rsidR="00F62CC9" w:rsidRPr="00282B4B" w14:paraId="4A03C313" w14:textId="77777777" w:rsidTr="005808FC">
        <w:trPr>
          <w:trHeight w:val="227"/>
        </w:trPr>
        <w:tc>
          <w:tcPr>
            <w:tcW w:w="3685" w:type="dxa"/>
            <w:shd w:val="clear" w:color="auto" w:fill="F2DBDB" w:themeFill="accent2" w:themeFillTint="33"/>
          </w:tcPr>
          <w:p w14:paraId="0CDFD3C5" w14:textId="77777777" w:rsidR="00F62CC9" w:rsidRPr="00282B4B" w:rsidRDefault="00F62CC9" w:rsidP="00BF405C">
            <w:pPr>
              <w:spacing w:line="240" w:lineRule="auto"/>
              <w:ind w:left="142"/>
              <w:contextualSpacing/>
            </w:pPr>
            <w:r w:rsidRPr="00291DF5">
              <w:rPr>
                <w:b/>
                <w:bCs/>
              </w:rPr>
              <w:t>Partneri u provođenju aktivnosti:</w:t>
            </w:r>
          </w:p>
        </w:tc>
        <w:tc>
          <w:tcPr>
            <w:tcW w:w="5331" w:type="dxa"/>
          </w:tcPr>
          <w:p w14:paraId="01CBDB8D" w14:textId="057D459A" w:rsidR="00F62CC9" w:rsidRPr="00282B4B" w:rsidRDefault="00F62CC9" w:rsidP="00BF405C">
            <w:pPr>
              <w:numPr>
                <w:ilvl w:val="0"/>
                <w:numId w:val="14"/>
              </w:numPr>
              <w:spacing w:line="240" w:lineRule="auto"/>
              <w:ind w:left="318" w:hanging="318"/>
              <w:contextualSpacing/>
            </w:pPr>
            <w:r w:rsidRPr="00282B4B">
              <w:t>Gradski uredi/zavodi ili službe, proračunski korisnici</w:t>
            </w:r>
            <w:r w:rsidR="000509A0">
              <w:t xml:space="preserve"> i </w:t>
            </w:r>
            <w:r w:rsidRPr="00282B4B">
              <w:t>podružnice ZGH u čijoj je nadležnosti zgrada</w:t>
            </w:r>
          </w:p>
          <w:p w14:paraId="04B25F6E" w14:textId="77777777" w:rsidR="00F62CC9" w:rsidRPr="00282B4B" w:rsidRDefault="00F62CC9" w:rsidP="00BF405C">
            <w:pPr>
              <w:numPr>
                <w:ilvl w:val="0"/>
                <w:numId w:val="14"/>
              </w:numPr>
              <w:spacing w:line="240" w:lineRule="auto"/>
              <w:ind w:left="318" w:hanging="318"/>
              <w:contextualSpacing/>
            </w:pPr>
            <w:r w:rsidRPr="00282B4B">
              <w:t>REGEA</w:t>
            </w:r>
          </w:p>
        </w:tc>
      </w:tr>
      <w:tr w:rsidR="00F62CC9" w:rsidRPr="00282B4B" w14:paraId="1E723AA0" w14:textId="77777777" w:rsidTr="005808FC">
        <w:trPr>
          <w:trHeight w:val="227"/>
        </w:trPr>
        <w:tc>
          <w:tcPr>
            <w:tcW w:w="3685" w:type="dxa"/>
            <w:shd w:val="clear" w:color="auto" w:fill="F2DBDB" w:themeFill="accent2" w:themeFillTint="33"/>
          </w:tcPr>
          <w:p w14:paraId="4A5F0C91" w14:textId="77777777" w:rsidR="00F62CC9" w:rsidRPr="005808FC" w:rsidRDefault="00F62CC9" w:rsidP="005808FC">
            <w:pPr>
              <w:spacing w:line="240" w:lineRule="auto"/>
              <w:ind w:left="142"/>
              <w:contextualSpacing/>
              <w:rPr>
                <w:b/>
                <w:bCs/>
              </w:rPr>
            </w:pPr>
            <w:r w:rsidRPr="00291DF5">
              <w:rPr>
                <w:b/>
                <w:bCs/>
              </w:rPr>
              <w:t>Početak/kraj provedbe (godine)</w:t>
            </w:r>
          </w:p>
        </w:tc>
        <w:tc>
          <w:tcPr>
            <w:tcW w:w="5331" w:type="dxa"/>
          </w:tcPr>
          <w:p w14:paraId="3B71F935" w14:textId="77777777" w:rsidR="00F62CC9" w:rsidRPr="005808FC" w:rsidRDefault="00F62CC9" w:rsidP="00BF405C">
            <w:pPr>
              <w:spacing w:line="240" w:lineRule="auto"/>
              <w:ind w:left="142"/>
              <w:contextualSpacing/>
              <w:rPr>
                <w:b/>
              </w:rPr>
            </w:pPr>
            <w:r w:rsidRPr="005808FC">
              <w:rPr>
                <w:b/>
              </w:rPr>
              <w:t>2021.- 2030.</w:t>
            </w:r>
          </w:p>
        </w:tc>
      </w:tr>
      <w:tr w:rsidR="00F62CC9" w:rsidRPr="00282B4B" w14:paraId="3AE26935" w14:textId="77777777" w:rsidTr="005808FC">
        <w:trPr>
          <w:trHeight w:val="227"/>
        </w:trPr>
        <w:tc>
          <w:tcPr>
            <w:tcW w:w="3685" w:type="dxa"/>
            <w:shd w:val="clear" w:color="auto" w:fill="F2DBDB" w:themeFill="accent2" w:themeFillTint="33"/>
          </w:tcPr>
          <w:p w14:paraId="5E86E06E" w14:textId="77777777" w:rsidR="00F62CC9" w:rsidRPr="005808FC" w:rsidRDefault="00F62CC9" w:rsidP="005808FC">
            <w:pPr>
              <w:spacing w:line="240" w:lineRule="auto"/>
              <w:ind w:left="142"/>
              <w:contextualSpacing/>
              <w:rPr>
                <w:b/>
                <w:bCs/>
              </w:rPr>
            </w:pPr>
            <w:r w:rsidRPr="00291DF5">
              <w:rPr>
                <w:b/>
                <w:bCs/>
              </w:rPr>
              <w:t>Procjena uštede (MWh)</w:t>
            </w:r>
          </w:p>
        </w:tc>
        <w:tc>
          <w:tcPr>
            <w:tcW w:w="5331" w:type="dxa"/>
          </w:tcPr>
          <w:p w14:paraId="775CB6EC" w14:textId="5025F86A" w:rsidR="00F62CC9" w:rsidRPr="005808FC" w:rsidRDefault="00307A39" w:rsidP="00BF405C">
            <w:pPr>
              <w:spacing w:line="240" w:lineRule="auto"/>
              <w:ind w:left="142"/>
              <w:contextualSpacing/>
              <w:rPr>
                <w:b/>
              </w:rPr>
            </w:pPr>
            <w:r w:rsidRPr="005808FC">
              <w:rPr>
                <w:b/>
              </w:rPr>
              <w:t>91</w:t>
            </w:r>
            <w:r w:rsidR="000509A0">
              <w:rPr>
                <w:b/>
              </w:rPr>
              <w:t>.</w:t>
            </w:r>
            <w:r w:rsidRPr="005808FC">
              <w:rPr>
                <w:b/>
              </w:rPr>
              <w:t>318,66</w:t>
            </w:r>
          </w:p>
        </w:tc>
      </w:tr>
      <w:tr w:rsidR="00F62CC9" w:rsidRPr="00282B4B" w14:paraId="09FD3E7E" w14:textId="77777777" w:rsidTr="005808FC">
        <w:trPr>
          <w:trHeight w:val="227"/>
        </w:trPr>
        <w:tc>
          <w:tcPr>
            <w:tcW w:w="3685" w:type="dxa"/>
            <w:shd w:val="clear" w:color="auto" w:fill="F2DBDB" w:themeFill="accent2" w:themeFillTint="33"/>
          </w:tcPr>
          <w:p w14:paraId="1AEAD845" w14:textId="77777777" w:rsidR="00F62CC9" w:rsidRPr="005808FC" w:rsidRDefault="00F62CC9" w:rsidP="005808FC">
            <w:pPr>
              <w:spacing w:line="240" w:lineRule="auto"/>
              <w:ind w:left="142"/>
              <w:contextualSpacing/>
              <w:rPr>
                <w:b/>
                <w:bCs/>
              </w:rPr>
            </w:pPr>
            <w:r w:rsidRPr="00291DF5">
              <w:rPr>
                <w:b/>
                <w:bCs/>
              </w:rPr>
              <w:t>Procjena smanjenja emisije (t CO</w:t>
            </w:r>
            <w:r w:rsidRPr="005808FC">
              <w:rPr>
                <w:b/>
                <w:bCs/>
                <w:vertAlign w:val="subscript"/>
              </w:rPr>
              <w:t>2</w:t>
            </w:r>
            <w:r w:rsidRPr="005808FC">
              <w:rPr>
                <w:b/>
                <w:bCs/>
              </w:rPr>
              <w:t>eq)</w:t>
            </w:r>
          </w:p>
        </w:tc>
        <w:tc>
          <w:tcPr>
            <w:tcW w:w="5331" w:type="dxa"/>
          </w:tcPr>
          <w:p w14:paraId="3E778384" w14:textId="368829F0" w:rsidR="00F62CC9" w:rsidRPr="005808FC" w:rsidRDefault="00307A39" w:rsidP="00BF405C">
            <w:pPr>
              <w:spacing w:line="240" w:lineRule="auto"/>
              <w:ind w:left="142"/>
              <w:contextualSpacing/>
              <w:rPr>
                <w:b/>
              </w:rPr>
            </w:pPr>
            <w:r w:rsidRPr="005808FC">
              <w:rPr>
                <w:b/>
              </w:rPr>
              <w:t>35</w:t>
            </w:r>
            <w:r w:rsidR="000509A0">
              <w:rPr>
                <w:b/>
              </w:rPr>
              <w:t>.</w:t>
            </w:r>
            <w:r w:rsidRPr="005808FC">
              <w:rPr>
                <w:b/>
              </w:rPr>
              <w:t>065,2</w:t>
            </w:r>
          </w:p>
        </w:tc>
      </w:tr>
      <w:tr w:rsidR="00F62CC9" w:rsidRPr="00282B4B" w14:paraId="33528FCF" w14:textId="77777777" w:rsidTr="005808FC">
        <w:trPr>
          <w:trHeight w:val="227"/>
        </w:trPr>
        <w:tc>
          <w:tcPr>
            <w:tcW w:w="3685" w:type="dxa"/>
            <w:shd w:val="clear" w:color="auto" w:fill="F2DBDB" w:themeFill="accent2" w:themeFillTint="33"/>
          </w:tcPr>
          <w:p w14:paraId="53530B97" w14:textId="77777777" w:rsidR="00F62CC9" w:rsidRPr="005808FC" w:rsidRDefault="00F62CC9" w:rsidP="005808FC">
            <w:pPr>
              <w:spacing w:line="240" w:lineRule="auto"/>
              <w:ind w:left="142"/>
              <w:contextualSpacing/>
              <w:rPr>
                <w:b/>
                <w:bCs/>
              </w:rPr>
            </w:pPr>
            <w:r w:rsidRPr="00291DF5">
              <w:rPr>
                <w:b/>
                <w:bCs/>
              </w:rPr>
              <w:t xml:space="preserve">Izvor </w:t>
            </w:r>
            <w:r w:rsidRPr="005808FC">
              <w:rPr>
                <w:b/>
                <w:bCs/>
              </w:rPr>
              <w:t>sredstava za provedbu</w:t>
            </w:r>
          </w:p>
        </w:tc>
        <w:tc>
          <w:tcPr>
            <w:tcW w:w="5331" w:type="dxa"/>
          </w:tcPr>
          <w:p w14:paraId="33F072F4" w14:textId="77777777" w:rsidR="00F62CC9" w:rsidRPr="00282B4B" w:rsidRDefault="00F62CC9" w:rsidP="00BF405C">
            <w:pPr>
              <w:numPr>
                <w:ilvl w:val="0"/>
                <w:numId w:val="48"/>
              </w:numPr>
              <w:spacing w:line="240" w:lineRule="auto"/>
              <w:ind w:left="462" w:hanging="270"/>
              <w:contextualSpacing/>
            </w:pPr>
            <w:r>
              <w:t>Proračun Grada Zagreba</w:t>
            </w:r>
          </w:p>
          <w:p w14:paraId="2A76BEFA" w14:textId="77777777" w:rsidR="00F62CC9" w:rsidRPr="00282B4B" w:rsidRDefault="00F62CC9" w:rsidP="00BF405C">
            <w:pPr>
              <w:numPr>
                <w:ilvl w:val="0"/>
                <w:numId w:val="48"/>
              </w:numPr>
              <w:spacing w:line="240" w:lineRule="auto"/>
              <w:ind w:left="462" w:hanging="270"/>
              <w:contextualSpacing/>
            </w:pPr>
            <w:r w:rsidRPr="00282B4B">
              <w:t>Proračun Zagrebačkog holdinga</w:t>
            </w:r>
          </w:p>
          <w:p w14:paraId="28894979" w14:textId="77777777" w:rsidR="00F62CC9" w:rsidRPr="00282B4B" w:rsidRDefault="00F62CC9" w:rsidP="00BF405C">
            <w:pPr>
              <w:numPr>
                <w:ilvl w:val="0"/>
                <w:numId w:val="48"/>
              </w:numPr>
              <w:spacing w:line="240" w:lineRule="auto"/>
              <w:ind w:left="462" w:hanging="270"/>
              <w:contextualSpacing/>
            </w:pPr>
            <w:r w:rsidRPr="00282B4B">
              <w:t>Proračun tvrtki u vlasništvu grada Zagreba</w:t>
            </w:r>
          </w:p>
          <w:p w14:paraId="35D479D4" w14:textId="77777777" w:rsidR="00F62CC9" w:rsidRPr="00282B4B" w:rsidRDefault="00F62CC9" w:rsidP="00BF405C">
            <w:pPr>
              <w:numPr>
                <w:ilvl w:val="0"/>
                <w:numId w:val="48"/>
              </w:numPr>
              <w:spacing w:line="240" w:lineRule="auto"/>
              <w:ind w:left="462" w:hanging="270"/>
              <w:contextualSpacing/>
            </w:pPr>
            <w:r w:rsidRPr="00282B4B">
              <w:t>FZOEU</w:t>
            </w:r>
          </w:p>
        </w:tc>
      </w:tr>
      <w:tr w:rsidR="00F62CC9" w:rsidRPr="00282B4B" w14:paraId="160BA303" w14:textId="77777777" w:rsidTr="005808FC">
        <w:trPr>
          <w:trHeight w:val="800"/>
        </w:trPr>
        <w:tc>
          <w:tcPr>
            <w:tcW w:w="3685" w:type="dxa"/>
            <w:shd w:val="clear" w:color="auto" w:fill="F2DBDB" w:themeFill="accent2" w:themeFillTint="33"/>
          </w:tcPr>
          <w:p w14:paraId="0163D138" w14:textId="77777777" w:rsidR="00F62CC9" w:rsidRPr="005808FC" w:rsidRDefault="00F62CC9" w:rsidP="005808FC">
            <w:pPr>
              <w:spacing w:line="240" w:lineRule="auto"/>
              <w:ind w:left="150"/>
              <w:contextualSpacing/>
              <w:jc w:val="left"/>
              <w:rPr>
                <w:b/>
                <w:bCs/>
              </w:rPr>
            </w:pPr>
            <w:r w:rsidRPr="00291DF5">
              <w:rPr>
                <w:b/>
                <w:bCs/>
              </w:rPr>
              <w:t>Kratki opis/komentar</w:t>
            </w:r>
          </w:p>
        </w:tc>
        <w:tc>
          <w:tcPr>
            <w:tcW w:w="5331" w:type="dxa"/>
          </w:tcPr>
          <w:p w14:paraId="6D5DFCBA" w14:textId="20BD9A01" w:rsidR="00F62CC9" w:rsidRDefault="00F62CC9" w:rsidP="00BF405C">
            <w:pPr>
              <w:spacing w:line="240" w:lineRule="auto"/>
            </w:pPr>
            <w:r w:rsidRPr="00282B4B">
              <w:t>Postoje aktivnosti male kapitalne intenzivnosti koje je moguće primijeniti bez većih prekida normalnog funkcioniranja zgrada. Energetske uštede postignute na ovaj način mogu biti značajne. Mjera je kontinuiranog karaktera, podrazumijeva održavanje svih sustava</w:t>
            </w:r>
            <w:r w:rsidR="000509A0">
              <w:t xml:space="preserve"> i </w:t>
            </w:r>
            <w:r w:rsidRPr="00282B4B">
              <w:t xml:space="preserve">dijelova zgrade. </w:t>
            </w:r>
          </w:p>
          <w:p w14:paraId="49B54BEE" w14:textId="3A5F15E7" w:rsidR="00F62CC9" w:rsidRPr="00BF405C" w:rsidRDefault="00F62CC9" w:rsidP="00BF405C">
            <w:pPr>
              <w:spacing w:line="240" w:lineRule="auto"/>
            </w:pPr>
            <w:r w:rsidRPr="00BF405C">
              <w:t>U prvoj fazi potrebno je detaljno analizirati zgrade, identificirati gdje se mogu primijeniti pojedine aktivnosti koje su navedene dalje u opisu mjere. Preporuka je da se analiza također odrađuje sukcesivno</w:t>
            </w:r>
            <w:r w:rsidR="000509A0">
              <w:t xml:space="preserve"> i </w:t>
            </w:r>
            <w:r w:rsidRPr="00BF405C">
              <w:t xml:space="preserve">to za vrijeme revizije energetskih certifikata za građevine. Bazu podataka potrebno je kontinuirano održavati, a mjera je direktno povezana s mjerom uvođenja sustava </w:t>
            </w:r>
            <w:r w:rsidRPr="00BF405C">
              <w:lastRenderedPageBreak/>
              <w:t>automatskog nadzora</w:t>
            </w:r>
            <w:r w:rsidR="000509A0">
              <w:t xml:space="preserve"> i </w:t>
            </w:r>
            <w:r w:rsidRPr="00BF405C">
              <w:t>individualnog mjerenja potrošnje energije</w:t>
            </w:r>
            <w:r w:rsidR="000509A0">
              <w:t xml:space="preserve"> i </w:t>
            </w:r>
            <w:r w:rsidRPr="00BF405C">
              <w:t>vode u zgradama javnog sektora.</w:t>
            </w:r>
          </w:p>
          <w:p w14:paraId="4B2EBF1B" w14:textId="77777777" w:rsidR="00F62CC9" w:rsidRPr="00BF405C" w:rsidRDefault="00F62CC9" w:rsidP="00BF405C">
            <w:pPr>
              <w:spacing w:line="240" w:lineRule="auto"/>
            </w:pPr>
            <w:r w:rsidRPr="00BF405C">
              <w:t>Konkretne aktivnosti uključuju:</w:t>
            </w:r>
          </w:p>
          <w:p w14:paraId="5B6639E3" w14:textId="77777777" w:rsidR="00F62CC9" w:rsidRPr="00282B4B" w:rsidRDefault="00F62CC9" w:rsidP="000D58DB">
            <w:pPr>
              <w:numPr>
                <w:ilvl w:val="0"/>
                <w:numId w:val="45"/>
              </w:numPr>
              <w:spacing w:line="240" w:lineRule="auto"/>
              <w:ind w:left="106" w:firstLine="207"/>
              <w:contextualSpacing/>
            </w:pPr>
            <w:r w:rsidRPr="00291DF5">
              <w:rPr>
                <w:b/>
                <w:bCs/>
              </w:rPr>
              <w:t>Kontrola potrošnje</w:t>
            </w:r>
            <w:r w:rsidRPr="00282B4B">
              <w:t>: Precizno mjerenje potrošnje električne energije, vode, topline osnova je učinkovite kontrole potrošnje.</w:t>
            </w:r>
          </w:p>
          <w:p w14:paraId="7BC79373" w14:textId="77777777" w:rsidR="00F62CC9" w:rsidRPr="00282B4B" w:rsidRDefault="00F62CC9" w:rsidP="00BF405C">
            <w:pPr>
              <w:numPr>
                <w:ilvl w:val="0"/>
                <w:numId w:val="45"/>
              </w:numPr>
              <w:spacing w:line="240" w:lineRule="auto"/>
              <w:ind w:left="106" w:firstLine="180"/>
              <w:contextualSpacing/>
            </w:pPr>
            <w:r w:rsidRPr="00291DF5">
              <w:rPr>
                <w:b/>
                <w:bCs/>
              </w:rPr>
              <w:t>Održavanje adekvatne temperature prostorija</w:t>
            </w:r>
            <w:r w:rsidRPr="00282B4B">
              <w:t>. Jedan od čimbenika koji je relativno jednostavno kontrolirati je temperatura zraka u sobama. Potrošnja energije u zgradama ponajviše ovisi o temperaturi sobe, 1°C povećanja temperature uzrokuje 6% povećanje potrošnje.</w:t>
            </w:r>
          </w:p>
          <w:p w14:paraId="3270A8C0" w14:textId="6CD8178E" w:rsidR="00F62CC9" w:rsidRPr="00282B4B" w:rsidRDefault="00F62CC9" w:rsidP="00BF405C">
            <w:pPr>
              <w:numPr>
                <w:ilvl w:val="0"/>
                <w:numId w:val="45"/>
              </w:numPr>
              <w:spacing w:line="240" w:lineRule="auto"/>
              <w:ind w:left="106" w:firstLine="270"/>
              <w:contextualSpacing/>
            </w:pPr>
            <w:r w:rsidRPr="00291DF5">
              <w:rPr>
                <w:b/>
                <w:bCs/>
              </w:rPr>
              <w:t>Redovito održavanje mehaničkih ventilacijskih sustava</w:t>
            </w:r>
            <w:r w:rsidRPr="00282B4B">
              <w:t>. Čak</w:t>
            </w:r>
            <w:r w:rsidR="000509A0">
              <w:t xml:space="preserve"> i </w:t>
            </w:r>
            <w:r w:rsidRPr="00282B4B">
              <w:t>jednostavni tehnološki sustavi imaju brojne komponente koje je potrebno redovito održavati u svrhu optimalnog rada.</w:t>
            </w:r>
          </w:p>
          <w:p w14:paraId="27069EE6" w14:textId="341E9918" w:rsidR="00F62CC9" w:rsidRPr="00282B4B" w:rsidRDefault="00F62CC9" w:rsidP="00BF405C">
            <w:pPr>
              <w:numPr>
                <w:ilvl w:val="0"/>
                <w:numId w:val="45"/>
              </w:numPr>
              <w:spacing w:line="240" w:lineRule="auto"/>
              <w:ind w:left="106" w:firstLine="270"/>
              <w:contextualSpacing/>
            </w:pPr>
            <w:r w:rsidRPr="00291DF5">
              <w:rPr>
                <w:b/>
                <w:bCs/>
              </w:rPr>
              <w:t>Smanjenj</w:t>
            </w:r>
            <w:r w:rsidRPr="005808FC">
              <w:rPr>
                <w:b/>
                <w:bCs/>
              </w:rPr>
              <w:t>e potrošnje vode</w:t>
            </w:r>
            <w:r w:rsidRPr="00282B4B">
              <w:t>. Slavine</w:t>
            </w:r>
            <w:r w:rsidR="000509A0">
              <w:t xml:space="preserve"> i </w:t>
            </w:r>
            <w:r w:rsidRPr="00282B4B">
              <w:t>vodokotliće treba redovito provjeravati da nema curenja</w:t>
            </w:r>
            <w:r w:rsidR="000509A0">
              <w:t xml:space="preserve"> i </w:t>
            </w:r>
            <w:r w:rsidRPr="00282B4B">
              <w:t>ukoliko je potrebno servisirati. Prilikom renovacija ugrađivati uređaje koji štede vodu.</w:t>
            </w:r>
          </w:p>
          <w:p w14:paraId="440AAC87" w14:textId="14E403E4" w:rsidR="00F62CC9" w:rsidRPr="00282B4B" w:rsidRDefault="00F62CC9" w:rsidP="00BF405C">
            <w:pPr>
              <w:numPr>
                <w:ilvl w:val="0"/>
                <w:numId w:val="45"/>
              </w:numPr>
              <w:spacing w:line="240" w:lineRule="auto"/>
              <w:ind w:left="106" w:firstLine="270"/>
              <w:contextualSpacing/>
            </w:pPr>
            <w:r w:rsidRPr="00291DF5">
              <w:rPr>
                <w:b/>
                <w:bCs/>
              </w:rPr>
              <w:t>Adekvatno zagrijavanje vode</w:t>
            </w:r>
            <w:r w:rsidRPr="00282B4B">
              <w:t xml:space="preserve"> . Zagrijavanje, skladištenje</w:t>
            </w:r>
            <w:r w:rsidR="000509A0">
              <w:t xml:space="preserve"> i </w:t>
            </w:r>
            <w:r w:rsidRPr="00282B4B">
              <w:t xml:space="preserve">distribucija vode troše energiju, te temperatura optimalno treba biti postavljena na 60°C. </w:t>
            </w:r>
          </w:p>
          <w:p w14:paraId="6889A21D" w14:textId="31CABF75" w:rsidR="00F62CC9" w:rsidRPr="00282B4B" w:rsidRDefault="00F62CC9" w:rsidP="00BF405C">
            <w:pPr>
              <w:numPr>
                <w:ilvl w:val="0"/>
                <w:numId w:val="45"/>
              </w:numPr>
              <w:spacing w:line="240" w:lineRule="auto"/>
              <w:ind w:left="106" w:firstLine="270"/>
              <w:contextualSpacing/>
            </w:pPr>
            <w:r w:rsidRPr="00291DF5">
              <w:rPr>
                <w:b/>
                <w:bCs/>
              </w:rPr>
              <w:t>Učinkovita rasvjeta.</w:t>
            </w:r>
            <w:r w:rsidRPr="00282B4B">
              <w:t xml:space="preserve"> U mnogim zgradama instalacije su stare</w:t>
            </w:r>
            <w:r w:rsidR="000509A0">
              <w:t xml:space="preserve"> i </w:t>
            </w:r>
            <w:r w:rsidRPr="00282B4B">
              <w:t>neučinkovite, nema centralnog sustava upravljanja, svijetla pale</w:t>
            </w:r>
            <w:r w:rsidR="000509A0">
              <w:t xml:space="preserve"> i </w:t>
            </w:r>
            <w:r w:rsidRPr="00282B4B">
              <w:t>gase brojni korisnici. Veliki doprinos smanjenju potrošnje električne energije mogu dati sami korisnici ispravnim</w:t>
            </w:r>
            <w:r w:rsidR="000509A0">
              <w:t xml:space="preserve"> i </w:t>
            </w:r>
            <w:r w:rsidRPr="00282B4B">
              <w:t xml:space="preserve">pažljivim korištenjem. </w:t>
            </w:r>
          </w:p>
          <w:p w14:paraId="031D2208" w14:textId="77777777" w:rsidR="00F62CC9" w:rsidRPr="00282B4B" w:rsidRDefault="00F62CC9" w:rsidP="00BF405C">
            <w:pPr>
              <w:numPr>
                <w:ilvl w:val="0"/>
                <w:numId w:val="45"/>
              </w:numPr>
              <w:spacing w:line="240" w:lineRule="auto"/>
              <w:ind w:left="106" w:firstLine="270"/>
              <w:contextualSpacing/>
            </w:pPr>
            <w:r w:rsidRPr="00291DF5">
              <w:rPr>
                <w:b/>
                <w:bCs/>
              </w:rPr>
              <w:t xml:space="preserve">Održavanje preporučenih razina osvjetljenja </w:t>
            </w:r>
            <w:r w:rsidRPr="00282B4B">
              <w:t>pojedinih prostorija (</w:t>
            </w:r>
            <w:r w:rsidRPr="00AA6D1C">
              <w:t>DIN EN 12464)</w:t>
            </w:r>
          </w:p>
          <w:p w14:paraId="0FAF4B2D" w14:textId="77777777" w:rsidR="00F62CC9" w:rsidRPr="00282B4B" w:rsidRDefault="00F62CC9" w:rsidP="00BF405C">
            <w:pPr>
              <w:numPr>
                <w:ilvl w:val="0"/>
                <w:numId w:val="45"/>
              </w:numPr>
              <w:spacing w:line="240" w:lineRule="auto"/>
              <w:ind w:left="106" w:firstLine="270"/>
              <w:contextualSpacing/>
            </w:pPr>
            <w:r w:rsidRPr="00291DF5">
              <w:rPr>
                <w:b/>
                <w:bCs/>
              </w:rPr>
              <w:t>Izolacija cijevi za grijanje u prostorijama koje se ne griju.</w:t>
            </w:r>
          </w:p>
          <w:p w14:paraId="52E3AEA7" w14:textId="57293BD4" w:rsidR="00F62CC9" w:rsidRPr="005808FC" w:rsidRDefault="00F62CC9" w:rsidP="005808FC">
            <w:pPr>
              <w:numPr>
                <w:ilvl w:val="0"/>
                <w:numId w:val="45"/>
              </w:numPr>
              <w:spacing w:line="240" w:lineRule="auto"/>
              <w:ind w:left="106" w:firstLine="270"/>
              <w:contextualSpacing/>
              <w:rPr>
                <w:b/>
                <w:bCs/>
              </w:rPr>
            </w:pPr>
            <w:r w:rsidRPr="00291DF5">
              <w:rPr>
                <w:b/>
                <w:bCs/>
              </w:rPr>
              <w:t>Pravilno korištenje termostatskih ventila.</w:t>
            </w:r>
            <w:r w:rsidR="00B25B9E" w:rsidRPr="005808FC">
              <w:rPr>
                <w:b/>
                <w:bCs/>
              </w:rPr>
              <w:t xml:space="preserve"> </w:t>
            </w:r>
          </w:p>
          <w:p w14:paraId="03B01B15" w14:textId="77777777" w:rsidR="00F62CC9" w:rsidRPr="00282B4B" w:rsidRDefault="00F62CC9" w:rsidP="0DFBE047">
            <w:pPr>
              <w:numPr>
                <w:ilvl w:val="0"/>
                <w:numId w:val="45"/>
              </w:numPr>
              <w:spacing w:line="240" w:lineRule="auto"/>
              <w:ind w:left="106" w:firstLine="270"/>
              <w:contextualSpacing/>
            </w:pPr>
            <w:r w:rsidRPr="00291DF5">
              <w:rPr>
                <w:b/>
                <w:bCs/>
              </w:rPr>
              <w:t xml:space="preserve">Smanjenje potrošnje energije uređaja u </w:t>
            </w:r>
            <w:r w:rsidRPr="00291DF5">
              <w:rPr>
                <w:b/>
                <w:bCs/>
                <w:i/>
                <w:iCs/>
              </w:rPr>
              <w:t>Stand-by</w:t>
            </w:r>
            <w:r w:rsidRPr="00291DF5">
              <w:rPr>
                <w:b/>
                <w:bCs/>
              </w:rPr>
              <w:t xml:space="preserve"> načinu rada. </w:t>
            </w:r>
            <w:r w:rsidRPr="00282B4B">
              <w:t xml:space="preserve">Koristiti razvodne uređaje s prekidačima kako bi umanjili potrošnju u </w:t>
            </w:r>
            <w:r w:rsidRPr="00291DF5">
              <w:rPr>
                <w:i/>
                <w:iCs/>
              </w:rPr>
              <w:t>stand by</w:t>
            </w:r>
            <w:r w:rsidRPr="00282B4B">
              <w:t xml:space="preserve"> načinu rada.</w:t>
            </w:r>
          </w:p>
        </w:tc>
      </w:tr>
    </w:tbl>
    <w:p w14:paraId="623F9810" w14:textId="77777777" w:rsidR="000509A0" w:rsidRDefault="000509A0" w:rsidP="00F62CC9"/>
    <w:p w14:paraId="32A8CDE9" w14:textId="77777777" w:rsidR="000509A0" w:rsidRDefault="000509A0">
      <w:pPr>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31"/>
      </w:tblGrid>
      <w:tr w:rsidR="00F62CC9" w:rsidRPr="00282B4B" w14:paraId="26A234A7" w14:textId="77777777" w:rsidTr="005808FC">
        <w:trPr>
          <w:trHeight w:val="227"/>
        </w:trPr>
        <w:tc>
          <w:tcPr>
            <w:tcW w:w="3685" w:type="dxa"/>
            <w:shd w:val="clear" w:color="auto" w:fill="C6D9F1" w:themeFill="text2" w:themeFillTint="33"/>
          </w:tcPr>
          <w:p w14:paraId="68885881" w14:textId="77777777" w:rsidR="00F62CC9" w:rsidRPr="005808FC" w:rsidRDefault="00F62CC9" w:rsidP="005808FC">
            <w:pPr>
              <w:spacing w:line="240" w:lineRule="auto"/>
              <w:rPr>
                <w:b/>
                <w:bCs/>
              </w:rPr>
            </w:pPr>
            <w:r w:rsidRPr="00291DF5">
              <w:rPr>
                <w:b/>
                <w:bCs/>
              </w:rPr>
              <w:lastRenderedPageBreak/>
              <w:t>Redni broj mjere</w:t>
            </w:r>
          </w:p>
        </w:tc>
        <w:tc>
          <w:tcPr>
            <w:tcW w:w="5331" w:type="dxa"/>
            <w:shd w:val="clear" w:color="auto" w:fill="C6D9F1" w:themeFill="text2" w:themeFillTint="33"/>
          </w:tcPr>
          <w:p w14:paraId="51B84E57" w14:textId="77777777" w:rsidR="00F62CC9" w:rsidRPr="005808FC" w:rsidRDefault="00F62CC9" w:rsidP="005808FC">
            <w:pPr>
              <w:spacing w:line="240" w:lineRule="auto"/>
              <w:rPr>
                <w:b/>
                <w:bCs/>
              </w:rPr>
            </w:pPr>
            <w:r w:rsidRPr="00291DF5">
              <w:rPr>
                <w:b/>
                <w:bCs/>
              </w:rPr>
              <w:t>6</w:t>
            </w:r>
          </w:p>
        </w:tc>
      </w:tr>
      <w:tr w:rsidR="00F62CC9" w:rsidRPr="00282B4B" w14:paraId="321B5DDA" w14:textId="77777777" w:rsidTr="005808FC">
        <w:trPr>
          <w:trHeight w:val="227"/>
        </w:trPr>
        <w:tc>
          <w:tcPr>
            <w:tcW w:w="3685" w:type="dxa"/>
            <w:shd w:val="clear" w:color="auto" w:fill="C6D9F1" w:themeFill="text2" w:themeFillTint="33"/>
          </w:tcPr>
          <w:p w14:paraId="37CAA45D" w14:textId="77777777" w:rsidR="00F62CC9" w:rsidRPr="005808FC" w:rsidRDefault="00F62CC9" w:rsidP="005808FC">
            <w:pPr>
              <w:spacing w:line="240" w:lineRule="auto"/>
              <w:rPr>
                <w:b/>
                <w:bCs/>
              </w:rPr>
            </w:pPr>
            <w:r w:rsidRPr="00291DF5">
              <w:rPr>
                <w:b/>
                <w:bCs/>
              </w:rPr>
              <w:t xml:space="preserve">Ime </w:t>
            </w:r>
            <w:r w:rsidRPr="005808FC">
              <w:rPr>
                <w:b/>
                <w:bCs/>
              </w:rPr>
              <w:t>mjere/aktivnost</w:t>
            </w:r>
          </w:p>
        </w:tc>
        <w:tc>
          <w:tcPr>
            <w:tcW w:w="5331" w:type="dxa"/>
            <w:shd w:val="clear" w:color="auto" w:fill="C6D9F1" w:themeFill="text2" w:themeFillTint="33"/>
          </w:tcPr>
          <w:p w14:paraId="74105860" w14:textId="40A329FA" w:rsidR="00F62CC9" w:rsidRPr="005808FC" w:rsidRDefault="00F62CC9" w:rsidP="005808FC">
            <w:pPr>
              <w:spacing w:line="240" w:lineRule="auto"/>
              <w:jc w:val="left"/>
              <w:rPr>
                <w:b/>
                <w:bCs/>
              </w:rPr>
            </w:pPr>
            <w:r w:rsidRPr="00291DF5">
              <w:rPr>
                <w:b/>
                <w:bCs/>
              </w:rPr>
              <w:t>Provođenje programa integralne energetske obnove zgrada u vlasništvu grada Zagreba</w:t>
            </w:r>
            <w:r w:rsidR="000509A0">
              <w:rPr>
                <w:b/>
                <w:bCs/>
              </w:rPr>
              <w:t xml:space="preserve"> i </w:t>
            </w:r>
            <w:r w:rsidRPr="00291DF5">
              <w:rPr>
                <w:b/>
                <w:bCs/>
              </w:rPr>
              <w:t>tvrtki u vlasništvu Grada Zagreba do nZEB kategorije</w:t>
            </w:r>
          </w:p>
        </w:tc>
      </w:tr>
      <w:tr w:rsidR="00F62CC9" w:rsidRPr="00282B4B" w14:paraId="4C0DD6AE" w14:textId="77777777" w:rsidTr="005808FC">
        <w:trPr>
          <w:trHeight w:val="710"/>
        </w:trPr>
        <w:tc>
          <w:tcPr>
            <w:tcW w:w="3685" w:type="dxa"/>
            <w:shd w:val="clear" w:color="auto" w:fill="F2DBDB" w:themeFill="accent2" w:themeFillTint="33"/>
          </w:tcPr>
          <w:p w14:paraId="27A62189" w14:textId="61DFBFA9" w:rsidR="00F62CC9" w:rsidRPr="005808FC" w:rsidRDefault="00F62CC9" w:rsidP="005808FC">
            <w:pPr>
              <w:spacing w:line="240" w:lineRule="auto"/>
              <w:rPr>
                <w:b/>
                <w:bCs/>
              </w:rPr>
            </w:pPr>
            <w:r w:rsidRPr="00291DF5">
              <w:rPr>
                <w:b/>
                <w:bCs/>
              </w:rPr>
              <w:t>Nositelj aktivnosti:</w:t>
            </w:r>
          </w:p>
        </w:tc>
        <w:tc>
          <w:tcPr>
            <w:tcW w:w="5331" w:type="dxa"/>
          </w:tcPr>
          <w:p w14:paraId="2B613A7F" w14:textId="4E8E2DA4" w:rsidR="00F62CC9" w:rsidRPr="00282B4B" w:rsidRDefault="00F62CC9" w:rsidP="00BF405C">
            <w:pPr>
              <w:numPr>
                <w:ilvl w:val="0"/>
                <w:numId w:val="9"/>
              </w:numPr>
              <w:spacing w:line="240" w:lineRule="auto"/>
              <w:ind w:left="485"/>
            </w:pPr>
            <w:r w:rsidRPr="00282B4B">
              <w:t>Gradski ured za gospodarstvo, energetiku</w:t>
            </w:r>
            <w:r w:rsidR="000509A0">
              <w:t xml:space="preserve"> i </w:t>
            </w:r>
            <w:r w:rsidRPr="00282B4B">
              <w:t xml:space="preserve">zaštitu okoliša </w:t>
            </w:r>
          </w:p>
        </w:tc>
      </w:tr>
      <w:tr w:rsidR="00F62CC9" w:rsidRPr="00282B4B" w14:paraId="476E39FB" w14:textId="77777777" w:rsidTr="005808FC">
        <w:trPr>
          <w:trHeight w:val="227"/>
        </w:trPr>
        <w:tc>
          <w:tcPr>
            <w:tcW w:w="3685" w:type="dxa"/>
            <w:shd w:val="clear" w:color="auto" w:fill="F2DBDB" w:themeFill="accent2" w:themeFillTint="33"/>
          </w:tcPr>
          <w:p w14:paraId="49F1A20F" w14:textId="77777777" w:rsidR="00F62CC9" w:rsidRPr="005808FC" w:rsidRDefault="00F62CC9" w:rsidP="005808FC">
            <w:pPr>
              <w:spacing w:line="240" w:lineRule="auto"/>
              <w:rPr>
                <w:b/>
                <w:bCs/>
              </w:rPr>
            </w:pPr>
            <w:r w:rsidRPr="00291DF5">
              <w:rPr>
                <w:b/>
                <w:bCs/>
              </w:rPr>
              <w:t xml:space="preserve">Partneri u provođenju aktivnosti: </w:t>
            </w:r>
          </w:p>
        </w:tc>
        <w:tc>
          <w:tcPr>
            <w:tcW w:w="5331" w:type="dxa"/>
          </w:tcPr>
          <w:p w14:paraId="55E2F2EA" w14:textId="77777777" w:rsidR="00F62CC9" w:rsidRDefault="00F62CC9" w:rsidP="00BF405C">
            <w:pPr>
              <w:numPr>
                <w:ilvl w:val="0"/>
                <w:numId w:val="14"/>
              </w:numPr>
              <w:spacing w:line="240" w:lineRule="auto"/>
              <w:ind w:left="487"/>
              <w:contextualSpacing/>
            </w:pPr>
            <w:r w:rsidRPr="00282B4B">
              <w:t>Gradski uredi/zavodi ili službe, proračunski korisnici u čijoj je nadležnosti zgrada</w:t>
            </w:r>
            <w:r w:rsidRPr="00282B4B" w:rsidDel="0001423E">
              <w:t xml:space="preserve"> </w:t>
            </w:r>
          </w:p>
          <w:p w14:paraId="7E8DD033" w14:textId="3F79D3E8" w:rsidR="00F62CC9" w:rsidRPr="00282B4B" w:rsidRDefault="00F62CC9" w:rsidP="00BF405C">
            <w:pPr>
              <w:numPr>
                <w:ilvl w:val="0"/>
                <w:numId w:val="14"/>
              </w:numPr>
              <w:spacing w:line="240" w:lineRule="auto"/>
              <w:ind w:left="487"/>
              <w:contextualSpacing/>
            </w:pPr>
            <w:r>
              <w:t>Gradski ured za prostorno uređenje, izgradnju Grada, graditeljstvo, komunalne poslove</w:t>
            </w:r>
            <w:r w:rsidR="000509A0">
              <w:t xml:space="preserve"> i </w:t>
            </w:r>
            <w:r>
              <w:t>promet</w:t>
            </w:r>
          </w:p>
          <w:p w14:paraId="21792286" w14:textId="77777777" w:rsidR="00F62CC9" w:rsidRPr="00282B4B" w:rsidRDefault="00F62CC9" w:rsidP="00BF405C">
            <w:pPr>
              <w:numPr>
                <w:ilvl w:val="0"/>
                <w:numId w:val="14"/>
              </w:numPr>
              <w:spacing w:line="240" w:lineRule="auto"/>
              <w:ind w:left="487"/>
              <w:contextualSpacing/>
            </w:pPr>
            <w:r w:rsidRPr="00282B4B">
              <w:t>Gradski ured za financije</w:t>
            </w:r>
          </w:p>
          <w:p w14:paraId="3F2E3B08" w14:textId="525B174F" w:rsidR="00F62CC9" w:rsidRDefault="00F62CC9" w:rsidP="00BF405C">
            <w:pPr>
              <w:numPr>
                <w:ilvl w:val="0"/>
                <w:numId w:val="14"/>
              </w:numPr>
              <w:spacing w:line="240" w:lineRule="auto"/>
              <w:ind w:left="487"/>
              <w:contextualSpacing/>
            </w:pPr>
            <w:r w:rsidRPr="00282B4B">
              <w:t>Ured za programe</w:t>
            </w:r>
            <w:r w:rsidR="000509A0">
              <w:t xml:space="preserve"> i </w:t>
            </w:r>
            <w:r w:rsidRPr="00282B4B">
              <w:t>projekte EU</w:t>
            </w:r>
          </w:p>
          <w:p w14:paraId="0B9A1C1A" w14:textId="4186509B" w:rsidR="00B33B79" w:rsidRPr="00282B4B" w:rsidRDefault="00B33B79" w:rsidP="00BF405C">
            <w:pPr>
              <w:numPr>
                <w:ilvl w:val="0"/>
                <w:numId w:val="14"/>
              </w:numPr>
              <w:spacing w:line="240" w:lineRule="auto"/>
              <w:ind w:left="487"/>
              <w:contextualSpacing/>
            </w:pPr>
            <w:r>
              <w:t>Zavod za prostorno uređenje Grada Zagreba</w:t>
            </w:r>
          </w:p>
          <w:p w14:paraId="6B9B7F44" w14:textId="77777777" w:rsidR="00F62CC9" w:rsidRPr="00282B4B" w:rsidRDefault="00F62CC9" w:rsidP="00BF405C">
            <w:pPr>
              <w:numPr>
                <w:ilvl w:val="0"/>
                <w:numId w:val="14"/>
              </w:numPr>
              <w:spacing w:after="0" w:line="240" w:lineRule="auto"/>
              <w:ind w:left="487"/>
              <w:contextualSpacing/>
            </w:pPr>
            <w:r w:rsidRPr="00282B4B">
              <w:t>REGEA</w:t>
            </w:r>
          </w:p>
        </w:tc>
      </w:tr>
      <w:tr w:rsidR="00F62CC9" w:rsidRPr="00282B4B" w14:paraId="203B4C79" w14:textId="77777777" w:rsidTr="005808FC">
        <w:trPr>
          <w:trHeight w:val="227"/>
        </w:trPr>
        <w:tc>
          <w:tcPr>
            <w:tcW w:w="3685" w:type="dxa"/>
            <w:shd w:val="clear" w:color="auto" w:fill="F2DBDB" w:themeFill="accent2" w:themeFillTint="33"/>
          </w:tcPr>
          <w:p w14:paraId="6AB329C6" w14:textId="77777777" w:rsidR="00F62CC9" w:rsidRPr="005808FC" w:rsidDel="0001423E" w:rsidRDefault="00F62CC9" w:rsidP="005808FC">
            <w:pPr>
              <w:spacing w:line="240" w:lineRule="auto"/>
              <w:rPr>
                <w:b/>
                <w:bCs/>
              </w:rPr>
            </w:pPr>
            <w:r w:rsidRPr="00291DF5">
              <w:rPr>
                <w:b/>
                <w:bCs/>
              </w:rPr>
              <w:t>Ostali uključeni dionici:</w:t>
            </w:r>
          </w:p>
        </w:tc>
        <w:tc>
          <w:tcPr>
            <w:tcW w:w="5331" w:type="dxa"/>
          </w:tcPr>
          <w:p w14:paraId="765677BA" w14:textId="3E45CA35" w:rsidR="00F62CC9" w:rsidRDefault="00F62CC9" w:rsidP="00BF405C">
            <w:pPr>
              <w:numPr>
                <w:ilvl w:val="0"/>
                <w:numId w:val="14"/>
              </w:numPr>
              <w:spacing w:line="240" w:lineRule="auto"/>
              <w:ind w:left="487"/>
              <w:contextualSpacing/>
            </w:pPr>
            <w:r w:rsidRPr="00282B4B">
              <w:t>Ministarstvo regionalnog razvoja</w:t>
            </w:r>
            <w:r w:rsidR="000509A0">
              <w:t xml:space="preserve"> i </w:t>
            </w:r>
            <w:r w:rsidRPr="00282B4B">
              <w:t>fondova EU</w:t>
            </w:r>
          </w:p>
          <w:p w14:paraId="6E3C22DD" w14:textId="166B1831" w:rsidR="00F62CC9" w:rsidRPr="00282B4B" w:rsidRDefault="00F62CC9" w:rsidP="00BF405C">
            <w:pPr>
              <w:numPr>
                <w:ilvl w:val="0"/>
                <w:numId w:val="14"/>
              </w:numPr>
              <w:spacing w:line="240" w:lineRule="auto"/>
              <w:ind w:left="487"/>
              <w:contextualSpacing/>
            </w:pPr>
            <w:r w:rsidRPr="00282B4B">
              <w:t>Ministarstvo graditeljstva</w:t>
            </w:r>
            <w:r w:rsidR="000509A0">
              <w:t xml:space="preserve"> i </w:t>
            </w:r>
            <w:r w:rsidRPr="00282B4B">
              <w:t>prostornog uređenja</w:t>
            </w:r>
          </w:p>
          <w:p w14:paraId="141261B6" w14:textId="77777777" w:rsidR="00F62CC9" w:rsidRPr="00282B4B" w:rsidRDefault="00F62CC9" w:rsidP="00BF405C">
            <w:pPr>
              <w:numPr>
                <w:ilvl w:val="0"/>
                <w:numId w:val="14"/>
              </w:numPr>
              <w:spacing w:line="240" w:lineRule="auto"/>
              <w:ind w:left="487"/>
              <w:contextualSpacing/>
            </w:pPr>
            <w:r w:rsidRPr="00282B4B">
              <w:t>FZOEU (PT 2)</w:t>
            </w:r>
          </w:p>
        </w:tc>
      </w:tr>
      <w:tr w:rsidR="00F62CC9" w:rsidRPr="00282B4B" w14:paraId="1C4F87C7" w14:textId="77777777" w:rsidTr="005808FC">
        <w:trPr>
          <w:trHeight w:val="227"/>
        </w:trPr>
        <w:tc>
          <w:tcPr>
            <w:tcW w:w="3685" w:type="dxa"/>
            <w:shd w:val="clear" w:color="auto" w:fill="F2DBDB" w:themeFill="accent2" w:themeFillTint="33"/>
          </w:tcPr>
          <w:p w14:paraId="1DF19121" w14:textId="77777777" w:rsidR="00F62CC9" w:rsidRPr="005808FC" w:rsidRDefault="00F62CC9" w:rsidP="005808FC">
            <w:pPr>
              <w:spacing w:line="240" w:lineRule="auto"/>
              <w:rPr>
                <w:b/>
                <w:bCs/>
              </w:rPr>
            </w:pPr>
            <w:r w:rsidRPr="00291DF5">
              <w:rPr>
                <w:b/>
                <w:bCs/>
              </w:rPr>
              <w:t>Početak/kraj provedbe (godine)</w:t>
            </w:r>
          </w:p>
        </w:tc>
        <w:tc>
          <w:tcPr>
            <w:tcW w:w="5331" w:type="dxa"/>
          </w:tcPr>
          <w:p w14:paraId="57596A4A" w14:textId="77777777" w:rsidR="00F62CC9" w:rsidRPr="005808FC" w:rsidRDefault="00F62CC9" w:rsidP="00BF405C">
            <w:pPr>
              <w:spacing w:after="0" w:line="240" w:lineRule="auto"/>
              <w:rPr>
                <w:b/>
              </w:rPr>
            </w:pPr>
            <w:r w:rsidRPr="005808FC">
              <w:rPr>
                <w:b/>
              </w:rPr>
              <w:t>2021-2030</w:t>
            </w:r>
          </w:p>
        </w:tc>
      </w:tr>
      <w:tr w:rsidR="00307A39" w:rsidRPr="00282B4B" w14:paraId="0AF5E19C" w14:textId="77777777" w:rsidTr="005808FC">
        <w:trPr>
          <w:trHeight w:val="227"/>
        </w:trPr>
        <w:tc>
          <w:tcPr>
            <w:tcW w:w="3685" w:type="dxa"/>
            <w:shd w:val="clear" w:color="auto" w:fill="F2DBDB" w:themeFill="accent2" w:themeFillTint="33"/>
          </w:tcPr>
          <w:p w14:paraId="0685CD80" w14:textId="77777777" w:rsidR="00307A39" w:rsidRPr="005808FC" w:rsidRDefault="00307A39" w:rsidP="005808FC">
            <w:pPr>
              <w:spacing w:line="240" w:lineRule="auto"/>
              <w:rPr>
                <w:b/>
                <w:bCs/>
              </w:rPr>
            </w:pPr>
            <w:r w:rsidRPr="00291DF5">
              <w:rPr>
                <w:b/>
                <w:bCs/>
              </w:rPr>
              <w:t>Procjena uštede (</w:t>
            </w:r>
            <w:r w:rsidRPr="005808FC">
              <w:rPr>
                <w:b/>
                <w:bCs/>
              </w:rPr>
              <w:t>MWh)</w:t>
            </w:r>
          </w:p>
        </w:tc>
        <w:tc>
          <w:tcPr>
            <w:tcW w:w="5331" w:type="dxa"/>
            <w:vAlign w:val="center"/>
          </w:tcPr>
          <w:p w14:paraId="562956DB" w14:textId="258BC779" w:rsidR="00307A39" w:rsidRPr="005808FC" w:rsidRDefault="00307A39" w:rsidP="00307A39">
            <w:pPr>
              <w:spacing w:line="240" w:lineRule="auto"/>
              <w:rPr>
                <w:b/>
              </w:rPr>
            </w:pPr>
            <w:r w:rsidRPr="005808FC">
              <w:rPr>
                <w:rFonts w:ascii="Calibri" w:hAnsi="Calibri" w:cs="Calibri"/>
                <w:b/>
                <w:color w:val="000000"/>
              </w:rPr>
              <w:t>221</w:t>
            </w:r>
            <w:r w:rsidR="000509A0">
              <w:rPr>
                <w:rFonts w:ascii="Calibri" w:hAnsi="Calibri" w:cs="Calibri"/>
                <w:b/>
                <w:color w:val="000000"/>
              </w:rPr>
              <w:t>.</w:t>
            </w:r>
            <w:r w:rsidRPr="005808FC">
              <w:rPr>
                <w:rFonts w:ascii="Calibri" w:hAnsi="Calibri" w:cs="Calibri"/>
                <w:b/>
                <w:color w:val="000000"/>
              </w:rPr>
              <w:t>63</w:t>
            </w:r>
            <w:r w:rsidR="004320F6" w:rsidRPr="005808FC">
              <w:rPr>
                <w:rFonts w:ascii="Calibri" w:hAnsi="Calibri" w:cs="Calibri"/>
                <w:b/>
                <w:color w:val="000000"/>
              </w:rPr>
              <w:t>5</w:t>
            </w:r>
          </w:p>
        </w:tc>
      </w:tr>
      <w:tr w:rsidR="00307A39" w:rsidRPr="00282B4B" w14:paraId="7B63E580" w14:textId="77777777" w:rsidTr="005808FC">
        <w:trPr>
          <w:trHeight w:val="227"/>
        </w:trPr>
        <w:tc>
          <w:tcPr>
            <w:tcW w:w="3685" w:type="dxa"/>
            <w:shd w:val="clear" w:color="auto" w:fill="F2DBDB" w:themeFill="accent2" w:themeFillTint="33"/>
          </w:tcPr>
          <w:p w14:paraId="15DCCD2E" w14:textId="77777777" w:rsidR="00307A39" w:rsidRPr="005808FC" w:rsidRDefault="00307A39" w:rsidP="005808FC">
            <w:pPr>
              <w:spacing w:line="240" w:lineRule="auto"/>
              <w:rPr>
                <w:b/>
                <w:bCs/>
              </w:rPr>
            </w:pPr>
            <w:r w:rsidRPr="00291DF5">
              <w:rPr>
                <w:b/>
                <w:bCs/>
              </w:rPr>
              <w:t>Procjena smanjenja emisije (t CO</w:t>
            </w:r>
            <w:r w:rsidRPr="005808FC">
              <w:rPr>
                <w:b/>
                <w:bCs/>
                <w:vertAlign w:val="subscript"/>
              </w:rPr>
              <w:t>2</w:t>
            </w:r>
            <w:r w:rsidRPr="005808FC">
              <w:rPr>
                <w:b/>
                <w:bCs/>
              </w:rPr>
              <w:t>eq)</w:t>
            </w:r>
          </w:p>
        </w:tc>
        <w:tc>
          <w:tcPr>
            <w:tcW w:w="5331" w:type="dxa"/>
            <w:vAlign w:val="center"/>
          </w:tcPr>
          <w:p w14:paraId="52B81754" w14:textId="7E704538" w:rsidR="00307A39" w:rsidRPr="005808FC" w:rsidRDefault="00307A39" w:rsidP="00307A39">
            <w:pPr>
              <w:spacing w:line="240" w:lineRule="auto"/>
              <w:rPr>
                <w:b/>
              </w:rPr>
            </w:pPr>
            <w:r w:rsidRPr="005808FC">
              <w:rPr>
                <w:rFonts w:ascii="Calibri" w:hAnsi="Calibri" w:cs="Calibri"/>
                <w:b/>
                <w:color w:val="000000"/>
              </w:rPr>
              <w:t>79</w:t>
            </w:r>
            <w:r w:rsidR="000509A0">
              <w:rPr>
                <w:rFonts w:ascii="Calibri" w:hAnsi="Calibri" w:cs="Calibri"/>
                <w:b/>
                <w:color w:val="000000"/>
              </w:rPr>
              <w:t>.</w:t>
            </w:r>
            <w:r w:rsidRPr="005808FC">
              <w:rPr>
                <w:rFonts w:ascii="Calibri" w:hAnsi="Calibri" w:cs="Calibri"/>
                <w:b/>
                <w:color w:val="000000"/>
              </w:rPr>
              <w:t>035</w:t>
            </w:r>
          </w:p>
        </w:tc>
      </w:tr>
      <w:tr w:rsidR="00F62CC9" w:rsidRPr="00282B4B" w14:paraId="0A4AA14F" w14:textId="77777777" w:rsidTr="005808FC">
        <w:trPr>
          <w:trHeight w:val="227"/>
        </w:trPr>
        <w:tc>
          <w:tcPr>
            <w:tcW w:w="3685" w:type="dxa"/>
            <w:shd w:val="clear" w:color="auto" w:fill="F2DBDB" w:themeFill="accent2" w:themeFillTint="33"/>
          </w:tcPr>
          <w:p w14:paraId="42686699" w14:textId="77777777" w:rsidR="00F62CC9" w:rsidRPr="005808FC" w:rsidRDefault="00F62CC9" w:rsidP="005808FC">
            <w:pPr>
              <w:spacing w:line="240" w:lineRule="auto"/>
              <w:rPr>
                <w:b/>
                <w:bCs/>
              </w:rPr>
            </w:pPr>
            <w:r w:rsidRPr="00291DF5">
              <w:rPr>
                <w:b/>
                <w:bCs/>
              </w:rPr>
              <w:t>Izvor sredstava za provedbu</w:t>
            </w:r>
          </w:p>
        </w:tc>
        <w:tc>
          <w:tcPr>
            <w:tcW w:w="5331" w:type="dxa"/>
          </w:tcPr>
          <w:p w14:paraId="3A34C23D" w14:textId="77777777" w:rsidR="00F62CC9" w:rsidRPr="00282B4B" w:rsidRDefault="00F62CC9" w:rsidP="00BF405C">
            <w:pPr>
              <w:numPr>
                <w:ilvl w:val="0"/>
                <w:numId w:val="9"/>
              </w:numPr>
              <w:spacing w:after="0" w:line="240" w:lineRule="auto"/>
              <w:ind w:left="485" w:hanging="357"/>
            </w:pPr>
            <w:r>
              <w:t>Proračun Grada Zagreba</w:t>
            </w:r>
          </w:p>
          <w:p w14:paraId="150C8304" w14:textId="77777777" w:rsidR="00F62CC9" w:rsidRPr="00282B4B" w:rsidRDefault="00F62CC9" w:rsidP="00BF405C">
            <w:pPr>
              <w:numPr>
                <w:ilvl w:val="0"/>
                <w:numId w:val="9"/>
              </w:numPr>
              <w:spacing w:after="0" w:line="240" w:lineRule="auto"/>
              <w:ind w:left="485" w:hanging="357"/>
            </w:pPr>
            <w:r w:rsidRPr="00282B4B">
              <w:t xml:space="preserve">Državni proračun </w:t>
            </w:r>
          </w:p>
          <w:p w14:paraId="1C0AF6AA" w14:textId="341C7480" w:rsidR="00F62CC9" w:rsidRPr="00282B4B" w:rsidRDefault="00F62CC9" w:rsidP="00BF405C">
            <w:pPr>
              <w:numPr>
                <w:ilvl w:val="0"/>
                <w:numId w:val="9"/>
              </w:numPr>
              <w:spacing w:after="0" w:line="240" w:lineRule="auto"/>
              <w:ind w:left="485" w:hanging="357"/>
            </w:pPr>
            <w:r w:rsidRPr="00282B4B">
              <w:t>Europski strukturni</w:t>
            </w:r>
            <w:r w:rsidR="000509A0">
              <w:t xml:space="preserve"> i </w:t>
            </w:r>
            <w:r w:rsidRPr="00282B4B">
              <w:t>investicijski fondovi</w:t>
            </w:r>
          </w:p>
          <w:p w14:paraId="6BA592CD" w14:textId="77777777" w:rsidR="00F62CC9" w:rsidRPr="00282B4B" w:rsidRDefault="00F62CC9" w:rsidP="00BF405C">
            <w:pPr>
              <w:numPr>
                <w:ilvl w:val="0"/>
                <w:numId w:val="9"/>
              </w:numPr>
              <w:spacing w:after="0" w:line="240" w:lineRule="auto"/>
              <w:ind w:left="485" w:hanging="357"/>
            </w:pPr>
            <w:r w:rsidRPr="00282B4B">
              <w:t>EFSI/JPP (ESCO)</w:t>
            </w:r>
          </w:p>
          <w:p w14:paraId="49FDA168" w14:textId="77777777" w:rsidR="00F62CC9" w:rsidRPr="00282B4B" w:rsidRDefault="00F62CC9" w:rsidP="00BF405C">
            <w:pPr>
              <w:numPr>
                <w:ilvl w:val="0"/>
                <w:numId w:val="9"/>
              </w:numPr>
              <w:spacing w:after="0" w:line="240" w:lineRule="auto"/>
              <w:ind w:left="485" w:hanging="357"/>
            </w:pPr>
            <w:r w:rsidRPr="00282B4B">
              <w:t>EIB/HBOR</w:t>
            </w:r>
          </w:p>
          <w:p w14:paraId="2225F204" w14:textId="77777777" w:rsidR="00F62CC9" w:rsidRPr="00282B4B" w:rsidRDefault="00F62CC9" w:rsidP="00BF405C">
            <w:pPr>
              <w:numPr>
                <w:ilvl w:val="0"/>
                <w:numId w:val="9"/>
              </w:numPr>
              <w:spacing w:after="0" w:line="240" w:lineRule="auto"/>
              <w:ind w:left="485" w:hanging="357"/>
            </w:pPr>
            <w:r w:rsidRPr="00282B4B">
              <w:t>PDA (npr. ELENA)</w:t>
            </w:r>
          </w:p>
          <w:p w14:paraId="24C25820" w14:textId="42AE0F6B" w:rsidR="00F62CC9" w:rsidRPr="00282B4B" w:rsidRDefault="00F62CC9" w:rsidP="0DFBE047">
            <w:pPr>
              <w:numPr>
                <w:ilvl w:val="0"/>
                <w:numId w:val="9"/>
              </w:numPr>
              <w:spacing w:after="0" w:line="240" w:lineRule="auto"/>
              <w:ind w:left="485" w:hanging="357"/>
            </w:pPr>
            <w:r w:rsidRPr="00282B4B">
              <w:t>Obzor 2020 (kroz PDA</w:t>
            </w:r>
            <w:r w:rsidR="000509A0">
              <w:t xml:space="preserve"> i </w:t>
            </w:r>
            <w:r w:rsidRPr="00282B4B">
              <w:t>Smart</w:t>
            </w:r>
            <w:r w:rsidRPr="0DFBE047">
              <w:t xml:space="preserve"> </w:t>
            </w:r>
            <w:r w:rsidRPr="00282B4B">
              <w:t>city</w:t>
            </w:r>
            <w:r w:rsidRPr="0DFBE047">
              <w:t>)</w:t>
            </w:r>
          </w:p>
          <w:p w14:paraId="4EBB80D7" w14:textId="77777777" w:rsidR="00F62CC9" w:rsidRPr="00282B4B" w:rsidRDefault="00F62CC9" w:rsidP="00BF405C">
            <w:pPr>
              <w:numPr>
                <w:ilvl w:val="0"/>
                <w:numId w:val="9"/>
              </w:numPr>
              <w:spacing w:after="0" w:line="240" w:lineRule="auto"/>
              <w:ind w:left="485" w:hanging="357"/>
            </w:pPr>
            <w:r w:rsidRPr="00282B4B">
              <w:t>Sredstva komercijalnih banaka</w:t>
            </w:r>
          </w:p>
        </w:tc>
      </w:tr>
      <w:tr w:rsidR="00F62CC9" w:rsidRPr="00282B4B" w14:paraId="62BAB68A" w14:textId="77777777" w:rsidTr="005808FC">
        <w:trPr>
          <w:trHeight w:val="227"/>
        </w:trPr>
        <w:tc>
          <w:tcPr>
            <w:tcW w:w="3685" w:type="dxa"/>
            <w:shd w:val="clear" w:color="auto" w:fill="F2DBDB" w:themeFill="accent2" w:themeFillTint="33"/>
          </w:tcPr>
          <w:p w14:paraId="6C1B0812" w14:textId="77777777" w:rsidR="00F62CC9" w:rsidRPr="005808FC" w:rsidRDefault="00F62CC9" w:rsidP="005808FC">
            <w:pPr>
              <w:spacing w:line="240" w:lineRule="auto"/>
              <w:rPr>
                <w:b/>
                <w:bCs/>
              </w:rPr>
            </w:pPr>
            <w:r w:rsidRPr="00291DF5">
              <w:rPr>
                <w:b/>
                <w:bCs/>
              </w:rPr>
              <w:t>Kratki opis/komentar</w:t>
            </w:r>
          </w:p>
        </w:tc>
        <w:tc>
          <w:tcPr>
            <w:tcW w:w="5331" w:type="dxa"/>
          </w:tcPr>
          <w:p w14:paraId="76CA1054" w14:textId="1A742EC2" w:rsidR="00BF405C" w:rsidRPr="00BF405C" w:rsidRDefault="00F62CC9" w:rsidP="00BF405C">
            <w:pPr>
              <w:spacing w:after="0" w:line="240" w:lineRule="auto"/>
              <w:ind w:left="46"/>
            </w:pPr>
            <w:r w:rsidRPr="00282B4B">
              <w:t>Budući da su zgrade najveći potrošači energije</w:t>
            </w:r>
            <w:r w:rsidR="000509A0">
              <w:t xml:space="preserve"> i </w:t>
            </w:r>
            <w:r w:rsidRPr="00282B4B">
              <w:t xml:space="preserve">odgovorne su za 36% emisija CO2 na razini EU, ova mjera doprinijeti će ciljevima Europske </w:t>
            </w:r>
            <w:r>
              <w:t>EU</w:t>
            </w:r>
            <w:r w:rsidRPr="00282B4B">
              <w:t xml:space="preserve"> za održiv, siguran</w:t>
            </w:r>
            <w:r w:rsidR="000509A0">
              <w:t xml:space="preserve"> i </w:t>
            </w:r>
            <w:r w:rsidRPr="00282B4B">
              <w:t>dekarboniziran energetski sektor do 2050. g., s time da se obuhvat ovog dokumenta poklapa s kratkoročnim ciljevima (do 2030). Revidirana Direktiva o energetskim svojstvima zgrade predviđa visoko energetski učinkovit</w:t>
            </w:r>
            <w:r w:rsidR="000509A0">
              <w:t xml:space="preserve"> i </w:t>
            </w:r>
            <w:r w:rsidRPr="00282B4B">
              <w:t>dekarboniziran sektor zgradarstva, a ova mjera predviđa mjerljive, ciljane aktivnosti, koje će doprinijeti smanjenju potražnje energije za grijanje/hlađenje. S obzirom na činjenicu da revizija navedene Direktive uvodi obvezu izrade Strategija obnove fonda zgrada na državnoj razini, ova konkretna mjera uvelike će, s obzirom na udio zgrada u vlasništvu grada Zagreba, doprinijeti realizaciji ciljeva navedene strategije.</w:t>
            </w:r>
            <w:r w:rsidRPr="00AA6D1C">
              <w:t xml:space="preserve"> Obuhvat</w:t>
            </w:r>
            <w:r w:rsidRPr="00BF405C">
              <w:t xml:space="preserve"> aktivnosti je širok</w:t>
            </w:r>
            <w:r w:rsidR="000509A0">
              <w:t xml:space="preserve"> i </w:t>
            </w:r>
            <w:r w:rsidRPr="00BF405C">
              <w:t xml:space="preserve">sama mjera je kapitalno intenzivna te je potrebno planirati korištenje financijskih mehanizama, potpora iz </w:t>
            </w:r>
            <w:r w:rsidRPr="00BF405C">
              <w:lastRenderedPageBreak/>
              <w:t>strukturnih fondova</w:t>
            </w:r>
            <w:r w:rsidR="000509A0">
              <w:t xml:space="preserve"> i </w:t>
            </w:r>
            <w:r w:rsidRPr="00BF405C">
              <w:t>uključivanje financijskih institucija</w:t>
            </w:r>
            <w:r w:rsidR="000509A0">
              <w:t xml:space="preserve"> i </w:t>
            </w:r>
            <w:r w:rsidRPr="00BF405C">
              <w:t>privatnog kapitala za realizaciju, te je oportuno razvijati projekt kao strateški projekt u suradnji s nadležnim državnim institucijama</w:t>
            </w:r>
            <w:r w:rsidR="000509A0">
              <w:t xml:space="preserve"> i </w:t>
            </w:r>
            <w:r w:rsidRPr="00BF405C">
              <w:t>u procesu programiranja za financijsku perspektivu 2021-2028.</w:t>
            </w:r>
          </w:p>
          <w:p w14:paraId="12395F0C" w14:textId="77777777" w:rsidR="00F62CC9" w:rsidRPr="00BF405C" w:rsidRDefault="00F62CC9" w:rsidP="00BF405C">
            <w:pPr>
              <w:spacing w:after="0" w:line="240" w:lineRule="auto"/>
              <w:ind w:left="46"/>
            </w:pPr>
            <w:r w:rsidRPr="00BF405C">
              <w:t>Mjeru za realizaciju treba planirati provedbom sektorskih programa (npr. Program integralne energetske obnove škola, Program integralne energetske obnove zdravstvenih ustanova, itd</w:t>
            </w:r>
            <w:r w:rsidRPr="0DFBE047">
              <w:t>…)</w:t>
            </w:r>
          </w:p>
          <w:p w14:paraId="3E0009A7" w14:textId="77777777" w:rsidR="00F62CC9" w:rsidRDefault="00F62CC9" w:rsidP="00BF405C">
            <w:pPr>
              <w:spacing w:after="0" w:line="240" w:lineRule="auto"/>
              <w:ind w:left="46"/>
            </w:pPr>
            <w:r>
              <w:t>K</w:t>
            </w:r>
            <w:r w:rsidRPr="00282B4B">
              <w:t>onkretno tehnički</w:t>
            </w:r>
            <w:r>
              <w:t>, mjera</w:t>
            </w:r>
            <w:r w:rsidRPr="00282B4B">
              <w:t xml:space="preserve"> podrazumijeva troškovno učinkovitu transformaciju građevina do nZEB standarda </w:t>
            </w:r>
            <w:r>
              <w:t>provedbom slijedećih aktivnosti</w:t>
            </w:r>
            <w:r w:rsidRPr="0DFBE047">
              <w:t>:</w:t>
            </w:r>
          </w:p>
          <w:p w14:paraId="227F31A6" w14:textId="77777777" w:rsidR="00F62CC9" w:rsidRPr="00282B4B" w:rsidRDefault="00F62CC9" w:rsidP="00BF405C">
            <w:pPr>
              <w:spacing w:after="0" w:line="240" w:lineRule="auto"/>
              <w:ind w:left="46"/>
            </w:pPr>
          </w:p>
          <w:p w14:paraId="04A068F4" w14:textId="76328B9C" w:rsidR="00F62CC9" w:rsidRPr="00282B4B" w:rsidRDefault="00F62CC9" w:rsidP="00BF405C">
            <w:pPr>
              <w:numPr>
                <w:ilvl w:val="0"/>
                <w:numId w:val="13"/>
              </w:numPr>
              <w:spacing w:line="240" w:lineRule="auto"/>
              <w:ind w:left="344" w:hanging="344"/>
              <w:contextualSpacing/>
            </w:pPr>
            <w:r w:rsidRPr="00282B4B">
              <w:t>Energetski pregledi</w:t>
            </w:r>
            <w:r w:rsidR="000509A0">
              <w:t xml:space="preserve"> i </w:t>
            </w:r>
            <w:r w:rsidRPr="00282B4B">
              <w:t>certifikacija zgrada</w:t>
            </w:r>
            <w:r w:rsidR="005E21BF">
              <w:t>;</w:t>
            </w:r>
          </w:p>
          <w:p w14:paraId="18E6FC3C" w14:textId="2F8376AD" w:rsidR="00F62CC9" w:rsidRPr="00282B4B" w:rsidRDefault="00F62CC9" w:rsidP="0DFBE047">
            <w:pPr>
              <w:numPr>
                <w:ilvl w:val="0"/>
                <w:numId w:val="13"/>
              </w:numPr>
              <w:spacing w:line="240" w:lineRule="auto"/>
              <w:ind w:left="344" w:hanging="344"/>
              <w:contextualSpacing/>
            </w:pPr>
            <w:r w:rsidRPr="00282B4B">
              <w:t>Obnova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w:t>
            </w:r>
            <w:r w:rsidR="000509A0">
              <w:t xml:space="preserve"> i </w:t>
            </w:r>
            <w:r w:rsidRPr="00282B4B">
              <w:t>zaobljenih krovova, pokrova</w:t>
            </w:r>
            <w:r w:rsidR="000509A0">
              <w:t xml:space="preserve"> i </w:t>
            </w:r>
            <w:r w:rsidRPr="00282B4B">
              <w:t>hidroizolacija</w:t>
            </w:r>
            <w:r w:rsidRPr="0DFBE047">
              <w:t xml:space="preserve">; </w:t>
            </w:r>
          </w:p>
          <w:p w14:paraId="706747FC" w14:textId="77777777" w:rsidR="00F62CC9" w:rsidRPr="00282B4B" w:rsidRDefault="00F62CC9" w:rsidP="00BF405C">
            <w:pPr>
              <w:numPr>
                <w:ilvl w:val="0"/>
                <w:numId w:val="13"/>
              </w:numPr>
              <w:spacing w:line="240" w:lineRule="auto"/>
              <w:ind w:left="344" w:hanging="344"/>
              <w:contextualSpacing/>
            </w:pPr>
            <w:r w:rsidRPr="00282B4B">
              <w:t xml:space="preserve">Ugradnja novog visokoučinkovitog sustava grijanja ili poboljšanje postojećeg; </w:t>
            </w:r>
          </w:p>
          <w:p w14:paraId="4541859C" w14:textId="77777777" w:rsidR="00F62CC9" w:rsidRPr="00282B4B" w:rsidRDefault="00F62CC9" w:rsidP="00BF405C">
            <w:pPr>
              <w:numPr>
                <w:ilvl w:val="0"/>
                <w:numId w:val="13"/>
              </w:numPr>
              <w:spacing w:line="240" w:lineRule="auto"/>
              <w:ind w:left="344" w:hanging="344"/>
              <w:contextualSpacing/>
            </w:pPr>
            <w:r w:rsidRPr="00282B4B">
              <w:t xml:space="preserve">Zamjena postojećeg sustava pripreme potrošne tople vode sustavom koji koristi OIE; </w:t>
            </w:r>
          </w:p>
          <w:p w14:paraId="7DAF7D45" w14:textId="77777777" w:rsidR="00F62CC9" w:rsidRPr="00282B4B" w:rsidRDefault="00F62CC9" w:rsidP="00BF405C">
            <w:pPr>
              <w:numPr>
                <w:ilvl w:val="0"/>
                <w:numId w:val="13"/>
              </w:numPr>
              <w:spacing w:line="240" w:lineRule="auto"/>
              <w:ind w:left="344" w:hanging="344"/>
              <w:contextualSpacing/>
            </w:pPr>
            <w:r w:rsidRPr="00282B4B">
              <w:t xml:space="preserve">Zamjena ili uvođenje sustava hlađenja visokoučinkovitim sustavom ili poboljšanje postojećeg; </w:t>
            </w:r>
          </w:p>
          <w:p w14:paraId="5065CAD5" w14:textId="77777777" w:rsidR="00F62CC9" w:rsidRPr="00282B4B" w:rsidRDefault="00F62CC9" w:rsidP="00BF405C">
            <w:pPr>
              <w:numPr>
                <w:ilvl w:val="0"/>
                <w:numId w:val="13"/>
              </w:numPr>
              <w:spacing w:line="240" w:lineRule="auto"/>
              <w:ind w:left="344" w:hanging="344"/>
              <w:contextualSpacing/>
            </w:pPr>
            <w:r w:rsidRPr="00282B4B">
              <w:t xml:space="preserve">Zamjena ili uvođenje sustava prozračivanja visokoučinkovitim sustavom ili poboljšanje postojećeg; </w:t>
            </w:r>
          </w:p>
          <w:p w14:paraId="6C233680" w14:textId="77777777" w:rsidR="00F62CC9" w:rsidRPr="00282B4B" w:rsidRDefault="00F62CC9" w:rsidP="00BF405C">
            <w:pPr>
              <w:numPr>
                <w:ilvl w:val="0"/>
                <w:numId w:val="13"/>
              </w:numPr>
              <w:spacing w:line="240" w:lineRule="auto"/>
              <w:ind w:left="344" w:hanging="344"/>
              <w:contextualSpacing/>
            </w:pPr>
            <w:r w:rsidRPr="00282B4B">
              <w:t xml:space="preserve">Zamjena unutarnje rasvjete učinkovitijom; </w:t>
            </w:r>
          </w:p>
          <w:p w14:paraId="1DEEC6A3" w14:textId="77777777" w:rsidR="00F62CC9" w:rsidRPr="00282B4B" w:rsidRDefault="00F62CC9" w:rsidP="0DFBE047">
            <w:pPr>
              <w:numPr>
                <w:ilvl w:val="0"/>
                <w:numId w:val="13"/>
              </w:numPr>
              <w:spacing w:line="240" w:lineRule="auto"/>
              <w:ind w:left="344" w:hanging="344"/>
              <w:contextualSpacing/>
            </w:pPr>
            <w:r w:rsidRPr="00282B4B">
              <w:t>Ugradnja fotonaponskih modula za proizvodnju električne energije iz OIE za potrebe ETC-a;</w:t>
            </w:r>
          </w:p>
          <w:p w14:paraId="6C4711AF" w14:textId="616CA19D" w:rsidR="00F62CC9" w:rsidRPr="00282B4B" w:rsidRDefault="00F62CC9" w:rsidP="00BF405C">
            <w:pPr>
              <w:numPr>
                <w:ilvl w:val="0"/>
                <w:numId w:val="13"/>
              </w:numPr>
              <w:spacing w:line="240" w:lineRule="auto"/>
              <w:ind w:left="344" w:hanging="344"/>
              <w:contextualSpacing/>
            </w:pPr>
            <w:r w:rsidRPr="00282B4B">
              <w:t>Uvođenje sustava automatizacije</w:t>
            </w:r>
            <w:r w:rsidR="000509A0">
              <w:t xml:space="preserve"> i </w:t>
            </w:r>
            <w:r w:rsidRPr="00282B4B">
              <w:t xml:space="preserve">upravljanja zgradom; </w:t>
            </w:r>
          </w:p>
          <w:p w14:paraId="7D7E68CC" w14:textId="2FC0D58C" w:rsidR="00F62CC9" w:rsidRDefault="00F62CC9" w:rsidP="00BF405C">
            <w:pPr>
              <w:numPr>
                <w:ilvl w:val="0"/>
                <w:numId w:val="13"/>
              </w:numPr>
              <w:spacing w:line="240" w:lineRule="auto"/>
              <w:ind w:left="344" w:hanging="344"/>
              <w:contextualSpacing/>
            </w:pPr>
            <w:r w:rsidRPr="00282B4B">
              <w:t>Projektiranje</w:t>
            </w:r>
            <w:r w:rsidR="000509A0">
              <w:t xml:space="preserve"> i </w:t>
            </w:r>
            <w:r w:rsidRPr="00282B4B">
              <w:t>ugradnja opreme za usklađenjem s pokazateljem pripremljenosti zgrade za pametne tehnologije kojim se procjenjuje spremnost zgrade da se prilagodi potrebama korisnika</w:t>
            </w:r>
            <w:r w:rsidR="000509A0">
              <w:t xml:space="preserve"> i </w:t>
            </w:r>
            <w:r w:rsidRPr="00282B4B">
              <w:t xml:space="preserve">mreže; </w:t>
            </w:r>
          </w:p>
          <w:p w14:paraId="75874E9F" w14:textId="13CD1ABA" w:rsidR="00F62CC9" w:rsidRPr="00282B4B" w:rsidRDefault="00F62CC9" w:rsidP="00BF405C">
            <w:pPr>
              <w:numPr>
                <w:ilvl w:val="0"/>
                <w:numId w:val="13"/>
              </w:numPr>
              <w:spacing w:line="240" w:lineRule="auto"/>
              <w:ind w:left="344" w:hanging="344"/>
              <w:contextualSpacing/>
            </w:pPr>
            <w:r w:rsidRPr="00282B4B">
              <w:t>Ugradnju senzora</w:t>
            </w:r>
            <w:r w:rsidR="000509A0">
              <w:t xml:space="preserve"> i </w:t>
            </w:r>
            <w:r w:rsidRPr="00282B4B">
              <w:t>opreme za pametno upravljanje potrošnjom energije</w:t>
            </w:r>
            <w:r w:rsidR="005E21BF">
              <w:t>.</w:t>
            </w:r>
          </w:p>
          <w:p w14:paraId="62E014FB" w14:textId="77777777" w:rsidR="00F62CC9" w:rsidRPr="00282B4B" w:rsidRDefault="00F62CC9" w:rsidP="00BF405C">
            <w:pPr>
              <w:spacing w:after="0" w:line="240" w:lineRule="auto"/>
              <w:ind w:left="316"/>
              <w:contextualSpacing/>
            </w:pPr>
          </w:p>
          <w:p w14:paraId="7C18E94A" w14:textId="08A20968" w:rsidR="00F62CC9" w:rsidRPr="00282B4B" w:rsidRDefault="00F62CC9" w:rsidP="00BF405C">
            <w:pPr>
              <w:spacing w:after="0" w:line="240" w:lineRule="auto"/>
              <w:ind w:left="46"/>
            </w:pPr>
            <w:r w:rsidRPr="00282B4B">
              <w:t>Mjera je povezana</w:t>
            </w:r>
            <w:r w:rsidR="000509A0">
              <w:t xml:space="preserve"> i </w:t>
            </w:r>
            <w:r w:rsidRPr="00282B4B">
              <w:t>s mjerom Uvođenja sustava automatskog nadzora</w:t>
            </w:r>
            <w:r w:rsidR="000509A0">
              <w:t xml:space="preserve"> i </w:t>
            </w:r>
            <w:r w:rsidRPr="00282B4B">
              <w:t>individualnog mjerenja potrošnje energije</w:t>
            </w:r>
            <w:r w:rsidR="000509A0">
              <w:t xml:space="preserve"> i </w:t>
            </w:r>
            <w:r w:rsidRPr="00282B4B">
              <w:t>vode u zgradama javnog sektora</w:t>
            </w:r>
            <w:r w:rsidR="000509A0">
              <w:t xml:space="preserve"> i </w:t>
            </w:r>
            <w:r w:rsidRPr="00282B4B">
              <w:t>mjerama iz dijela prilagodbe učincima klimatskih promjena (</w:t>
            </w:r>
            <w:r w:rsidRPr="00291DF5">
              <w:rPr>
                <w:i/>
                <w:iCs/>
              </w:rPr>
              <w:t>adaptation</w:t>
            </w:r>
            <w:r w:rsidRPr="00282B4B">
              <w:t>) koje se odnose na analizu mogućnosti</w:t>
            </w:r>
            <w:r w:rsidR="000509A0">
              <w:t xml:space="preserve"> i </w:t>
            </w:r>
            <w:r w:rsidRPr="00282B4B">
              <w:t>konkretnu primjenu zelenih tehnologija u obnovi zgrada.</w:t>
            </w:r>
          </w:p>
        </w:tc>
      </w:tr>
    </w:tbl>
    <w:p w14:paraId="1302C58F" w14:textId="77777777" w:rsidR="00F62CC9" w:rsidRPr="005D2907" w:rsidRDefault="00F62CC9" w:rsidP="005F5283">
      <w:pPr>
        <w:pStyle w:val="Heading4"/>
        <w:rPr>
          <w:lang w:eastAsia="hr-HR"/>
        </w:rPr>
      </w:pPr>
      <w:r w:rsidRPr="005D2907">
        <w:rPr>
          <w:lang w:eastAsia="hr-HR"/>
        </w:rPr>
        <w:lastRenderedPageBreak/>
        <w:t>Stambeni podsektor – kućanstva</w:t>
      </w:r>
    </w:p>
    <w:p w14:paraId="6C61BDA9" w14:textId="07151754" w:rsidR="00F62CC9" w:rsidRPr="00282B4B" w:rsidRDefault="005F5283" w:rsidP="00F62CC9">
      <w:r>
        <w:t>Obiteljske kuće</w:t>
      </w:r>
      <w:r w:rsidR="000509A0">
        <w:t xml:space="preserve"> i </w:t>
      </w:r>
      <w:r>
        <w:t>višestambene zgrade</w:t>
      </w:r>
      <w:r w:rsidR="0089101B" w:rsidRPr="0DFBE047">
        <w:t xml:space="preserve"> </w:t>
      </w:r>
      <w:r>
        <w:t>predstavljaju podsektor unutar kojeg je moguće postići znatna smanjenja emisija CO</w:t>
      </w:r>
      <w:r w:rsidRPr="005F5283">
        <w:rPr>
          <w:vertAlign w:val="subscript"/>
        </w:rPr>
        <w:t>2</w:t>
      </w:r>
      <w:r w:rsidR="0089101B" w:rsidRPr="0DFBE047">
        <w:t xml:space="preserve"> </w:t>
      </w:r>
      <w:r>
        <w:t>kroz integralne obnove te energetske obnove do nZEB standarda. Lokalna vlast unutar ovog sektora može poticati unaprjeđenja kroz razvoj financijskih te edukativnih mjera</w:t>
      </w:r>
      <w:r w:rsidR="000509A0">
        <w:t xml:space="preserve"> i </w:t>
      </w:r>
      <w:r>
        <w:t>mjera podizanja svijesti o energetskim uštedama.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5"/>
        <w:gridCol w:w="5421"/>
      </w:tblGrid>
      <w:tr w:rsidR="00F62CC9" w:rsidRPr="00282B4B" w14:paraId="6208DE38" w14:textId="77777777" w:rsidTr="005808FC">
        <w:trPr>
          <w:trHeight w:val="227"/>
        </w:trPr>
        <w:tc>
          <w:tcPr>
            <w:tcW w:w="3595" w:type="dxa"/>
            <w:shd w:val="clear" w:color="auto" w:fill="C6D9F1" w:themeFill="text2" w:themeFillTint="33"/>
          </w:tcPr>
          <w:p w14:paraId="7CB5FDDE" w14:textId="77777777" w:rsidR="00F62CC9" w:rsidRPr="005808FC" w:rsidRDefault="00F62CC9" w:rsidP="005808FC">
            <w:pPr>
              <w:spacing w:line="240" w:lineRule="auto"/>
              <w:rPr>
                <w:b/>
                <w:bCs/>
              </w:rPr>
            </w:pPr>
            <w:r w:rsidRPr="00291DF5">
              <w:rPr>
                <w:b/>
                <w:bCs/>
              </w:rPr>
              <w:t>Redni broj mjere</w:t>
            </w:r>
          </w:p>
        </w:tc>
        <w:tc>
          <w:tcPr>
            <w:tcW w:w="5421" w:type="dxa"/>
            <w:shd w:val="clear" w:color="auto" w:fill="C6D9F1" w:themeFill="text2" w:themeFillTint="33"/>
          </w:tcPr>
          <w:p w14:paraId="6CD9290E" w14:textId="77777777" w:rsidR="00F62CC9" w:rsidRPr="005808FC" w:rsidRDefault="00F62CC9" w:rsidP="005808FC">
            <w:pPr>
              <w:spacing w:line="240" w:lineRule="auto"/>
              <w:rPr>
                <w:b/>
                <w:bCs/>
              </w:rPr>
            </w:pPr>
            <w:r w:rsidRPr="00291DF5">
              <w:rPr>
                <w:b/>
                <w:bCs/>
              </w:rPr>
              <w:t>7</w:t>
            </w:r>
          </w:p>
        </w:tc>
      </w:tr>
      <w:tr w:rsidR="00F62CC9" w:rsidRPr="00282B4B" w14:paraId="40B25627" w14:textId="77777777" w:rsidTr="005808FC">
        <w:trPr>
          <w:trHeight w:val="227"/>
        </w:trPr>
        <w:tc>
          <w:tcPr>
            <w:tcW w:w="3595" w:type="dxa"/>
            <w:shd w:val="clear" w:color="auto" w:fill="C6D9F1" w:themeFill="text2" w:themeFillTint="33"/>
          </w:tcPr>
          <w:p w14:paraId="0941E5FC" w14:textId="77777777" w:rsidR="00F62CC9" w:rsidRPr="005808FC" w:rsidRDefault="00F62CC9" w:rsidP="005808FC">
            <w:pPr>
              <w:spacing w:line="240" w:lineRule="auto"/>
              <w:rPr>
                <w:b/>
                <w:bCs/>
              </w:rPr>
            </w:pPr>
            <w:r w:rsidRPr="00291DF5">
              <w:rPr>
                <w:b/>
                <w:bCs/>
              </w:rPr>
              <w:t>Ime mjere/aktivnost</w:t>
            </w:r>
          </w:p>
        </w:tc>
        <w:tc>
          <w:tcPr>
            <w:tcW w:w="5421" w:type="dxa"/>
            <w:shd w:val="clear" w:color="auto" w:fill="C6D9F1" w:themeFill="text2" w:themeFillTint="33"/>
          </w:tcPr>
          <w:p w14:paraId="4020ADA4" w14:textId="77777777" w:rsidR="00F62CC9" w:rsidRPr="005808FC" w:rsidRDefault="00F62CC9" w:rsidP="005808FC">
            <w:pPr>
              <w:spacing w:line="240" w:lineRule="auto"/>
              <w:jc w:val="left"/>
              <w:rPr>
                <w:b/>
                <w:bCs/>
              </w:rPr>
            </w:pPr>
            <w:r w:rsidRPr="00291DF5">
              <w:rPr>
                <w:b/>
                <w:bCs/>
              </w:rPr>
              <w:t>Program integralne energetske obnove višestambenih zgrada do nZEB standarda</w:t>
            </w:r>
          </w:p>
        </w:tc>
      </w:tr>
      <w:tr w:rsidR="00F62CC9" w:rsidRPr="00282B4B" w14:paraId="2705848B" w14:textId="77777777" w:rsidTr="005808FC">
        <w:trPr>
          <w:trHeight w:val="737"/>
        </w:trPr>
        <w:tc>
          <w:tcPr>
            <w:tcW w:w="3595" w:type="dxa"/>
            <w:shd w:val="clear" w:color="auto" w:fill="F2DBDB" w:themeFill="accent2" w:themeFillTint="33"/>
          </w:tcPr>
          <w:p w14:paraId="5662B2EC" w14:textId="74E78629" w:rsidR="00F62CC9" w:rsidRPr="00282B4B" w:rsidRDefault="00F62CC9" w:rsidP="00AA6D1C">
            <w:pPr>
              <w:spacing w:line="240" w:lineRule="auto"/>
            </w:pPr>
            <w:r w:rsidRPr="00291DF5">
              <w:rPr>
                <w:b/>
                <w:bCs/>
              </w:rPr>
              <w:t>Nositelj aktivnosti:</w:t>
            </w:r>
          </w:p>
        </w:tc>
        <w:tc>
          <w:tcPr>
            <w:tcW w:w="5421" w:type="dxa"/>
          </w:tcPr>
          <w:p w14:paraId="2376FE46" w14:textId="0B0C6016" w:rsidR="00F62CC9" w:rsidRPr="00282B4B" w:rsidRDefault="00F62CC9" w:rsidP="00BF405C">
            <w:pPr>
              <w:numPr>
                <w:ilvl w:val="0"/>
                <w:numId w:val="9"/>
              </w:numPr>
              <w:spacing w:after="0" w:line="240" w:lineRule="auto"/>
              <w:ind w:left="487"/>
            </w:pPr>
            <w:r>
              <w:t>Gradsko stambeno komunalno gospodarstvo, d.o.o.</w:t>
            </w:r>
            <w:r w:rsidR="00B33B79">
              <w:t xml:space="preserve"> i drugi upravitelji zgrada</w:t>
            </w:r>
          </w:p>
        </w:tc>
      </w:tr>
      <w:tr w:rsidR="00F62CC9" w:rsidRPr="00282B4B" w14:paraId="75FAD742" w14:textId="77777777" w:rsidTr="005808FC">
        <w:trPr>
          <w:trHeight w:val="227"/>
        </w:trPr>
        <w:tc>
          <w:tcPr>
            <w:tcW w:w="3595" w:type="dxa"/>
            <w:shd w:val="clear" w:color="auto" w:fill="F2DBDB" w:themeFill="accent2" w:themeFillTint="33"/>
          </w:tcPr>
          <w:p w14:paraId="19BA9C6B" w14:textId="77777777" w:rsidR="00F62CC9" w:rsidRPr="005808FC" w:rsidRDefault="00F62CC9" w:rsidP="005808FC">
            <w:pPr>
              <w:spacing w:line="240" w:lineRule="auto"/>
              <w:rPr>
                <w:b/>
                <w:bCs/>
              </w:rPr>
            </w:pPr>
            <w:r w:rsidRPr="00291DF5">
              <w:rPr>
                <w:b/>
                <w:bCs/>
              </w:rPr>
              <w:t xml:space="preserve">Partneri u provođenju aktivnosti </w:t>
            </w:r>
          </w:p>
        </w:tc>
        <w:tc>
          <w:tcPr>
            <w:tcW w:w="5421" w:type="dxa"/>
          </w:tcPr>
          <w:p w14:paraId="270F7922" w14:textId="25AB1934" w:rsidR="00F62CC9" w:rsidRPr="00574699" w:rsidRDefault="00F62CC9" w:rsidP="00BF405C">
            <w:pPr>
              <w:numPr>
                <w:ilvl w:val="0"/>
                <w:numId w:val="14"/>
              </w:numPr>
              <w:spacing w:line="240" w:lineRule="auto"/>
              <w:ind w:left="487"/>
              <w:contextualSpacing/>
            </w:pPr>
            <w:r w:rsidRPr="00574699">
              <w:t>Gradski ured za gospodarstvo, energetiku</w:t>
            </w:r>
            <w:r w:rsidR="000509A0" w:rsidRPr="00574699">
              <w:t xml:space="preserve"> i </w:t>
            </w:r>
            <w:r w:rsidRPr="00574699">
              <w:t xml:space="preserve">zaštitu okoliša </w:t>
            </w:r>
          </w:p>
          <w:p w14:paraId="233F198A" w14:textId="77777777" w:rsidR="00574699" w:rsidRDefault="00601D46" w:rsidP="00BF405C">
            <w:pPr>
              <w:numPr>
                <w:ilvl w:val="0"/>
                <w:numId w:val="14"/>
              </w:numPr>
              <w:spacing w:line="240" w:lineRule="auto"/>
              <w:ind w:left="487"/>
              <w:contextualSpacing/>
            </w:pPr>
            <w:r w:rsidRPr="00574699">
              <w:t>Gradski ured za strategijsko planiranje i razvoj Grada</w:t>
            </w:r>
          </w:p>
          <w:p w14:paraId="3EDE7616" w14:textId="2C25050A" w:rsidR="00B33B79" w:rsidRPr="00574699" w:rsidRDefault="00B33B79" w:rsidP="00BF405C">
            <w:pPr>
              <w:numPr>
                <w:ilvl w:val="0"/>
                <w:numId w:val="14"/>
              </w:numPr>
              <w:spacing w:line="240" w:lineRule="auto"/>
              <w:ind w:left="487"/>
              <w:contextualSpacing/>
            </w:pPr>
            <w:r w:rsidRPr="00574699">
              <w:t>Zavod za prostorno uređenje grada Zagreba</w:t>
            </w:r>
          </w:p>
          <w:p w14:paraId="17A6D30A" w14:textId="77777777" w:rsidR="00F62CC9" w:rsidRPr="00282B4B" w:rsidRDefault="00F62CC9" w:rsidP="00BF405C">
            <w:pPr>
              <w:numPr>
                <w:ilvl w:val="0"/>
                <w:numId w:val="14"/>
              </w:numPr>
              <w:spacing w:after="0" w:line="240" w:lineRule="auto"/>
              <w:ind w:left="487"/>
              <w:contextualSpacing/>
            </w:pPr>
            <w:r w:rsidRPr="00574699">
              <w:t xml:space="preserve">REGEA </w:t>
            </w:r>
          </w:p>
        </w:tc>
      </w:tr>
      <w:tr w:rsidR="00F62CC9" w:rsidRPr="00282B4B" w14:paraId="6A9E827B" w14:textId="77777777" w:rsidTr="005808FC">
        <w:trPr>
          <w:trHeight w:val="227"/>
        </w:trPr>
        <w:tc>
          <w:tcPr>
            <w:tcW w:w="3595" w:type="dxa"/>
            <w:shd w:val="clear" w:color="auto" w:fill="F2DBDB" w:themeFill="accent2" w:themeFillTint="33"/>
          </w:tcPr>
          <w:p w14:paraId="3320FAC2" w14:textId="77777777" w:rsidR="00F62CC9" w:rsidRPr="005808FC" w:rsidDel="00683E5F" w:rsidRDefault="00F62CC9" w:rsidP="005808FC">
            <w:pPr>
              <w:spacing w:line="240" w:lineRule="auto"/>
              <w:rPr>
                <w:b/>
                <w:bCs/>
              </w:rPr>
            </w:pPr>
            <w:r w:rsidRPr="00291DF5">
              <w:rPr>
                <w:b/>
                <w:bCs/>
              </w:rPr>
              <w:t>Ostali uključeni dionici:</w:t>
            </w:r>
          </w:p>
        </w:tc>
        <w:tc>
          <w:tcPr>
            <w:tcW w:w="5421" w:type="dxa"/>
          </w:tcPr>
          <w:p w14:paraId="1340C104" w14:textId="7AF90EAA" w:rsidR="00F62CC9" w:rsidRPr="00282B4B" w:rsidRDefault="00F62CC9" w:rsidP="00BF405C">
            <w:pPr>
              <w:numPr>
                <w:ilvl w:val="0"/>
                <w:numId w:val="14"/>
              </w:numPr>
              <w:spacing w:line="240" w:lineRule="auto"/>
              <w:ind w:left="487"/>
              <w:contextualSpacing/>
            </w:pPr>
            <w:r w:rsidRPr="00282B4B">
              <w:t>Ministarstvo graditeljstva</w:t>
            </w:r>
            <w:r w:rsidR="000509A0">
              <w:t xml:space="preserve"> i </w:t>
            </w:r>
            <w:r w:rsidRPr="00282B4B">
              <w:t>prostornog uređenja</w:t>
            </w:r>
          </w:p>
          <w:p w14:paraId="36397671" w14:textId="3FB47ECD" w:rsidR="00F62CC9" w:rsidRPr="00282B4B" w:rsidRDefault="00F62CC9" w:rsidP="00BF405C">
            <w:pPr>
              <w:numPr>
                <w:ilvl w:val="0"/>
                <w:numId w:val="14"/>
              </w:numPr>
              <w:spacing w:line="240" w:lineRule="auto"/>
              <w:ind w:left="487"/>
              <w:contextualSpacing/>
            </w:pPr>
            <w:r w:rsidRPr="00282B4B">
              <w:t>Ministarstvo regionalnog razvoja</w:t>
            </w:r>
            <w:r w:rsidR="000509A0">
              <w:t xml:space="preserve"> i </w:t>
            </w:r>
            <w:r w:rsidRPr="00282B4B">
              <w:t>fondova EU</w:t>
            </w:r>
          </w:p>
          <w:p w14:paraId="5581AB89" w14:textId="77777777" w:rsidR="00F62CC9" w:rsidRPr="00282B4B" w:rsidRDefault="00F62CC9" w:rsidP="00BF405C">
            <w:pPr>
              <w:numPr>
                <w:ilvl w:val="0"/>
                <w:numId w:val="14"/>
              </w:numPr>
              <w:spacing w:line="240" w:lineRule="auto"/>
              <w:ind w:left="487"/>
              <w:contextualSpacing/>
            </w:pPr>
            <w:r w:rsidRPr="00282B4B">
              <w:t>FZOEU (PT 2)</w:t>
            </w:r>
          </w:p>
        </w:tc>
      </w:tr>
      <w:tr w:rsidR="00F62CC9" w:rsidRPr="00282B4B" w14:paraId="62C773B7" w14:textId="77777777" w:rsidTr="005808FC">
        <w:trPr>
          <w:trHeight w:val="227"/>
        </w:trPr>
        <w:tc>
          <w:tcPr>
            <w:tcW w:w="3595" w:type="dxa"/>
            <w:shd w:val="clear" w:color="auto" w:fill="F2DBDB" w:themeFill="accent2" w:themeFillTint="33"/>
          </w:tcPr>
          <w:p w14:paraId="5E008F1C" w14:textId="77777777" w:rsidR="00F62CC9" w:rsidRPr="005808FC" w:rsidRDefault="00F62CC9" w:rsidP="005808FC">
            <w:pPr>
              <w:spacing w:line="240" w:lineRule="auto"/>
              <w:rPr>
                <w:b/>
                <w:bCs/>
              </w:rPr>
            </w:pPr>
            <w:r w:rsidRPr="00291DF5">
              <w:rPr>
                <w:b/>
                <w:bCs/>
              </w:rPr>
              <w:t>Početak/kraj provedbe (godine)</w:t>
            </w:r>
          </w:p>
        </w:tc>
        <w:tc>
          <w:tcPr>
            <w:tcW w:w="5421" w:type="dxa"/>
          </w:tcPr>
          <w:p w14:paraId="567F0AA0" w14:textId="77777777" w:rsidR="00F62CC9" w:rsidRPr="005808FC" w:rsidRDefault="00F62CC9" w:rsidP="00BF405C">
            <w:pPr>
              <w:spacing w:line="240" w:lineRule="auto"/>
              <w:rPr>
                <w:b/>
              </w:rPr>
            </w:pPr>
            <w:r w:rsidRPr="005808FC">
              <w:rPr>
                <w:b/>
              </w:rPr>
              <w:t>2021-2030</w:t>
            </w:r>
          </w:p>
        </w:tc>
      </w:tr>
      <w:tr w:rsidR="00AA6D1C" w:rsidRPr="00282B4B" w14:paraId="120AB8BC" w14:textId="77777777" w:rsidTr="005808FC">
        <w:trPr>
          <w:trHeight w:val="227"/>
        </w:trPr>
        <w:tc>
          <w:tcPr>
            <w:tcW w:w="3595" w:type="dxa"/>
            <w:shd w:val="clear" w:color="auto" w:fill="F2DBDB" w:themeFill="accent2" w:themeFillTint="33"/>
          </w:tcPr>
          <w:p w14:paraId="2128C148" w14:textId="77777777" w:rsidR="00AA6D1C" w:rsidRPr="005808FC" w:rsidRDefault="00AA6D1C" w:rsidP="005808FC">
            <w:pPr>
              <w:spacing w:line="240" w:lineRule="auto"/>
              <w:rPr>
                <w:b/>
                <w:bCs/>
              </w:rPr>
            </w:pPr>
            <w:r w:rsidRPr="00291DF5">
              <w:rPr>
                <w:b/>
                <w:bCs/>
              </w:rPr>
              <w:t>Procjena uštede (MWh)</w:t>
            </w:r>
          </w:p>
        </w:tc>
        <w:tc>
          <w:tcPr>
            <w:tcW w:w="5421" w:type="dxa"/>
            <w:vAlign w:val="center"/>
          </w:tcPr>
          <w:p w14:paraId="338BB77B" w14:textId="0A715FCF" w:rsidR="00AA6D1C" w:rsidRPr="005808FC" w:rsidRDefault="00AA6D1C" w:rsidP="00AA6D1C">
            <w:pPr>
              <w:spacing w:line="240" w:lineRule="auto"/>
              <w:rPr>
                <w:b/>
              </w:rPr>
            </w:pPr>
            <w:r w:rsidRPr="005808FC">
              <w:rPr>
                <w:rFonts w:ascii="Calibri" w:hAnsi="Calibri" w:cs="Calibri"/>
                <w:b/>
                <w:color w:val="000000"/>
              </w:rPr>
              <w:t>721</w:t>
            </w:r>
            <w:r w:rsidR="000509A0">
              <w:rPr>
                <w:rFonts w:ascii="Calibri" w:hAnsi="Calibri" w:cs="Calibri"/>
                <w:b/>
                <w:color w:val="000000"/>
              </w:rPr>
              <w:t>.</w:t>
            </w:r>
            <w:r w:rsidRPr="005808FC">
              <w:rPr>
                <w:rFonts w:ascii="Calibri" w:hAnsi="Calibri" w:cs="Calibri"/>
                <w:b/>
                <w:color w:val="000000"/>
              </w:rPr>
              <w:t>78</w:t>
            </w:r>
            <w:r w:rsidR="004320F6" w:rsidRPr="005808FC">
              <w:rPr>
                <w:rFonts w:ascii="Calibri" w:hAnsi="Calibri" w:cs="Calibri"/>
                <w:b/>
                <w:color w:val="000000"/>
              </w:rPr>
              <w:t>4</w:t>
            </w:r>
          </w:p>
        </w:tc>
      </w:tr>
      <w:tr w:rsidR="00AA6D1C" w:rsidRPr="00282B4B" w14:paraId="2DA8A005" w14:textId="77777777" w:rsidTr="005808FC">
        <w:trPr>
          <w:trHeight w:val="227"/>
        </w:trPr>
        <w:tc>
          <w:tcPr>
            <w:tcW w:w="3595" w:type="dxa"/>
            <w:shd w:val="clear" w:color="auto" w:fill="F2DBDB" w:themeFill="accent2" w:themeFillTint="33"/>
          </w:tcPr>
          <w:p w14:paraId="405DCFFA" w14:textId="77777777" w:rsidR="00AA6D1C" w:rsidRPr="005808FC" w:rsidRDefault="00AA6D1C" w:rsidP="005808FC">
            <w:pPr>
              <w:spacing w:line="240" w:lineRule="auto"/>
              <w:rPr>
                <w:b/>
                <w:bCs/>
              </w:rPr>
            </w:pPr>
            <w:r w:rsidRPr="00291DF5">
              <w:rPr>
                <w:b/>
                <w:bCs/>
              </w:rPr>
              <w:t>Procjena smanjenja emisije (t CO</w:t>
            </w:r>
            <w:r w:rsidRPr="005808FC">
              <w:rPr>
                <w:b/>
                <w:bCs/>
                <w:vertAlign w:val="subscript"/>
              </w:rPr>
              <w:t>2</w:t>
            </w:r>
            <w:r w:rsidRPr="005808FC">
              <w:rPr>
                <w:b/>
                <w:bCs/>
              </w:rPr>
              <w:t>eq)</w:t>
            </w:r>
          </w:p>
        </w:tc>
        <w:tc>
          <w:tcPr>
            <w:tcW w:w="5421" w:type="dxa"/>
            <w:vAlign w:val="center"/>
          </w:tcPr>
          <w:p w14:paraId="6A006ED4" w14:textId="3A7539CD" w:rsidR="00AA6D1C" w:rsidRPr="005808FC" w:rsidRDefault="00AA6D1C" w:rsidP="00AA6D1C">
            <w:pPr>
              <w:spacing w:line="240" w:lineRule="auto"/>
              <w:rPr>
                <w:b/>
              </w:rPr>
            </w:pPr>
            <w:r w:rsidRPr="005808FC">
              <w:rPr>
                <w:rFonts w:ascii="Calibri" w:hAnsi="Calibri" w:cs="Calibri"/>
                <w:b/>
                <w:color w:val="000000"/>
              </w:rPr>
              <w:t>298</w:t>
            </w:r>
            <w:r w:rsidR="000509A0">
              <w:rPr>
                <w:rFonts w:ascii="Calibri" w:hAnsi="Calibri" w:cs="Calibri"/>
                <w:b/>
                <w:color w:val="000000"/>
              </w:rPr>
              <w:t>.</w:t>
            </w:r>
            <w:r w:rsidRPr="005808FC">
              <w:rPr>
                <w:rFonts w:ascii="Calibri" w:hAnsi="Calibri" w:cs="Calibri"/>
                <w:b/>
                <w:color w:val="000000"/>
              </w:rPr>
              <w:t>97</w:t>
            </w:r>
            <w:r w:rsidR="004320F6" w:rsidRPr="005808FC">
              <w:rPr>
                <w:rFonts w:ascii="Calibri" w:hAnsi="Calibri" w:cs="Calibri"/>
                <w:b/>
                <w:color w:val="000000"/>
              </w:rPr>
              <w:t>6</w:t>
            </w:r>
          </w:p>
        </w:tc>
      </w:tr>
      <w:tr w:rsidR="00F62CC9" w:rsidRPr="00282B4B" w14:paraId="5BFF0793" w14:textId="77777777" w:rsidTr="005808FC">
        <w:trPr>
          <w:trHeight w:val="227"/>
        </w:trPr>
        <w:tc>
          <w:tcPr>
            <w:tcW w:w="3595" w:type="dxa"/>
            <w:shd w:val="clear" w:color="auto" w:fill="F2DBDB" w:themeFill="accent2" w:themeFillTint="33"/>
          </w:tcPr>
          <w:p w14:paraId="390FB3F6" w14:textId="77777777" w:rsidR="00F62CC9" w:rsidRPr="005808FC" w:rsidRDefault="00F62CC9" w:rsidP="005808FC">
            <w:pPr>
              <w:spacing w:line="240" w:lineRule="auto"/>
              <w:rPr>
                <w:b/>
                <w:bCs/>
              </w:rPr>
            </w:pPr>
            <w:r w:rsidRPr="00291DF5">
              <w:rPr>
                <w:b/>
                <w:bCs/>
              </w:rPr>
              <w:t>Izvor sredstava za provedbu</w:t>
            </w:r>
          </w:p>
        </w:tc>
        <w:tc>
          <w:tcPr>
            <w:tcW w:w="5421" w:type="dxa"/>
          </w:tcPr>
          <w:p w14:paraId="2A77BD89" w14:textId="77777777" w:rsidR="00F62CC9" w:rsidRPr="00282B4B" w:rsidRDefault="00F62CC9" w:rsidP="00BF405C">
            <w:pPr>
              <w:numPr>
                <w:ilvl w:val="0"/>
                <w:numId w:val="9"/>
              </w:numPr>
              <w:spacing w:after="0" w:line="240" w:lineRule="auto"/>
              <w:ind w:left="714" w:hanging="357"/>
            </w:pPr>
            <w:r w:rsidRPr="00282B4B">
              <w:t>Državni proračun (EFRR)</w:t>
            </w:r>
          </w:p>
          <w:p w14:paraId="4EAEEA17" w14:textId="3E3750C1" w:rsidR="00F62CC9" w:rsidRPr="00282B4B" w:rsidRDefault="00F62CC9" w:rsidP="00BF405C">
            <w:pPr>
              <w:numPr>
                <w:ilvl w:val="0"/>
                <w:numId w:val="9"/>
              </w:numPr>
              <w:spacing w:after="0" w:line="240" w:lineRule="auto"/>
              <w:ind w:left="714" w:hanging="357"/>
            </w:pPr>
            <w:r w:rsidRPr="00282B4B">
              <w:t>Europski strukturni</w:t>
            </w:r>
            <w:r w:rsidR="000509A0">
              <w:t xml:space="preserve"> i </w:t>
            </w:r>
            <w:r w:rsidRPr="00282B4B">
              <w:t>investicijski fondovi</w:t>
            </w:r>
          </w:p>
          <w:p w14:paraId="27574C79" w14:textId="77777777" w:rsidR="00F62CC9" w:rsidRPr="00282B4B" w:rsidRDefault="00F62CC9" w:rsidP="00BF405C">
            <w:pPr>
              <w:numPr>
                <w:ilvl w:val="0"/>
                <w:numId w:val="9"/>
              </w:numPr>
              <w:spacing w:after="0" w:line="240" w:lineRule="auto"/>
              <w:ind w:left="714" w:hanging="357"/>
            </w:pPr>
            <w:r w:rsidRPr="00282B4B">
              <w:t>EFSI/JPP (ESCO)</w:t>
            </w:r>
          </w:p>
          <w:p w14:paraId="5B1D88CF" w14:textId="77777777" w:rsidR="00F62CC9" w:rsidRPr="00282B4B" w:rsidRDefault="00F62CC9" w:rsidP="00BF405C">
            <w:pPr>
              <w:numPr>
                <w:ilvl w:val="0"/>
                <w:numId w:val="9"/>
              </w:numPr>
              <w:spacing w:after="0" w:line="240" w:lineRule="auto"/>
              <w:ind w:left="714" w:hanging="357"/>
            </w:pPr>
            <w:r w:rsidRPr="00282B4B">
              <w:t>EIB/HBOR</w:t>
            </w:r>
          </w:p>
          <w:p w14:paraId="171658A6" w14:textId="77777777" w:rsidR="00F62CC9" w:rsidRPr="00282B4B" w:rsidRDefault="00F62CC9" w:rsidP="00BF405C">
            <w:pPr>
              <w:numPr>
                <w:ilvl w:val="0"/>
                <w:numId w:val="9"/>
              </w:numPr>
              <w:spacing w:after="0" w:line="240" w:lineRule="auto"/>
              <w:ind w:left="714" w:hanging="357"/>
            </w:pPr>
            <w:r w:rsidRPr="00282B4B">
              <w:t>PDA (npr. ELENA)</w:t>
            </w:r>
          </w:p>
          <w:p w14:paraId="4F539DEA" w14:textId="6B21C970" w:rsidR="00F62CC9" w:rsidRPr="00282B4B" w:rsidRDefault="00F62CC9" w:rsidP="0DFBE047">
            <w:pPr>
              <w:numPr>
                <w:ilvl w:val="0"/>
                <w:numId w:val="9"/>
              </w:numPr>
              <w:spacing w:after="0" w:line="240" w:lineRule="auto"/>
              <w:ind w:left="714" w:hanging="357"/>
            </w:pPr>
            <w:r w:rsidRPr="00282B4B">
              <w:t>Obzor 2020 (kroz PDA</w:t>
            </w:r>
            <w:r w:rsidR="000509A0">
              <w:t xml:space="preserve"> i </w:t>
            </w:r>
            <w:r w:rsidRPr="00282B4B">
              <w:t>Smart</w:t>
            </w:r>
            <w:r w:rsidRPr="0DFBE047">
              <w:t xml:space="preserve"> </w:t>
            </w:r>
            <w:r w:rsidRPr="00282B4B">
              <w:t>city</w:t>
            </w:r>
            <w:r w:rsidRPr="0DFBE047">
              <w:t>)</w:t>
            </w:r>
          </w:p>
          <w:p w14:paraId="55DDEA08" w14:textId="77777777" w:rsidR="00F62CC9" w:rsidRPr="00282B4B" w:rsidRDefault="00F62CC9" w:rsidP="00BF405C">
            <w:pPr>
              <w:numPr>
                <w:ilvl w:val="0"/>
                <w:numId w:val="9"/>
              </w:numPr>
              <w:spacing w:after="0" w:line="240" w:lineRule="auto"/>
              <w:ind w:left="714" w:hanging="357"/>
            </w:pPr>
            <w:r w:rsidRPr="00282B4B">
              <w:t>Sredstva komercijalnih banaka</w:t>
            </w:r>
          </w:p>
          <w:p w14:paraId="3D680E72" w14:textId="0A39B8EA" w:rsidR="00F62CC9" w:rsidRPr="00282B4B" w:rsidRDefault="00F62CC9" w:rsidP="00BF405C">
            <w:pPr>
              <w:numPr>
                <w:ilvl w:val="0"/>
                <w:numId w:val="9"/>
              </w:numPr>
              <w:spacing w:after="0" w:line="240" w:lineRule="auto"/>
              <w:ind w:left="714" w:hanging="357"/>
            </w:pPr>
            <w:r w:rsidRPr="00282B4B">
              <w:t>Vlastita sredstva suvlasnika</w:t>
            </w:r>
            <w:r w:rsidR="000509A0">
              <w:t xml:space="preserve"> i </w:t>
            </w:r>
            <w:r w:rsidRPr="00282B4B">
              <w:t>korisnika</w:t>
            </w:r>
          </w:p>
        </w:tc>
      </w:tr>
      <w:tr w:rsidR="00F62CC9" w:rsidRPr="00282B4B" w14:paraId="78A93AC6" w14:textId="77777777" w:rsidTr="005808FC">
        <w:trPr>
          <w:trHeight w:val="227"/>
        </w:trPr>
        <w:tc>
          <w:tcPr>
            <w:tcW w:w="3595" w:type="dxa"/>
            <w:shd w:val="clear" w:color="auto" w:fill="F2DBDB" w:themeFill="accent2" w:themeFillTint="33"/>
          </w:tcPr>
          <w:p w14:paraId="61D27C46" w14:textId="77777777" w:rsidR="00F62CC9" w:rsidRPr="005808FC" w:rsidRDefault="00F62CC9" w:rsidP="005808FC">
            <w:pPr>
              <w:spacing w:line="240" w:lineRule="auto"/>
              <w:rPr>
                <w:b/>
                <w:bCs/>
              </w:rPr>
            </w:pPr>
            <w:r w:rsidRPr="00291DF5">
              <w:rPr>
                <w:b/>
                <w:bCs/>
              </w:rPr>
              <w:t>Kratki opis/komentar</w:t>
            </w:r>
          </w:p>
        </w:tc>
        <w:tc>
          <w:tcPr>
            <w:tcW w:w="5421" w:type="dxa"/>
          </w:tcPr>
          <w:p w14:paraId="62F67C85" w14:textId="46A57B1F" w:rsidR="00F62CC9" w:rsidRPr="005F5283" w:rsidRDefault="00F62CC9" w:rsidP="00BF405C">
            <w:pPr>
              <w:spacing w:after="0" w:line="240" w:lineRule="auto"/>
              <w:ind w:left="46"/>
            </w:pPr>
            <w:r w:rsidRPr="005F5283">
              <w:t>Obuhvat aktivnosti je širok</w:t>
            </w:r>
            <w:r w:rsidR="000509A0">
              <w:t xml:space="preserve"> i </w:t>
            </w:r>
            <w:r w:rsidRPr="005F5283">
              <w:t>sama mjera je kapitalno intenzivna te je potrebno planirati korištenje financijskih mehanizama, potpora iz strukturnih fondova</w:t>
            </w:r>
            <w:r w:rsidR="000509A0">
              <w:t xml:space="preserve"> i </w:t>
            </w:r>
            <w:r w:rsidRPr="005F5283">
              <w:t>uključivanje financijskih institucija</w:t>
            </w:r>
            <w:r w:rsidR="000509A0">
              <w:t xml:space="preserve"> i </w:t>
            </w:r>
            <w:r w:rsidRPr="005F5283">
              <w:t>privatnog kapitala za realizaciju, te razvijati projekt kao strateški projekt u suradnji s nadležnim državnim institucijama</w:t>
            </w:r>
            <w:r w:rsidR="000509A0">
              <w:t xml:space="preserve"> i </w:t>
            </w:r>
            <w:r w:rsidRPr="005F5283">
              <w:t>u procesu programiranja za financijsku perspektivu 2021-202</w:t>
            </w:r>
            <w:r w:rsidR="00C172A7">
              <w:t>7</w:t>
            </w:r>
            <w:r w:rsidRPr="005F5283">
              <w:t>.</w:t>
            </w:r>
            <w:r w:rsidR="00B25B9E">
              <w:t xml:space="preserve"> </w:t>
            </w:r>
          </w:p>
          <w:p w14:paraId="2513D428" w14:textId="797683B4" w:rsidR="00F62CC9" w:rsidRDefault="00F62CC9" w:rsidP="00BF405C">
            <w:pPr>
              <w:spacing w:after="0" w:line="240" w:lineRule="auto"/>
              <w:ind w:left="46"/>
            </w:pPr>
            <w:r w:rsidRPr="005F5283">
              <w:t>U prvoj fazi mjera podrazumijeva analizu sektora višestambenih zgrada</w:t>
            </w:r>
            <w:r w:rsidR="000509A0">
              <w:t xml:space="preserve"> i </w:t>
            </w:r>
            <w:r w:rsidRPr="005F5283">
              <w:t>određivanje prioriteta s obzirom na stanje zgrada, a u drugoj fazi konkretno tehnički podrazumijeva troškovno učinkovitu transformaciju građevina do nZEB standarda</w:t>
            </w:r>
            <w:r w:rsidR="000509A0">
              <w:t xml:space="preserve"> i </w:t>
            </w:r>
            <w:r w:rsidRPr="005F5283">
              <w:t>podrazumijeva:</w:t>
            </w:r>
          </w:p>
          <w:p w14:paraId="75736C9A" w14:textId="2007710D" w:rsidR="00B33B79" w:rsidRPr="00544C30" w:rsidRDefault="00B33B79" w:rsidP="00544C30">
            <w:pPr>
              <w:numPr>
                <w:ilvl w:val="0"/>
                <w:numId w:val="13"/>
              </w:numPr>
              <w:spacing w:line="240" w:lineRule="auto"/>
              <w:ind w:left="344" w:hanging="344"/>
              <w:contextualSpacing/>
            </w:pPr>
            <w:r w:rsidRPr="00544C30">
              <w:t>Urbanističko energetska analiza stambenih naselja</w:t>
            </w:r>
            <w:r>
              <w:t>;</w:t>
            </w:r>
          </w:p>
          <w:p w14:paraId="52A796BC" w14:textId="77777777" w:rsidR="00B33B79" w:rsidRPr="005F5283" w:rsidRDefault="00B33B79" w:rsidP="00BF405C">
            <w:pPr>
              <w:spacing w:after="0" w:line="240" w:lineRule="auto"/>
              <w:ind w:left="46"/>
            </w:pPr>
          </w:p>
          <w:p w14:paraId="04BED435" w14:textId="62735B12" w:rsidR="00F62CC9" w:rsidRPr="00282B4B" w:rsidRDefault="00F62CC9" w:rsidP="00BF405C">
            <w:pPr>
              <w:numPr>
                <w:ilvl w:val="0"/>
                <w:numId w:val="13"/>
              </w:numPr>
              <w:spacing w:line="240" w:lineRule="auto"/>
              <w:ind w:left="344" w:hanging="344"/>
              <w:contextualSpacing/>
            </w:pPr>
            <w:r w:rsidRPr="00282B4B">
              <w:lastRenderedPageBreak/>
              <w:t>Energetski pregledi</w:t>
            </w:r>
            <w:r w:rsidR="000509A0">
              <w:t xml:space="preserve"> i </w:t>
            </w:r>
            <w:r w:rsidRPr="00282B4B">
              <w:t>certifikacija zgrada</w:t>
            </w:r>
            <w:r w:rsidR="00786EA6">
              <w:t>;</w:t>
            </w:r>
          </w:p>
          <w:p w14:paraId="27DFA848" w14:textId="1D052A7D" w:rsidR="00F62CC9" w:rsidRPr="00282B4B" w:rsidRDefault="00F62CC9" w:rsidP="0DFBE047">
            <w:pPr>
              <w:numPr>
                <w:ilvl w:val="0"/>
                <w:numId w:val="13"/>
              </w:numPr>
              <w:spacing w:line="240" w:lineRule="auto"/>
              <w:ind w:left="344" w:hanging="344"/>
              <w:contextualSpacing/>
            </w:pPr>
            <w:r w:rsidRPr="00282B4B">
              <w:t>Obnova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w:t>
            </w:r>
            <w:r w:rsidR="000509A0">
              <w:t xml:space="preserve"> i </w:t>
            </w:r>
            <w:r w:rsidRPr="00282B4B">
              <w:t>zaobljenih krovova, pokrova</w:t>
            </w:r>
            <w:r w:rsidR="000509A0">
              <w:t xml:space="preserve"> i </w:t>
            </w:r>
            <w:r w:rsidRPr="00282B4B">
              <w:t>hidroizolacija</w:t>
            </w:r>
            <w:r w:rsidRPr="0DFBE047">
              <w:t xml:space="preserve">; </w:t>
            </w:r>
          </w:p>
          <w:p w14:paraId="4A47A062" w14:textId="77777777" w:rsidR="00F62CC9" w:rsidRPr="00282B4B" w:rsidRDefault="00F62CC9" w:rsidP="00BF405C">
            <w:pPr>
              <w:numPr>
                <w:ilvl w:val="0"/>
                <w:numId w:val="13"/>
              </w:numPr>
              <w:spacing w:line="240" w:lineRule="auto"/>
              <w:ind w:left="344" w:hanging="344"/>
              <w:contextualSpacing/>
            </w:pPr>
            <w:r w:rsidRPr="00282B4B">
              <w:t xml:space="preserve">Ugradnja novog visokoučinkovitog sustava grijanja ili poboljšanje postojećeg; </w:t>
            </w:r>
          </w:p>
          <w:p w14:paraId="38E09B5B" w14:textId="77777777" w:rsidR="00F62CC9" w:rsidRPr="00282B4B" w:rsidRDefault="00F62CC9" w:rsidP="00BF405C">
            <w:pPr>
              <w:numPr>
                <w:ilvl w:val="0"/>
                <w:numId w:val="13"/>
              </w:numPr>
              <w:spacing w:line="240" w:lineRule="auto"/>
              <w:ind w:left="344" w:hanging="344"/>
              <w:contextualSpacing/>
            </w:pPr>
            <w:r w:rsidRPr="00282B4B">
              <w:t xml:space="preserve">Zamjena postojećeg sustava pripreme potrošne tople vode sustavom koji koristi OIE; </w:t>
            </w:r>
          </w:p>
          <w:p w14:paraId="1BB4BE0A" w14:textId="77777777" w:rsidR="00F62CC9" w:rsidRPr="00282B4B" w:rsidRDefault="00F62CC9" w:rsidP="00BF405C">
            <w:pPr>
              <w:numPr>
                <w:ilvl w:val="0"/>
                <w:numId w:val="13"/>
              </w:numPr>
              <w:spacing w:line="240" w:lineRule="auto"/>
              <w:ind w:left="344" w:hanging="344"/>
              <w:contextualSpacing/>
            </w:pPr>
            <w:r w:rsidRPr="00282B4B">
              <w:t xml:space="preserve">Zamjena ili uvođenje sustava hlađenja visokoučinkovitim sustavom ili poboljšanje postojećeg; </w:t>
            </w:r>
          </w:p>
          <w:p w14:paraId="7FEB4026" w14:textId="77777777" w:rsidR="00F62CC9" w:rsidRPr="00282B4B" w:rsidRDefault="00F62CC9" w:rsidP="00BF405C">
            <w:pPr>
              <w:numPr>
                <w:ilvl w:val="0"/>
                <w:numId w:val="13"/>
              </w:numPr>
              <w:spacing w:line="240" w:lineRule="auto"/>
              <w:ind w:left="344" w:hanging="344"/>
              <w:contextualSpacing/>
            </w:pPr>
            <w:r w:rsidRPr="00282B4B">
              <w:t xml:space="preserve">Zamjena ili uvođenje sustava prozračivanja visokoučinkovitim sustavom ili poboljšanje postojećeg; </w:t>
            </w:r>
          </w:p>
          <w:p w14:paraId="7F08ECAF" w14:textId="77777777" w:rsidR="00F62CC9" w:rsidRPr="00282B4B" w:rsidRDefault="00F62CC9" w:rsidP="00BF405C">
            <w:pPr>
              <w:numPr>
                <w:ilvl w:val="0"/>
                <w:numId w:val="13"/>
              </w:numPr>
              <w:spacing w:line="240" w:lineRule="auto"/>
              <w:ind w:left="344" w:hanging="344"/>
              <w:contextualSpacing/>
            </w:pPr>
            <w:r w:rsidRPr="00282B4B">
              <w:t xml:space="preserve">Zamjena unutarnje rasvjete učinkovitijom; </w:t>
            </w:r>
          </w:p>
          <w:p w14:paraId="146CF195" w14:textId="77777777" w:rsidR="00F62CC9" w:rsidRPr="00282B4B" w:rsidRDefault="00F62CC9" w:rsidP="0DFBE047">
            <w:pPr>
              <w:numPr>
                <w:ilvl w:val="0"/>
                <w:numId w:val="13"/>
              </w:numPr>
              <w:spacing w:line="240" w:lineRule="auto"/>
              <w:ind w:left="344" w:hanging="344"/>
              <w:contextualSpacing/>
            </w:pPr>
            <w:r w:rsidRPr="00282B4B">
              <w:t>Ugradnja fotonaponskih modula za proizvodnju električne energije iz OIE za potrebe ETC-a;</w:t>
            </w:r>
          </w:p>
          <w:p w14:paraId="327CAC48" w14:textId="6A3BAC8A" w:rsidR="00F62CC9" w:rsidRPr="00282B4B" w:rsidRDefault="00F62CC9" w:rsidP="00BF405C">
            <w:pPr>
              <w:numPr>
                <w:ilvl w:val="0"/>
                <w:numId w:val="13"/>
              </w:numPr>
              <w:spacing w:line="240" w:lineRule="auto"/>
              <w:ind w:left="344" w:hanging="344"/>
              <w:contextualSpacing/>
            </w:pPr>
            <w:r w:rsidRPr="00282B4B">
              <w:t>Uvođenje sustava automatizacije</w:t>
            </w:r>
            <w:r w:rsidR="000509A0">
              <w:t xml:space="preserve"> i </w:t>
            </w:r>
            <w:r w:rsidRPr="00282B4B">
              <w:t xml:space="preserve">upravljanja zgradom; </w:t>
            </w:r>
          </w:p>
          <w:p w14:paraId="73EA271C" w14:textId="3B57DC46" w:rsidR="00F62CC9" w:rsidRPr="00282B4B" w:rsidRDefault="00F62CC9" w:rsidP="00BF405C">
            <w:pPr>
              <w:numPr>
                <w:ilvl w:val="0"/>
                <w:numId w:val="13"/>
              </w:numPr>
              <w:spacing w:after="0" w:line="240" w:lineRule="auto"/>
              <w:ind w:left="316" w:hanging="316"/>
              <w:contextualSpacing/>
            </w:pPr>
            <w:r w:rsidRPr="00282B4B">
              <w:t>Projektiranje</w:t>
            </w:r>
            <w:r w:rsidR="000509A0">
              <w:t xml:space="preserve"> i </w:t>
            </w:r>
            <w:r w:rsidRPr="00282B4B">
              <w:t>ugradnja opreme za usklađenjem s pokazateljem pripremljenosti zgrade za pametne tehnologije kojim se procjenjuje spremnost zgrade da se prilagodi potrebama korisnika</w:t>
            </w:r>
            <w:r w:rsidR="000509A0">
              <w:t xml:space="preserve"> i </w:t>
            </w:r>
            <w:r w:rsidRPr="00282B4B">
              <w:t>mreže</w:t>
            </w:r>
            <w:r w:rsidR="00786EA6">
              <w:t>.</w:t>
            </w:r>
          </w:p>
          <w:p w14:paraId="78EB5F05" w14:textId="11B391FE" w:rsidR="00F62CC9" w:rsidRPr="00282B4B" w:rsidRDefault="00F62CC9" w:rsidP="00BF405C">
            <w:pPr>
              <w:spacing w:line="240" w:lineRule="auto"/>
            </w:pPr>
            <w:r w:rsidRPr="00282B4B">
              <w:t>Mjera je povezana</w:t>
            </w:r>
            <w:r w:rsidR="000509A0">
              <w:t xml:space="preserve"> i </w:t>
            </w:r>
            <w:r w:rsidRPr="00282B4B">
              <w:t>s mjerom Uvođenja sustava automatskog nadzora</w:t>
            </w:r>
            <w:r w:rsidR="000509A0">
              <w:t xml:space="preserve"> i </w:t>
            </w:r>
            <w:r w:rsidRPr="00282B4B">
              <w:t>individualnog mjerenja potrošnje energije</w:t>
            </w:r>
            <w:r w:rsidR="000509A0">
              <w:t xml:space="preserve"> i </w:t>
            </w:r>
            <w:r w:rsidRPr="00282B4B">
              <w:t>vode u zgradama javnog sektora</w:t>
            </w:r>
            <w:r w:rsidR="000509A0">
              <w:t xml:space="preserve"> i </w:t>
            </w:r>
            <w:r w:rsidRPr="00282B4B">
              <w:t>mjerama iz dijela prilagodbe učincima klimatskih promjena (</w:t>
            </w:r>
            <w:r w:rsidRPr="00544C30">
              <w:rPr>
                <w:i/>
              </w:rPr>
              <w:t>adaptation</w:t>
            </w:r>
            <w:r w:rsidRPr="00282B4B">
              <w:t>) koje se odnose na analizu mogućnosti</w:t>
            </w:r>
            <w:r w:rsidR="000509A0">
              <w:t xml:space="preserve"> i </w:t>
            </w:r>
            <w:r w:rsidRPr="00282B4B">
              <w:t>konkretnu primjenu zelenih tehnologija u obnovi zgrada.</w:t>
            </w:r>
          </w:p>
        </w:tc>
      </w:tr>
    </w:tbl>
    <w:p w14:paraId="6AC6B791" w14:textId="77777777" w:rsidR="00F62CC9" w:rsidRPr="00282B4B" w:rsidRDefault="00F62CC9" w:rsidP="005808FC">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5"/>
        <w:gridCol w:w="5421"/>
      </w:tblGrid>
      <w:tr w:rsidR="00F62CC9" w:rsidRPr="00282B4B" w14:paraId="30113849" w14:textId="77777777" w:rsidTr="005808FC">
        <w:trPr>
          <w:trHeight w:val="227"/>
        </w:trPr>
        <w:tc>
          <w:tcPr>
            <w:tcW w:w="3595" w:type="dxa"/>
            <w:shd w:val="clear" w:color="auto" w:fill="C6D9F1" w:themeFill="text2" w:themeFillTint="33"/>
          </w:tcPr>
          <w:p w14:paraId="40B13CC6" w14:textId="77777777" w:rsidR="00F62CC9" w:rsidRPr="005808FC" w:rsidRDefault="00F62CC9" w:rsidP="005808FC">
            <w:pPr>
              <w:spacing w:line="240" w:lineRule="auto"/>
              <w:rPr>
                <w:b/>
                <w:bCs/>
              </w:rPr>
            </w:pPr>
            <w:r w:rsidRPr="00291DF5">
              <w:rPr>
                <w:b/>
                <w:bCs/>
              </w:rPr>
              <w:t>Redni broj mjere</w:t>
            </w:r>
          </w:p>
        </w:tc>
        <w:tc>
          <w:tcPr>
            <w:tcW w:w="5421" w:type="dxa"/>
            <w:shd w:val="clear" w:color="auto" w:fill="C6D9F1" w:themeFill="text2" w:themeFillTint="33"/>
          </w:tcPr>
          <w:p w14:paraId="6A754627" w14:textId="77777777" w:rsidR="00F62CC9" w:rsidRPr="005808FC" w:rsidRDefault="00F62CC9" w:rsidP="005808FC">
            <w:pPr>
              <w:spacing w:line="240" w:lineRule="auto"/>
              <w:rPr>
                <w:b/>
                <w:bCs/>
              </w:rPr>
            </w:pPr>
            <w:r w:rsidRPr="00291DF5">
              <w:rPr>
                <w:b/>
                <w:bCs/>
              </w:rPr>
              <w:t>8</w:t>
            </w:r>
          </w:p>
        </w:tc>
      </w:tr>
      <w:tr w:rsidR="00F62CC9" w:rsidRPr="00282B4B" w14:paraId="4DBFED56" w14:textId="77777777" w:rsidTr="005808FC">
        <w:trPr>
          <w:trHeight w:val="638"/>
        </w:trPr>
        <w:tc>
          <w:tcPr>
            <w:tcW w:w="3595" w:type="dxa"/>
            <w:shd w:val="clear" w:color="auto" w:fill="C6D9F1" w:themeFill="text2" w:themeFillTint="33"/>
          </w:tcPr>
          <w:p w14:paraId="1FA91480" w14:textId="77777777" w:rsidR="00F62CC9" w:rsidRPr="005808FC" w:rsidRDefault="00F62CC9" w:rsidP="005808FC">
            <w:pPr>
              <w:spacing w:line="240" w:lineRule="auto"/>
              <w:rPr>
                <w:b/>
                <w:bCs/>
              </w:rPr>
            </w:pPr>
            <w:r w:rsidRPr="00291DF5">
              <w:rPr>
                <w:b/>
                <w:bCs/>
              </w:rPr>
              <w:t>Ime mjere/aktivnost</w:t>
            </w:r>
          </w:p>
        </w:tc>
        <w:tc>
          <w:tcPr>
            <w:tcW w:w="5421" w:type="dxa"/>
            <w:shd w:val="clear" w:color="auto" w:fill="C6D9F1" w:themeFill="text2" w:themeFillTint="33"/>
          </w:tcPr>
          <w:p w14:paraId="34842D05" w14:textId="77777777" w:rsidR="00F62CC9" w:rsidRPr="005808FC" w:rsidRDefault="00F62CC9" w:rsidP="005808FC">
            <w:pPr>
              <w:spacing w:line="240" w:lineRule="auto"/>
              <w:jc w:val="left"/>
              <w:rPr>
                <w:b/>
                <w:bCs/>
              </w:rPr>
            </w:pPr>
            <w:r w:rsidRPr="00291DF5">
              <w:rPr>
                <w:b/>
                <w:bCs/>
              </w:rPr>
              <w:t xml:space="preserve">Program integralne energetske obnove obiteljskih kuća </w:t>
            </w:r>
          </w:p>
        </w:tc>
      </w:tr>
      <w:tr w:rsidR="00F62CC9" w:rsidRPr="00282B4B" w14:paraId="670F46A7" w14:textId="77777777" w:rsidTr="005808FC">
        <w:trPr>
          <w:trHeight w:val="548"/>
        </w:trPr>
        <w:tc>
          <w:tcPr>
            <w:tcW w:w="3595" w:type="dxa"/>
            <w:shd w:val="clear" w:color="auto" w:fill="F2DBDB" w:themeFill="accent2" w:themeFillTint="33"/>
          </w:tcPr>
          <w:p w14:paraId="5700D1E2" w14:textId="77777777" w:rsidR="00F62CC9" w:rsidRPr="005808FC" w:rsidRDefault="00F62CC9" w:rsidP="005808FC">
            <w:pPr>
              <w:spacing w:line="240" w:lineRule="auto"/>
              <w:rPr>
                <w:b/>
                <w:bCs/>
              </w:rPr>
            </w:pPr>
            <w:r w:rsidRPr="00291DF5">
              <w:rPr>
                <w:b/>
                <w:bCs/>
              </w:rPr>
              <w:t>Nositelj aktivnosti :</w:t>
            </w:r>
          </w:p>
          <w:p w14:paraId="5580BC8B" w14:textId="77777777" w:rsidR="00F62CC9" w:rsidRPr="009569AC" w:rsidRDefault="00F62CC9" w:rsidP="00BF405C">
            <w:pPr>
              <w:spacing w:line="240" w:lineRule="auto"/>
              <w:rPr>
                <w:b/>
              </w:rPr>
            </w:pPr>
          </w:p>
        </w:tc>
        <w:tc>
          <w:tcPr>
            <w:tcW w:w="5421" w:type="dxa"/>
          </w:tcPr>
          <w:p w14:paraId="46CDFA7C" w14:textId="0ED8EA94" w:rsidR="00F62CC9" w:rsidRPr="00282B4B" w:rsidRDefault="00F62CC9" w:rsidP="00BF405C">
            <w:pPr>
              <w:numPr>
                <w:ilvl w:val="0"/>
                <w:numId w:val="9"/>
              </w:numPr>
              <w:spacing w:line="240" w:lineRule="auto"/>
              <w:ind w:left="344" w:hanging="344"/>
            </w:pPr>
            <w:r>
              <w:t>Gradski ured za gospodarstvo, energetiku</w:t>
            </w:r>
            <w:r w:rsidR="000509A0">
              <w:t xml:space="preserve"> i </w:t>
            </w:r>
            <w:r>
              <w:t>zaštitu okoliša</w:t>
            </w:r>
          </w:p>
        </w:tc>
      </w:tr>
      <w:tr w:rsidR="00F62CC9" w:rsidRPr="00282B4B" w14:paraId="6137F7A5" w14:textId="77777777" w:rsidTr="005808FC">
        <w:trPr>
          <w:trHeight w:val="227"/>
        </w:trPr>
        <w:tc>
          <w:tcPr>
            <w:tcW w:w="3595" w:type="dxa"/>
            <w:shd w:val="clear" w:color="auto" w:fill="F2DBDB" w:themeFill="accent2" w:themeFillTint="33"/>
          </w:tcPr>
          <w:p w14:paraId="50166C2E" w14:textId="77777777" w:rsidR="00F62CC9" w:rsidRPr="005808FC" w:rsidRDefault="00F62CC9" w:rsidP="005808FC">
            <w:pPr>
              <w:spacing w:line="240" w:lineRule="auto"/>
              <w:rPr>
                <w:b/>
                <w:bCs/>
              </w:rPr>
            </w:pPr>
            <w:r w:rsidRPr="00291DF5">
              <w:rPr>
                <w:b/>
                <w:bCs/>
              </w:rPr>
              <w:t xml:space="preserve">Partneri u provođenju aktivnosti: </w:t>
            </w:r>
          </w:p>
        </w:tc>
        <w:tc>
          <w:tcPr>
            <w:tcW w:w="5421" w:type="dxa"/>
          </w:tcPr>
          <w:p w14:paraId="3ACFC823" w14:textId="77777777" w:rsidR="00601D46" w:rsidRPr="00AA4E0B" w:rsidRDefault="00601D46" w:rsidP="00601D46">
            <w:pPr>
              <w:numPr>
                <w:ilvl w:val="0"/>
                <w:numId w:val="9"/>
              </w:numPr>
              <w:spacing w:line="240" w:lineRule="auto"/>
              <w:ind w:left="316" w:hanging="270"/>
            </w:pPr>
            <w:r w:rsidRPr="00AA4E0B">
              <w:t>Zavod za prostorno uređenje Grada Zagreba</w:t>
            </w:r>
          </w:p>
          <w:p w14:paraId="503DCA72" w14:textId="77777777" w:rsidR="00601D46" w:rsidRPr="00AA4E0B" w:rsidRDefault="00601D46" w:rsidP="00601D46">
            <w:pPr>
              <w:numPr>
                <w:ilvl w:val="0"/>
                <w:numId w:val="9"/>
              </w:numPr>
              <w:spacing w:line="240" w:lineRule="auto"/>
              <w:ind w:left="316" w:hanging="270"/>
            </w:pPr>
            <w:r w:rsidRPr="00AA4E0B">
              <w:t>Gradski ured za strategijsko planiranje i razvoj Grada</w:t>
            </w:r>
          </w:p>
          <w:p w14:paraId="0740EFB0" w14:textId="46CA5E39" w:rsidR="00F62CC9" w:rsidRPr="00AA4E0B" w:rsidRDefault="00F62CC9" w:rsidP="00BF405C">
            <w:pPr>
              <w:numPr>
                <w:ilvl w:val="0"/>
                <w:numId w:val="9"/>
              </w:numPr>
              <w:spacing w:line="240" w:lineRule="auto"/>
              <w:ind w:left="316" w:hanging="270"/>
            </w:pPr>
            <w:r w:rsidRPr="00AA4E0B">
              <w:t>REGEA</w:t>
            </w:r>
          </w:p>
        </w:tc>
      </w:tr>
      <w:tr w:rsidR="00F62CC9" w:rsidRPr="00282B4B" w14:paraId="7D43F95B" w14:textId="77777777" w:rsidTr="005808FC">
        <w:trPr>
          <w:trHeight w:val="227"/>
        </w:trPr>
        <w:tc>
          <w:tcPr>
            <w:tcW w:w="3595" w:type="dxa"/>
            <w:shd w:val="clear" w:color="auto" w:fill="F2DBDB" w:themeFill="accent2" w:themeFillTint="33"/>
          </w:tcPr>
          <w:p w14:paraId="3B24646F" w14:textId="77777777" w:rsidR="00F62CC9" w:rsidRPr="005808FC" w:rsidDel="00683E5F" w:rsidRDefault="00F62CC9" w:rsidP="005808FC">
            <w:pPr>
              <w:spacing w:line="240" w:lineRule="auto"/>
              <w:rPr>
                <w:b/>
                <w:bCs/>
              </w:rPr>
            </w:pPr>
            <w:r w:rsidRPr="00291DF5">
              <w:rPr>
                <w:b/>
                <w:bCs/>
              </w:rPr>
              <w:t>Ostali uključeni dionici:</w:t>
            </w:r>
          </w:p>
        </w:tc>
        <w:tc>
          <w:tcPr>
            <w:tcW w:w="5421" w:type="dxa"/>
          </w:tcPr>
          <w:p w14:paraId="7E2DDAF3" w14:textId="32ABEAA9" w:rsidR="00F62CC9" w:rsidRPr="00282B4B" w:rsidRDefault="00F62CC9" w:rsidP="00BF405C">
            <w:pPr>
              <w:numPr>
                <w:ilvl w:val="0"/>
                <w:numId w:val="14"/>
              </w:numPr>
              <w:spacing w:line="240" w:lineRule="auto"/>
              <w:ind w:left="307" w:hanging="270"/>
              <w:contextualSpacing/>
            </w:pPr>
            <w:r w:rsidRPr="00282B4B">
              <w:t>Ministarstvo graditeljstva</w:t>
            </w:r>
            <w:r w:rsidR="000509A0">
              <w:t xml:space="preserve"> i </w:t>
            </w:r>
            <w:r w:rsidRPr="00282B4B">
              <w:t>prostornog uređenja</w:t>
            </w:r>
          </w:p>
          <w:p w14:paraId="40359A4F" w14:textId="08562665" w:rsidR="00F62CC9" w:rsidRPr="00282B4B" w:rsidRDefault="00F62CC9" w:rsidP="00BF405C">
            <w:pPr>
              <w:numPr>
                <w:ilvl w:val="0"/>
                <w:numId w:val="14"/>
              </w:numPr>
              <w:spacing w:line="240" w:lineRule="auto"/>
              <w:ind w:left="307" w:hanging="270"/>
              <w:contextualSpacing/>
            </w:pPr>
            <w:r w:rsidRPr="00282B4B">
              <w:t>Ministarstvo regionalnog razvoja</w:t>
            </w:r>
            <w:r w:rsidR="000509A0">
              <w:t xml:space="preserve"> i </w:t>
            </w:r>
            <w:r w:rsidRPr="00282B4B">
              <w:t>fondova EU</w:t>
            </w:r>
          </w:p>
          <w:p w14:paraId="636D9041" w14:textId="77777777" w:rsidR="00F62CC9" w:rsidRPr="00282B4B" w:rsidDel="00350A1C" w:rsidRDefault="00F62CC9" w:rsidP="00BF405C">
            <w:pPr>
              <w:numPr>
                <w:ilvl w:val="0"/>
                <w:numId w:val="14"/>
              </w:numPr>
              <w:spacing w:line="240" w:lineRule="auto"/>
              <w:ind w:left="307" w:hanging="270"/>
              <w:contextualSpacing/>
            </w:pPr>
            <w:r w:rsidRPr="00282B4B">
              <w:t>FZOEU (PT 2)</w:t>
            </w:r>
          </w:p>
        </w:tc>
      </w:tr>
      <w:tr w:rsidR="00F62CC9" w:rsidRPr="00282B4B" w14:paraId="1E312133" w14:textId="77777777" w:rsidTr="005808FC">
        <w:trPr>
          <w:trHeight w:val="227"/>
        </w:trPr>
        <w:tc>
          <w:tcPr>
            <w:tcW w:w="3595" w:type="dxa"/>
            <w:shd w:val="clear" w:color="auto" w:fill="F2DBDB" w:themeFill="accent2" w:themeFillTint="33"/>
          </w:tcPr>
          <w:p w14:paraId="33C21FE8" w14:textId="77777777" w:rsidR="00F62CC9" w:rsidRPr="005808FC" w:rsidRDefault="00F62CC9" w:rsidP="005808FC">
            <w:pPr>
              <w:spacing w:line="240" w:lineRule="auto"/>
              <w:rPr>
                <w:b/>
                <w:bCs/>
              </w:rPr>
            </w:pPr>
            <w:r w:rsidRPr="00291DF5">
              <w:rPr>
                <w:b/>
                <w:bCs/>
              </w:rPr>
              <w:lastRenderedPageBreak/>
              <w:t>Početak/kraj provedbe (godine)</w:t>
            </w:r>
          </w:p>
        </w:tc>
        <w:tc>
          <w:tcPr>
            <w:tcW w:w="5421" w:type="dxa"/>
          </w:tcPr>
          <w:p w14:paraId="394EC6E5" w14:textId="77777777" w:rsidR="00F62CC9" w:rsidRPr="005808FC" w:rsidRDefault="00F62CC9" w:rsidP="00BF405C">
            <w:pPr>
              <w:tabs>
                <w:tab w:val="left" w:pos="344"/>
              </w:tabs>
              <w:spacing w:line="240" w:lineRule="auto"/>
              <w:rPr>
                <w:b/>
              </w:rPr>
            </w:pPr>
            <w:r w:rsidRPr="005808FC">
              <w:rPr>
                <w:b/>
              </w:rPr>
              <w:t>2021-2030</w:t>
            </w:r>
          </w:p>
        </w:tc>
      </w:tr>
      <w:tr w:rsidR="00390876" w:rsidRPr="00282B4B" w14:paraId="4BF2CADD" w14:textId="77777777" w:rsidTr="005808FC">
        <w:trPr>
          <w:trHeight w:val="227"/>
        </w:trPr>
        <w:tc>
          <w:tcPr>
            <w:tcW w:w="3595" w:type="dxa"/>
            <w:shd w:val="clear" w:color="auto" w:fill="F2DBDB" w:themeFill="accent2" w:themeFillTint="33"/>
          </w:tcPr>
          <w:p w14:paraId="3EF7A973" w14:textId="77777777" w:rsidR="00390876" w:rsidRPr="005808FC" w:rsidRDefault="00390876" w:rsidP="005808FC">
            <w:pPr>
              <w:spacing w:line="240" w:lineRule="auto"/>
              <w:rPr>
                <w:b/>
                <w:bCs/>
              </w:rPr>
            </w:pPr>
            <w:r w:rsidRPr="00291DF5">
              <w:rPr>
                <w:b/>
                <w:bCs/>
              </w:rPr>
              <w:t>Procjena uštede (MWh)</w:t>
            </w:r>
          </w:p>
        </w:tc>
        <w:tc>
          <w:tcPr>
            <w:tcW w:w="5421" w:type="dxa"/>
            <w:vAlign w:val="center"/>
          </w:tcPr>
          <w:p w14:paraId="3E2C7E37" w14:textId="6C0BB1BA" w:rsidR="00390876" w:rsidRPr="005808FC" w:rsidRDefault="00390876" w:rsidP="00390876">
            <w:pPr>
              <w:spacing w:line="240" w:lineRule="auto"/>
              <w:rPr>
                <w:b/>
              </w:rPr>
            </w:pPr>
            <w:r w:rsidRPr="005808FC">
              <w:rPr>
                <w:rFonts w:ascii="Calibri" w:hAnsi="Calibri" w:cs="Calibri"/>
                <w:b/>
                <w:color w:val="000000"/>
              </w:rPr>
              <w:t>721</w:t>
            </w:r>
            <w:r w:rsidR="000509A0">
              <w:rPr>
                <w:rFonts w:ascii="Calibri" w:hAnsi="Calibri" w:cs="Calibri"/>
                <w:b/>
                <w:color w:val="000000"/>
              </w:rPr>
              <w:t>.</w:t>
            </w:r>
            <w:r w:rsidRPr="005808FC">
              <w:rPr>
                <w:rFonts w:ascii="Calibri" w:hAnsi="Calibri" w:cs="Calibri"/>
                <w:b/>
                <w:color w:val="000000"/>
              </w:rPr>
              <w:t>78</w:t>
            </w:r>
            <w:r w:rsidR="004320F6" w:rsidRPr="005808FC">
              <w:rPr>
                <w:rFonts w:ascii="Calibri" w:hAnsi="Calibri" w:cs="Calibri"/>
                <w:b/>
                <w:color w:val="000000"/>
              </w:rPr>
              <w:t>4</w:t>
            </w:r>
          </w:p>
        </w:tc>
      </w:tr>
      <w:tr w:rsidR="00390876" w:rsidRPr="00282B4B" w14:paraId="78E25D66" w14:textId="77777777" w:rsidTr="005808FC">
        <w:trPr>
          <w:trHeight w:val="227"/>
        </w:trPr>
        <w:tc>
          <w:tcPr>
            <w:tcW w:w="3595" w:type="dxa"/>
            <w:shd w:val="clear" w:color="auto" w:fill="F2DBDB" w:themeFill="accent2" w:themeFillTint="33"/>
          </w:tcPr>
          <w:p w14:paraId="3C5D53AE" w14:textId="77777777" w:rsidR="00390876" w:rsidRPr="005808FC" w:rsidRDefault="00390876" w:rsidP="005808FC">
            <w:pPr>
              <w:spacing w:line="240" w:lineRule="auto"/>
              <w:rPr>
                <w:b/>
                <w:bCs/>
              </w:rPr>
            </w:pPr>
            <w:r w:rsidRPr="00291DF5">
              <w:rPr>
                <w:b/>
                <w:bCs/>
              </w:rPr>
              <w:t>Procjena smanjenja emisije (t CO2eq)</w:t>
            </w:r>
          </w:p>
        </w:tc>
        <w:tc>
          <w:tcPr>
            <w:tcW w:w="5421" w:type="dxa"/>
            <w:vAlign w:val="center"/>
          </w:tcPr>
          <w:p w14:paraId="63601A6B" w14:textId="17AE1FE3" w:rsidR="00390876" w:rsidRPr="005808FC" w:rsidRDefault="00390876" w:rsidP="00390876">
            <w:pPr>
              <w:spacing w:line="240" w:lineRule="auto"/>
              <w:rPr>
                <w:b/>
              </w:rPr>
            </w:pPr>
            <w:r w:rsidRPr="005808FC">
              <w:rPr>
                <w:rFonts w:ascii="Calibri" w:hAnsi="Calibri" w:cs="Calibri"/>
                <w:b/>
                <w:color w:val="000000"/>
              </w:rPr>
              <w:t>298</w:t>
            </w:r>
            <w:r w:rsidR="000509A0">
              <w:rPr>
                <w:rFonts w:ascii="Calibri" w:hAnsi="Calibri" w:cs="Calibri"/>
                <w:b/>
                <w:color w:val="000000"/>
              </w:rPr>
              <w:t>.</w:t>
            </w:r>
            <w:r w:rsidRPr="005808FC">
              <w:rPr>
                <w:rFonts w:ascii="Calibri" w:hAnsi="Calibri" w:cs="Calibri"/>
                <w:b/>
                <w:color w:val="000000"/>
              </w:rPr>
              <w:t>97</w:t>
            </w:r>
            <w:r w:rsidR="004320F6" w:rsidRPr="005808FC">
              <w:rPr>
                <w:rFonts w:ascii="Calibri" w:hAnsi="Calibri" w:cs="Calibri"/>
                <w:b/>
                <w:color w:val="000000"/>
              </w:rPr>
              <w:t>6</w:t>
            </w:r>
          </w:p>
        </w:tc>
      </w:tr>
      <w:tr w:rsidR="00F62CC9" w:rsidRPr="00282B4B" w14:paraId="69633BBD" w14:textId="77777777" w:rsidTr="005808FC">
        <w:trPr>
          <w:trHeight w:val="227"/>
        </w:trPr>
        <w:tc>
          <w:tcPr>
            <w:tcW w:w="3595" w:type="dxa"/>
            <w:shd w:val="clear" w:color="auto" w:fill="F2DBDB" w:themeFill="accent2" w:themeFillTint="33"/>
          </w:tcPr>
          <w:p w14:paraId="1F260CCA" w14:textId="77777777" w:rsidR="00F62CC9" w:rsidRPr="005808FC" w:rsidRDefault="00F62CC9" w:rsidP="005808FC">
            <w:pPr>
              <w:spacing w:line="240" w:lineRule="auto"/>
              <w:rPr>
                <w:b/>
                <w:bCs/>
              </w:rPr>
            </w:pPr>
            <w:r w:rsidRPr="00291DF5">
              <w:rPr>
                <w:b/>
                <w:bCs/>
              </w:rPr>
              <w:t>Izvor sredstava za provedbu</w:t>
            </w:r>
          </w:p>
        </w:tc>
        <w:tc>
          <w:tcPr>
            <w:tcW w:w="5421" w:type="dxa"/>
          </w:tcPr>
          <w:p w14:paraId="11C5693E" w14:textId="77777777" w:rsidR="00F62CC9" w:rsidRPr="00282B4B" w:rsidRDefault="00F62CC9" w:rsidP="00BF405C">
            <w:pPr>
              <w:numPr>
                <w:ilvl w:val="0"/>
                <w:numId w:val="9"/>
              </w:numPr>
              <w:spacing w:after="120" w:line="240" w:lineRule="auto"/>
              <w:ind w:left="346" w:hanging="346"/>
            </w:pPr>
            <w:r w:rsidRPr="00282B4B">
              <w:t xml:space="preserve">Državni proračun </w:t>
            </w:r>
          </w:p>
          <w:p w14:paraId="5D632A6A" w14:textId="0E0A0FED" w:rsidR="00F62CC9" w:rsidRPr="00282B4B" w:rsidRDefault="00F62CC9" w:rsidP="00BF405C">
            <w:pPr>
              <w:numPr>
                <w:ilvl w:val="0"/>
                <w:numId w:val="9"/>
              </w:numPr>
              <w:spacing w:after="120" w:line="240" w:lineRule="auto"/>
              <w:ind w:left="346" w:hanging="346"/>
            </w:pPr>
            <w:r w:rsidRPr="00282B4B">
              <w:t>Europski strukturni</w:t>
            </w:r>
            <w:r w:rsidR="000509A0">
              <w:t xml:space="preserve"> i </w:t>
            </w:r>
            <w:r w:rsidRPr="00282B4B">
              <w:t>investicijski fondovi</w:t>
            </w:r>
          </w:p>
          <w:p w14:paraId="405F1BDE" w14:textId="77777777" w:rsidR="00F62CC9" w:rsidRPr="00282B4B" w:rsidRDefault="00F62CC9" w:rsidP="00BF405C">
            <w:pPr>
              <w:numPr>
                <w:ilvl w:val="0"/>
                <w:numId w:val="9"/>
              </w:numPr>
              <w:spacing w:after="120" w:line="240" w:lineRule="auto"/>
              <w:ind w:left="346" w:hanging="346"/>
            </w:pPr>
            <w:r w:rsidRPr="00282B4B">
              <w:t>EFSI/JPP (ESCO)</w:t>
            </w:r>
          </w:p>
          <w:p w14:paraId="1BBCFB0D" w14:textId="77777777" w:rsidR="00F62CC9" w:rsidRPr="00282B4B" w:rsidRDefault="00F62CC9" w:rsidP="00BF405C">
            <w:pPr>
              <w:numPr>
                <w:ilvl w:val="0"/>
                <w:numId w:val="9"/>
              </w:numPr>
              <w:spacing w:after="120" w:line="240" w:lineRule="auto"/>
              <w:ind w:left="346" w:hanging="346"/>
            </w:pPr>
            <w:r w:rsidRPr="00282B4B">
              <w:t>EIB/HBOR</w:t>
            </w:r>
          </w:p>
          <w:p w14:paraId="3BF7EEAD" w14:textId="77777777" w:rsidR="00F62CC9" w:rsidRPr="00282B4B" w:rsidRDefault="00F62CC9" w:rsidP="00BF405C">
            <w:pPr>
              <w:numPr>
                <w:ilvl w:val="0"/>
                <w:numId w:val="9"/>
              </w:numPr>
              <w:spacing w:after="120" w:line="240" w:lineRule="auto"/>
              <w:ind w:left="346" w:hanging="346"/>
            </w:pPr>
            <w:r w:rsidRPr="00282B4B">
              <w:t>Sredstva komercijalnih banaka</w:t>
            </w:r>
          </w:p>
          <w:p w14:paraId="318C2B3B" w14:textId="33119D03" w:rsidR="00F62CC9" w:rsidRPr="00282B4B" w:rsidRDefault="00F62CC9" w:rsidP="00BF405C">
            <w:pPr>
              <w:numPr>
                <w:ilvl w:val="0"/>
                <w:numId w:val="9"/>
              </w:numPr>
              <w:spacing w:after="120" w:line="240" w:lineRule="auto"/>
              <w:ind w:left="346" w:hanging="346"/>
            </w:pPr>
            <w:r w:rsidRPr="00282B4B">
              <w:t>Vlastita sredstva suvlasnika</w:t>
            </w:r>
            <w:r w:rsidR="000509A0">
              <w:t xml:space="preserve"> i </w:t>
            </w:r>
            <w:r w:rsidRPr="00282B4B">
              <w:t>korisnika</w:t>
            </w:r>
          </w:p>
        </w:tc>
      </w:tr>
      <w:tr w:rsidR="00F62CC9" w:rsidRPr="00282B4B" w14:paraId="7E757CAD" w14:textId="77777777" w:rsidTr="005808FC">
        <w:trPr>
          <w:trHeight w:val="227"/>
        </w:trPr>
        <w:tc>
          <w:tcPr>
            <w:tcW w:w="3595" w:type="dxa"/>
            <w:shd w:val="clear" w:color="auto" w:fill="F2DBDB" w:themeFill="accent2" w:themeFillTint="33"/>
          </w:tcPr>
          <w:p w14:paraId="1EF7C28A" w14:textId="77777777" w:rsidR="00F62CC9" w:rsidRPr="005808FC" w:rsidRDefault="00F62CC9" w:rsidP="005808FC">
            <w:pPr>
              <w:spacing w:line="240" w:lineRule="auto"/>
              <w:rPr>
                <w:b/>
                <w:bCs/>
              </w:rPr>
            </w:pPr>
            <w:r w:rsidRPr="00291DF5">
              <w:rPr>
                <w:b/>
                <w:bCs/>
              </w:rPr>
              <w:t>Kratki opis/komentar</w:t>
            </w:r>
          </w:p>
        </w:tc>
        <w:tc>
          <w:tcPr>
            <w:tcW w:w="5421" w:type="dxa"/>
          </w:tcPr>
          <w:p w14:paraId="258AB670" w14:textId="515F8B49" w:rsidR="00C50353" w:rsidRPr="00544C30" w:rsidRDefault="00F62CC9" w:rsidP="00C50353">
            <w:pPr>
              <w:pStyle w:val="CommentText"/>
              <w:rPr>
                <w:sz w:val="22"/>
                <w:szCs w:val="22"/>
              </w:rPr>
            </w:pPr>
            <w:r w:rsidRPr="00544C30">
              <w:rPr>
                <w:sz w:val="22"/>
                <w:szCs w:val="22"/>
              </w:rPr>
              <w:t>Opći cilj je postizanje energetskih ušteda – smanjenje potrošnje energije u obiteljskim kućama integralnom energetskom obnovom</w:t>
            </w:r>
            <w:r w:rsidR="000509A0" w:rsidRPr="00544C30">
              <w:rPr>
                <w:sz w:val="22"/>
                <w:szCs w:val="22"/>
              </w:rPr>
              <w:t xml:space="preserve"> i </w:t>
            </w:r>
            <w:r w:rsidRPr="00544C30">
              <w:rPr>
                <w:sz w:val="22"/>
                <w:szCs w:val="22"/>
              </w:rPr>
              <w:t xml:space="preserve">gdje god je to moguće korištenjem obnovljivih izvora energije koji se treba ostvariti razradom programa integralne energetske obnove obiteljskih kuća. </w:t>
            </w:r>
            <w:r w:rsidR="00C50353" w:rsidRPr="00544C30">
              <w:rPr>
                <w:sz w:val="22"/>
                <w:szCs w:val="22"/>
              </w:rPr>
              <w:t>Znatne uštede su moguće uz cjeloviti urbanistički pristup, dakle dio naselja kao cjelina.</w:t>
            </w:r>
          </w:p>
          <w:p w14:paraId="21EEEBCC" w14:textId="45C1527B" w:rsidR="00F62CC9" w:rsidRDefault="00F62CC9" w:rsidP="00BF405C">
            <w:pPr>
              <w:spacing w:line="240" w:lineRule="auto"/>
            </w:pPr>
            <w:r w:rsidRPr="00282B4B">
              <w:t>Konkretno, program treba omogućiti vlasnicima obiteljskih kuća integralnu obnovu, na način da se vlasnicima omogući potpora:</w:t>
            </w:r>
          </w:p>
          <w:p w14:paraId="65D8A568" w14:textId="77777777" w:rsidR="00F62CC9" w:rsidRPr="00282B4B" w:rsidRDefault="00F62CC9" w:rsidP="00BF405C">
            <w:pPr>
              <w:pStyle w:val="ListParagraph"/>
              <w:numPr>
                <w:ilvl w:val="0"/>
                <w:numId w:val="51"/>
              </w:numPr>
              <w:spacing w:line="240" w:lineRule="auto"/>
              <w:ind w:left="307"/>
            </w:pPr>
            <w:r w:rsidRPr="00282B4B">
              <w:t>u fazi energetskog pregleda (izrada energetskog certifikata);</w:t>
            </w:r>
          </w:p>
          <w:p w14:paraId="434E7EBE" w14:textId="77777777" w:rsidR="00F62CC9" w:rsidRPr="00282B4B" w:rsidRDefault="00F62CC9" w:rsidP="00BF405C">
            <w:pPr>
              <w:numPr>
                <w:ilvl w:val="0"/>
                <w:numId w:val="46"/>
              </w:numPr>
              <w:spacing w:line="240" w:lineRule="auto"/>
              <w:ind w:left="316"/>
              <w:contextualSpacing/>
            </w:pPr>
            <w:r w:rsidRPr="00282B4B">
              <w:t>u projektiranju integralne obnove;</w:t>
            </w:r>
          </w:p>
          <w:p w14:paraId="35611172" w14:textId="77777777" w:rsidR="00F62CC9" w:rsidRPr="00282B4B" w:rsidRDefault="00F62CC9" w:rsidP="00BF405C">
            <w:pPr>
              <w:numPr>
                <w:ilvl w:val="0"/>
                <w:numId w:val="46"/>
              </w:numPr>
              <w:spacing w:line="240" w:lineRule="auto"/>
              <w:ind w:left="316"/>
              <w:contextualSpacing/>
            </w:pPr>
            <w:r w:rsidRPr="00282B4B">
              <w:t>u fazi provedbe radova integralne obnove koji podrazumijevaju:</w:t>
            </w:r>
          </w:p>
          <w:p w14:paraId="67E714C2" w14:textId="48FCB3C5" w:rsidR="00F62CC9" w:rsidRPr="00282B4B" w:rsidRDefault="00F62CC9" w:rsidP="0DFBE047">
            <w:pPr>
              <w:numPr>
                <w:ilvl w:val="0"/>
                <w:numId w:val="13"/>
              </w:numPr>
              <w:spacing w:line="240" w:lineRule="auto"/>
              <w:ind w:left="586" w:hanging="344"/>
              <w:contextualSpacing/>
            </w:pPr>
            <w:r w:rsidRPr="00282B4B">
              <w:t>Obnovu ovojnice obiteljskih kuća – povećanje toplinske zaštite ovojnice, toplinska izolacija podova, zidova, stropova, ravnih, kosih</w:t>
            </w:r>
            <w:r w:rsidR="000509A0">
              <w:t xml:space="preserve"> i </w:t>
            </w:r>
            <w:r w:rsidRPr="00282B4B">
              <w:t>zaobljenih krovova, pokrova</w:t>
            </w:r>
            <w:r w:rsidR="000509A0">
              <w:t xml:space="preserve"> i </w:t>
            </w:r>
            <w:r w:rsidRPr="00282B4B">
              <w:t>hidroizolacija</w:t>
            </w:r>
            <w:r w:rsidRPr="0DFBE047">
              <w:t xml:space="preserve">; </w:t>
            </w:r>
          </w:p>
          <w:p w14:paraId="27144838" w14:textId="77777777" w:rsidR="00F62CC9" w:rsidRPr="00282B4B" w:rsidRDefault="00F62CC9" w:rsidP="00BF405C">
            <w:pPr>
              <w:numPr>
                <w:ilvl w:val="0"/>
                <w:numId w:val="13"/>
              </w:numPr>
              <w:spacing w:line="240" w:lineRule="auto"/>
              <w:ind w:left="586" w:hanging="344"/>
              <w:contextualSpacing/>
            </w:pPr>
            <w:r w:rsidRPr="00282B4B">
              <w:t xml:space="preserve">Ugradnja novog visokoučinkovitog sustava grijanja ili poboljšanje postojećeg; </w:t>
            </w:r>
          </w:p>
          <w:p w14:paraId="50235BD8" w14:textId="77777777" w:rsidR="00F62CC9" w:rsidRPr="00282B4B" w:rsidRDefault="00F62CC9" w:rsidP="00BF405C">
            <w:pPr>
              <w:numPr>
                <w:ilvl w:val="0"/>
                <w:numId w:val="13"/>
              </w:numPr>
              <w:spacing w:line="240" w:lineRule="auto"/>
              <w:ind w:left="586" w:hanging="344"/>
              <w:contextualSpacing/>
            </w:pPr>
            <w:r w:rsidRPr="00282B4B">
              <w:t xml:space="preserve">Zamjena postojećeg sustava pripreme potrošne tople vode sustavom koji koristi OIE; </w:t>
            </w:r>
          </w:p>
          <w:p w14:paraId="77873C97" w14:textId="77777777" w:rsidR="00F62CC9" w:rsidRPr="00282B4B" w:rsidRDefault="00F62CC9" w:rsidP="00BF405C">
            <w:pPr>
              <w:numPr>
                <w:ilvl w:val="0"/>
                <w:numId w:val="13"/>
              </w:numPr>
              <w:spacing w:line="240" w:lineRule="auto"/>
              <w:ind w:left="586" w:hanging="344"/>
              <w:contextualSpacing/>
            </w:pPr>
            <w:r w:rsidRPr="00282B4B">
              <w:t xml:space="preserve">Zamjena ili uvođenje sustava hlađenja visokoučinkovitim sustavom ili poboljšanje postojećeg; </w:t>
            </w:r>
          </w:p>
          <w:p w14:paraId="1A2C65DE" w14:textId="77777777" w:rsidR="00F62CC9" w:rsidRPr="00282B4B" w:rsidRDefault="00F62CC9" w:rsidP="00BF405C">
            <w:pPr>
              <w:numPr>
                <w:ilvl w:val="0"/>
                <w:numId w:val="13"/>
              </w:numPr>
              <w:spacing w:line="240" w:lineRule="auto"/>
              <w:ind w:left="586" w:hanging="344"/>
              <w:contextualSpacing/>
            </w:pPr>
            <w:r w:rsidRPr="00282B4B">
              <w:t xml:space="preserve">Zamjena ili uvođenje sustava prozračivanja visokoučinkovitim sustavom ili poboljšanje postojećeg; </w:t>
            </w:r>
          </w:p>
          <w:p w14:paraId="344CB69D" w14:textId="77777777" w:rsidR="00F62CC9" w:rsidRPr="00282B4B" w:rsidRDefault="00F62CC9" w:rsidP="00BF405C">
            <w:pPr>
              <w:numPr>
                <w:ilvl w:val="0"/>
                <w:numId w:val="13"/>
              </w:numPr>
              <w:spacing w:line="240" w:lineRule="auto"/>
              <w:ind w:left="586" w:hanging="344"/>
              <w:contextualSpacing/>
            </w:pPr>
            <w:r w:rsidRPr="00282B4B">
              <w:t xml:space="preserve">Zamjena unutarnje rasvjete učinkovitijom; </w:t>
            </w:r>
          </w:p>
          <w:p w14:paraId="7E066B04" w14:textId="77777777" w:rsidR="00F62CC9" w:rsidRPr="00282B4B" w:rsidRDefault="00F62CC9" w:rsidP="0DFBE047">
            <w:pPr>
              <w:numPr>
                <w:ilvl w:val="0"/>
                <w:numId w:val="13"/>
              </w:numPr>
              <w:spacing w:line="240" w:lineRule="auto"/>
              <w:ind w:left="586" w:hanging="344"/>
              <w:contextualSpacing/>
            </w:pPr>
            <w:r w:rsidRPr="00282B4B">
              <w:t>Ugradnja fotonaponskih modula za proizvodnju električne energije iz OIE,</w:t>
            </w:r>
          </w:p>
          <w:p w14:paraId="57446B51" w14:textId="21896FEC" w:rsidR="00F62CC9" w:rsidRPr="00282B4B" w:rsidRDefault="00F62CC9" w:rsidP="00BF405C">
            <w:pPr>
              <w:numPr>
                <w:ilvl w:val="0"/>
                <w:numId w:val="13"/>
              </w:numPr>
              <w:spacing w:line="240" w:lineRule="auto"/>
              <w:ind w:left="586" w:hanging="344"/>
              <w:contextualSpacing/>
            </w:pPr>
            <w:r w:rsidRPr="00282B4B">
              <w:lastRenderedPageBreak/>
              <w:t>Uvođenje sustava automatizacije</w:t>
            </w:r>
            <w:r w:rsidR="000509A0">
              <w:t xml:space="preserve"> i </w:t>
            </w:r>
            <w:r w:rsidRPr="00282B4B">
              <w:t xml:space="preserve">upravljanja obiteljskom kućom; </w:t>
            </w:r>
          </w:p>
          <w:p w14:paraId="0810901E" w14:textId="547F9977" w:rsidR="00F62CC9" w:rsidRPr="00282B4B" w:rsidRDefault="00F62CC9" w:rsidP="00BF405C">
            <w:pPr>
              <w:spacing w:after="0" w:line="240" w:lineRule="auto"/>
              <w:ind w:left="46"/>
            </w:pPr>
            <w:r w:rsidRPr="005F5283">
              <w:t>Obuhvat aktivnosti je širok</w:t>
            </w:r>
            <w:r w:rsidR="000509A0">
              <w:t xml:space="preserve"> i </w:t>
            </w:r>
            <w:r w:rsidRPr="005F5283">
              <w:t>sama mjera je kapitalno intenzivna te je potrebno planirati korištenje financijskih mehanizama, potpora iz strukturnih fondova</w:t>
            </w:r>
            <w:r w:rsidR="000509A0">
              <w:t xml:space="preserve"> i </w:t>
            </w:r>
            <w:r w:rsidRPr="005F5283">
              <w:t>uključivanje financijskih institucija</w:t>
            </w:r>
            <w:r w:rsidR="000509A0">
              <w:t xml:space="preserve"> i </w:t>
            </w:r>
            <w:r w:rsidRPr="005F5283">
              <w:t>privatnog kapitala za realizaciju, te razvijati projekt kao strateški projekt u suradnji s nadležnim državnim institucijama</w:t>
            </w:r>
            <w:r w:rsidR="000509A0">
              <w:t xml:space="preserve"> i </w:t>
            </w:r>
            <w:r w:rsidRPr="005F5283">
              <w:t>u procesu programiranja za financijsku perspektivu 2021-2028.</w:t>
            </w:r>
          </w:p>
        </w:tc>
      </w:tr>
    </w:tbl>
    <w:p w14:paraId="13DC36DC" w14:textId="77777777" w:rsidR="000509A0" w:rsidRDefault="000509A0">
      <w:pPr>
        <w:jc w:val="left"/>
      </w:pPr>
      <w:r>
        <w:lastRenderedPageBreak/>
        <w:br w:type="page"/>
      </w:r>
    </w:p>
    <w:p w14:paraId="4A115AB5" w14:textId="226C2B46" w:rsidR="00F62CC9" w:rsidRDefault="00F62CC9" w:rsidP="005F5283">
      <w:pPr>
        <w:pStyle w:val="Heading4"/>
        <w:rPr>
          <w:lang w:eastAsia="hr-HR"/>
        </w:rPr>
      </w:pPr>
      <w:r w:rsidRPr="005D2907">
        <w:rPr>
          <w:lang w:eastAsia="hr-HR"/>
        </w:rPr>
        <w:lastRenderedPageBreak/>
        <w:t>Komercijalni</w:t>
      </w:r>
      <w:r w:rsidR="000509A0">
        <w:rPr>
          <w:lang w:eastAsia="hr-HR"/>
        </w:rPr>
        <w:t xml:space="preserve"> i </w:t>
      </w:r>
      <w:r w:rsidRPr="005D2907">
        <w:rPr>
          <w:lang w:eastAsia="hr-HR"/>
        </w:rPr>
        <w:t>uslužni podsektor</w:t>
      </w:r>
    </w:p>
    <w:p w14:paraId="6C9FDAE9" w14:textId="602B921E" w:rsidR="005F5283" w:rsidRPr="005F5283" w:rsidRDefault="005F5283" w:rsidP="005F5283">
      <w:pPr>
        <w:rPr>
          <w:lang w:eastAsia="hr-HR"/>
        </w:rPr>
      </w:pPr>
      <w:r>
        <w:rPr>
          <w:lang w:eastAsia="hr-HR"/>
        </w:rPr>
        <w:t>Zgrade komercijalnog</w:t>
      </w:r>
      <w:r w:rsidR="000509A0">
        <w:rPr>
          <w:lang w:eastAsia="hr-HR"/>
        </w:rPr>
        <w:t xml:space="preserve"> i </w:t>
      </w:r>
      <w:r>
        <w:rPr>
          <w:lang w:eastAsia="hr-HR"/>
        </w:rPr>
        <w:t>uslužnog podsektora predstavljaju potencijal za smanjenje emisija CO</w:t>
      </w:r>
      <w:r w:rsidRPr="005F5283">
        <w:rPr>
          <w:vertAlign w:val="subscript"/>
          <w:lang w:eastAsia="hr-HR"/>
        </w:rPr>
        <w:t>2</w:t>
      </w:r>
      <w:r>
        <w:rPr>
          <w:lang w:eastAsia="hr-HR"/>
        </w:rPr>
        <w:t xml:space="preserve"> te se kroz predložene mjere planira provesti analiza koja će pokazati u kojem obujmu</w:t>
      </w:r>
      <w:r w:rsidR="000509A0">
        <w:rPr>
          <w:lang w:eastAsia="hr-HR"/>
        </w:rPr>
        <w:t xml:space="preserve"> i </w:t>
      </w:r>
      <w:r>
        <w:rPr>
          <w:lang w:eastAsia="hr-HR"/>
        </w:rPr>
        <w:t>na koji način lokalna zajednica može</w:t>
      </w:r>
      <w:r w:rsidR="00B25B9E">
        <w:rPr>
          <w:lang w:eastAsia="hr-HR"/>
        </w:rPr>
        <w:t xml:space="preserve"> </w:t>
      </w:r>
      <w:r>
        <w:rPr>
          <w:lang w:eastAsia="hr-HR"/>
        </w:rPr>
        <w:t>potaknuti održivost ovoga sektora. Važna je mjera uspostave pra</w:t>
      </w:r>
      <w:r w:rsidR="00036FA7">
        <w:rPr>
          <w:lang w:eastAsia="hr-HR"/>
        </w:rPr>
        <w:t>ćenja energetske obnove komercijalnih zgrada jer ove energetske obnove doprinose smanjenju emisija na području lokalne zajednice te se također uzimaju u obzir prilikom izvještavanja o postignutom napretku u okviru Sporazuma grad</w:t>
      </w:r>
      <w:r w:rsidR="00EC5352">
        <w:rPr>
          <w:lang w:eastAsia="hr-HR"/>
        </w:rPr>
        <w:t>o</w:t>
      </w:r>
      <w:r w:rsidR="00036FA7">
        <w:rPr>
          <w:lang w:eastAsia="hr-HR"/>
        </w:rPr>
        <w:t>načelnika.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F62CC9" w:rsidRPr="00EF5ADB" w14:paraId="2FA7554A" w14:textId="77777777" w:rsidTr="005808FC">
        <w:trPr>
          <w:trHeight w:val="227"/>
        </w:trPr>
        <w:tc>
          <w:tcPr>
            <w:tcW w:w="3415" w:type="dxa"/>
            <w:shd w:val="clear" w:color="auto" w:fill="C6D9F1" w:themeFill="text2" w:themeFillTint="33"/>
          </w:tcPr>
          <w:p w14:paraId="16D1B7E2" w14:textId="77777777" w:rsidR="00F62CC9" w:rsidRPr="005808FC" w:rsidRDefault="00F62CC9" w:rsidP="005808FC">
            <w:pPr>
              <w:spacing w:line="240" w:lineRule="auto"/>
              <w:rPr>
                <w:b/>
                <w:bCs/>
              </w:rPr>
            </w:pPr>
            <w:r w:rsidRPr="00291DF5">
              <w:rPr>
                <w:b/>
                <w:bCs/>
              </w:rPr>
              <w:t>Redni broj m</w:t>
            </w:r>
            <w:r w:rsidRPr="005808FC">
              <w:rPr>
                <w:b/>
                <w:bCs/>
              </w:rPr>
              <w:t>jere</w:t>
            </w:r>
          </w:p>
        </w:tc>
        <w:tc>
          <w:tcPr>
            <w:tcW w:w="5601" w:type="dxa"/>
            <w:shd w:val="clear" w:color="auto" w:fill="C6D9F1" w:themeFill="text2" w:themeFillTint="33"/>
          </w:tcPr>
          <w:p w14:paraId="068822AF" w14:textId="77777777" w:rsidR="00F62CC9" w:rsidRPr="005808FC" w:rsidRDefault="00F62CC9" w:rsidP="005808FC">
            <w:pPr>
              <w:spacing w:line="240" w:lineRule="auto"/>
              <w:rPr>
                <w:b/>
                <w:bCs/>
              </w:rPr>
            </w:pPr>
            <w:r w:rsidRPr="00291DF5">
              <w:rPr>
                <w:b/>
                <w:bCs/>
              </w:rPr>
              <w:t>9</w:t>
            </w:r>
          </w:p>
        </w:tc>
      </w:tr>
      <w:tr w:rsidR="00F62CC9" w:rsidRPr="00EF5ADB" w14:paraId="124E4D62" w14:textId="77777777" w:rsidTr="005808FC">
        <w:trPr>
          <w:trHeight w:val="227"/>
        </w:trPr>
        <w:tc>
          <w:tcPr>
            <w:tcW w:w="3415" w:type="dxa"/>
            <w:shd w:val="clear" w:color="auto" w:fill="C6D9F1" w:themeFill="text2" w:themeFillTint="33"/>
          </w:tcPr>
          <w:p w14:paraId="417FB6D3" w14:textId="77777777" w:rsidR="00F62CC9" w:rsidRPr="005808FC" w:rsidRDefault="00F62CC9" w:rsidP="005808FC">
            <w:pPr>
              <w:spacing w:line="240" w:lineRule="auto"/>
              <w:rPr>
                <w:b/>
                <w:bCs/>
              </w:rPr>
            </w:pPr>
            <w:r w:rsidRPr="00291DF5">
              <w:rPr>
                <w:b/>
                <w:bCs/>
              </w:rPr>
              <w:t>Ime mjere/aktivnost</w:t>
            </w:r>
          </w:p>
        </w:tc>
        <w:tc>
          <w:tcPr>
            <w:tcW w:w="5601" w:type="dxa"/>
            <w:shd w:val="clear" w:color="auto" w:fill="C6D9F1" w:themeFill="text2" w:themeFillTint="33"/>
          </w:tcPr>
          <w:p w14:paraId="5B95864E" w14:textId="77777777" w:rsidR="00F62CC9" w:rsidRPr="005808FC" w:rsidRDefault="00F62CC9" w:rsidP="005808FC">
            <w:pPr>
              <w:spacing w:line="240" w:lineRule="auto"/>
              <w:rPr>
                <w:b/>
                <w:bCs/>
              </w:rPr>
            </w:pPr>
            <w:r w:rsidRPr="00291DF5">
              <w:rPr>
                <w:b/>
                <w:bCs/>
              </w:rPr>
              <w:t xml:space="preserve">Uspostava sustava praćenja energetske obnove komercijalnih zgrada </w:t>
            </w:r>
          </w:p>
        </w:tc>
      </w:tr>
      <w:tr w:rsidR="00F62CC9" w:rsidRPr="00EF5ADB" w14:paraId="32B85BDD" w14:textId="77777777" w:rsidTr="005808FC">
        <w:trPr>
          <w:trHeight w:val="227"/>
        </w:trPr>
        <w:tc>
          <w:tcPr>
            <w:tcW w:w="3415" w:type="dxa"/>
            <w:shd w:val="clear" w:color="auto" w:fill="F2DBDB" w:themeFill="accent2" w:themeFillTint="33"/>
          </w:tcPr>
          <w:p w14:paraId="2721F044" w14:textId="029173AD" w:rsidR="00F62CC9" w:rsidRPr="005808FC" w:rsidRDefault="00F62CC9" w:rsidP="005808FC">
            <w:pPr>
              <w:spacing w:line="240" w:lineRule="auto"/>
              <w:rPr>
                <w:b/>
                <w:bCs/>
              </w:rPr>
            </w:pPr>
            <w:r w:rsidRPr="00291DF5">
              <w:rPr>
                <w:b/>
                <w:bCs/>
              </w:rPr>
              <w:t>Nositelji (koordinatori) aktivnosti</w:t>
            </w:r>
            <w:r w:rsidRPr="005808FC">
              <w:rPr>
                <w:b/>
                <w:bCs/>
              </w:rPr>
              <w:t>:</w:t>
            </w:r>
          </w:p>
        </w:tc>
        <w:tc>
          <w:tcPr>
            <w:tcW w:w="5601" w:type="dxa"/>
          </w:tcPr>
          <w:p w14:paraId="5C0B25DC" w14:textId="210F611B" w:rsidR="00F62CC9" w:rsidRPr="00EF5ADB" w:rsidRDefault="00F62CC9" w:rsidP="00B26936">
            <w:pPr>
              <w:numPr>
                <w:ilvl w:val="0"/>
                <w:numId w:val="9"/>
              </w:numPr>
              <w:spacing w:line="240" w:lineRule="auto"/>
              <w:ind w:left="406"/>
            </w:pPr>
            <w:r w:rsidRPr="00EF5ADB">
              <w:t>Gradski ured za gospodarstvo, energetiku</w:t>
            </w:r>
            <w:r w:rsidR="000509A0">
              <w:t xml:space="preserve"> i </w:t>
            </w:r>
            <w:r w:rsidRPr="00EF5ADB">
              <w:t xml:space="preserve">zaštitu okoliša </w:t>
            </w:r>
          </w:p>
        </w:tc>
      </w:tr>
      <w:tr w:rsidR="00F62CC9" w:rsidRPr="00EF5ADB" w14:paraId="44548531" w14:textId="77777777" w:rsidTr="005808FC">
        <w:trPr>
          <w:trHeight w:val="227"/>
        </w:trPr>
        <w:tc>
          <w:tcPr>
            <w:tcW w:w="3415" w:type="dxa"/>
            <w:shd w:val="clear" w:color="auto" w:fill="F2DBDB" w:themeFill="accent2" w:themeFillTint="33"/>
          </w:tcPr>
          <w:p w14:paraId="65A8F92F" w14:textId="77777777" w:rsidR="00F62CC9" w:rsidRPr="005808FC" w:rsidRDefault="00F62CC9" w:rsidP="005808FC">
            <w:pPr>
              <w:spacing w:line="240" w:lineRule="auto"/>
              <w:rPr>
                <w:b/>
                <w:bCs/>
              </w:rPr>
            </w:pPr>
            <w:r w:rsidRPr="00291DF5">
              <w:rPr>
                <w:b/>
                <w:bCs/>
              </w:rPr>
              <w:t>Ostali uključeni dionici:</w:t>
            </w:r>
          </w:p>
        </w:tc>
        <w:tc>
          <w:tcPr>
            <w:tcW w:w="5601" w:type="dxa"/>
          </w:tcPr>
          <w:p w14:paraId="1E6C805B" w14:textId="77777777" w:rsidR="00F62CC9" w:rsidRDefault="00F62CC9" w:rsidP="00B26936">
            <w:pPr>
              <w:numPr>
                <w:ilvl w:val="0"/>
                <w:numId w:val="9"/>
              </w:numPr>
              <w:spacing w:after="0" w:line="240" w:lineRule="auto"/>
              <w:ind w:left="316" w:hanging="270"/>
            </w:pPr>
            <w:r w:rsidRPr="00EF5ADB">
              <w:t>Tvrtke koje upravljaju komercijalnim nestambenim zgradama (upravitelji zgrada)</w:t>
            </w:r>
          </w:p>
          <w:p w14:paraId="4384D556" w14:textId="660D178F" w:rsidR="00F62CC9" w:rsidRDefault="00F62CC9" w:rsidP="00B26936">
            <w:pPr>
              <w:numPr>
                <w:ilvl w:val="0"/>
                <w:numId w:val="9"/>
              </w:numPr>
              <w:spacing w:after="0" w:line="240" w:lineRule="auto"/>
              <w:ind w:left="316" w:hanging="270"/>
            </w:pPr>
            <w:r>
              <w:t>Ministarstvo zaštite okoliša</w:t>
            </w:r>
            <w:r w:rsidR="000509A0">
              <w:t xml:space="preserve"> i </w:t>
            </w:r>
            <w:r>
              <w:t>energetike</w:t>
            </w:r>
          </w:p>
          <w:p w14:paraId="59F91982" w14:textId="77777777" w:rsidR="00F62CC9" w:rsidRPr="00EF5ADB" w:rsidRDefault="00F62CC9" w:rsidP="00B26936">
            <w:pPr>
              <w:numPr>
                <w:ilvl w:val="0"/>
                <w:numId w:val="9"/>
              </w:numPr>
              <w:spacing w:after="0" w:line="240" w:lineRule="auto"/>
              <w:ind w:left="316" w:hanging="270"/>
            </w:pPr>
            <w:r>
              <w:t>APN</w:t>
            </w:r>
          </w:p>
        </w:tc>
      </w:tr>
      <w:tr w:rsidR="00F62CC9" w:rsidRPr="00EF5ADB" w14:paraId="009CFF6A" w14:textId="77777777" w:rsidTr="005808FC">
        <w:trPr>
          <w:trHeight w:val="227"/>
        </w:trPr>
        <w:tc>
          <w:tcPr>
            <w:tcW w:w="3415" w:type="dxa"/>
            <w:shd w:val="clear" w:color="auto" w:fill="F2DBDB" w:themeFill="accent2" w:themeFillTint="33"/>
          </w:tcPr>
          <w:p w14:paraId="79867107" w14:textId="77777777" w:rsidR="00F62CC9" w:rsidRPr="005808FC" w:rsidRDefault="00F62CC9" w:rsidP="005808FC">
            <w:pPr>
              <w:spacing w:line="240" w:lineRule="auto"/>
              <w:rPr>
                <w:b/>
                <w:bCs/>
              </w:rPr>
            </w:pPr>
            <w:r w:rsidRPr="00291DF5">
              <w:rPr>
                <w:b/>
                <w:bCs/>
              </w:rPr>
              <w:t>Početak/kraj provedbe (godine)</w:t>
            </w:r>
          </w:p>
        </w:tc>
        <w:tc>
          <w:tcPr>
            <w:tcW w:w="5601" w:type="dxa"/>
          </w:tcPr>
          <w:p w14:paraId="35AB1DA4" w14:textId="77777777" w:rsidR="00F62CC9" w:rsidRPr="005808FC" w:rsidRDefault="00F62CC9" w:rsidP="00B26936">
            <w:pPr>
              <w:spacing w:line="240" w:lineRule="auto"/>
              <w:rPr>
                <w:b/>
              </w:rPr>
            </w:pPr>
            <w:r w:rsidRPr="005808FC">
              <w:rPr>
                <w:b/>
              </w:rPr>
              <w:t>2021-2023</w:t>
            </w:r>
          </w:p>
        </w:tc>
      </w:tr>
      <w:tr w:rsidR="00390876" w:rsidRPr="00EF5ADB" w14:paraId="41CDFD7C" w14:textId="77777777" w:rsidTr="005808FC">
        <w:trPr>
          <w:trHeight w:val="227"/>
        </w:trPr>
        <w:tc>
          <w:tcPr>
            <w:tcW w:w="3415" w:type="dxa"/>
            <w:shd w:val="clear" w:color="auto" w:fill="F2DBDB" w:themeFill="accent2" w:themeFillTint="33"/>
          </w:tcPr>
          <w:p w14:paraId="6F9CB971" w14:textId="2A88F577" w:rsidR="00390876" w:rsidRPr="005808FC" w:rsidRDefault="00390876" w:rsidP="005808FC">
            <w:pPr>
              <w:spacing w:line="240" w:lineRule="auto"/>
              <w:rPr>
                <w:b/>
                <w:bCs/>
              </w:rPr>
            </w:pPr>
            <w:r w:rsidRPr="00291DF5">
              <w:rPr>
                <w:b/>
                <w:bCs/>
              </w:rPr>
              <w:t xml:space="preserve">Procjena uštede </w:t>
            </w:r>
            <w:r w:rsidR="00EC5352" w:rsidRPr="005808FC">
              <w:rPr>
                <w:b/>
                <w:bCs/>
              </w:rPr>
              <w:t>(MWh</w:t>
            </w:r>
            <w:r w:rsidRPr="005808FC">
              <w:rPr>
                <w:b/>
                <w:bCs/>
              </w:rPr>
              <w:t>)</w:t>
            </w:r>
          </w:p>
        </w:tc>
        <w:tc>
          <w:tcPr>
            <w:tcW w:w="5601" w:type="dxa"/>
            <w:vAlign w:val="bottom"/>
          </w:tcPr>
          <w:p w14:paraId="6A83151E" w14:textId="1F4DB61F" w:rsidR="00390876" w:rsidRPr="005808FC" w:rsidRDefault="00390876" w:rsidP="00390876">
            <w:pPr>
              <w:spacing w:line="240" w:lineRule="auto"/>
              <w:rPr>
                <w:b/>
              </w:rPr>
            </w:pPr>
            <w:r w:rsidRPr="005808FC">
              <w:rPr>
                <w:rFonts w:ascii="Calibri" w:hAnsi="Calibri" w:cs="Calibri"/>
                <w:b/>
                <w:color w:val="000000"/>
              </w:rPr>
              <w:t>959</w:t>
            </w:r>
            <w:r w:rsidR="000509A0">
              <w:rPr>
                <w:rFonts w:ascii="Calibri" w:hAnsi="Calibri" w:cs="Calibri"/>
                <w:b/>
                <w:color w:val="000000"/>
              </w:rPr>
              <w:t>.</w:t>
            </w:r>
            <w:r w:rsidRPr="005808FC">
              <w:rPr>
                <w:rFonts w:ascii="Calibri" w:hAnsi="Calibri" w:cs="Calibri"/>
                <w:b/>
                <w:color w:val="000000"/>
              </w:rPr>
              <w:t>958</w:t>
            </w:r>
          </w:p>
        </w:tc>
      </w:tr>
      <w:tr w:rsidR="00390876" w:rsidRPr="00EF5ADB" w14:paraId="61FD6E6E" w14:textId="77777777" w:rsidTr="005808FC">
        <w:trPr>
          <w:trHeight w:val="227"/>
        </w:trPr>
        <w:tc>
          <w:tcPr>
            <w:tcW w:w="3415" w:type="dxa"/>
            <w:shd w:val="clear" w:color="auto" w:fill="F2DBDB" w:themeFill="accent2" w:themeFillTint="33"/>
          </w:tcPr>
          <w:p w14:paraId="168252DE" w14:textId="77777777" w:rsidR="00390876" w:rsidRPr="005808FC" w:rsidRDefault="00390876" w:rsidP="005808FC">
            <w:pPr>
              <w:spacing w:line="240" w:lineRule="auto"/>
              <w:rPr>
                <w:b/>
                <w:bCs/>
              </w:rPr>
            </w:pPr>
            <w:r w:rsidRPr="00291DF5">
              <w:rPr>
                <w:b/>
                <w:bCs/>
              </w:rPr>
              <w:t>Procjena smanjenja emisije (t CO</w:t>
            </w:r>
            <w:r w:rsidRPr="005808FC">
              <w:rPr>
                <w:b/>
                <w:bCs/>
                <w:vertAlign w:val="subscript"/>
              </w:rPr>
              <w:t>2</w:t>
            </w:r>
            <w:r w:rsidRPr="005808FC">
              <w:rPr>
                <w:b/>
                <w:bCs/>
              </w:rPr>
              <w:t>)</w:t>
            </w:r>
          </w:p>
        </w:tc>
        <w:tc>
          <w:tcPr>
            <w:tcW w:w="5601" w:type="dxa"/>
            <w:vAlign w:val="center"/>
          </w:tcPr>
          <w:p w14:paraId="20B1D9CE" w14:textId="03508FB1" w:rsidR="00390876" w:rsidRPr="005808FC" w:rsidRDefault="00390876" w:rsidP="00390876">
            <w:pPr>
              <w:spacing w:line="240" w:lineRule="auto"/>
              <w:rPr>
                <w:b/>
              </w:rPr>
            </w:pPr>
            <w:r w:rsidRPr="005808FC">
              <w:rPr>
                <w:rFonts w:ascii="Calibri" w:hAnsi="Calibri" w:cs="Calibri"/>
                <w:b/>
                <w:color w:val="000000"/>
              </w:rPr>
              <w:t>168</w:t>
            </w:r>
            <w:r w:rsidR="000509A0">
              <w:rPr>
                <w:rFonts w:ascii="Calibri" w:hAnsi="Calibri" w:cs="Calibri"/>
                <w:b/>
                <w:color w:val="000000"/>
              </w:rPr>
              <w:t>.</w:t>
            </w:r>
            <w:r w:rsidRPr="005808FC">
              <w:rPr>
                <w:rFonts w:ascii="Calibri" w:hAnsi="Calibri" w:cs="Calibri"/>
                <w:b/>
                <w:color w:val="000000"/>
              </w:rPr>
              <w:t>364</w:t>
            </w:r>
          </w:p>
        </w:tc>
      </w:tr>
      <w:tr w:rsidR="00F62CC9" w:rsidRPr="00EF5ADB" w14:paraId="290CD7A0" w14:textId="77777777" w:rsidTr="005808FC">
        <w:trPr>
          <w:trHeight w:val="227"/>
        </w:trPr>
        <w:tc>
          <w:tcPr>
            <w:tcW w:w="3415" w:type="dxa"/>
            <w:shd w:val="clear" w:color="auto" w:fill="F2DBDB" w:themeFill="accent2" w:themeFillTint="33"/>
          </w:tcPr>
          <w:p w14:paraId="52824D73" w14:textId="77777777" w:rsidR="00F62CC9" w:rsidRPr="005808FC" w:rsidRDefault="00F62CC9" w:rsidP="005808FC">
            <w:pPr>
              <w:spacing w:line="240" w:lineRule="auto"/>
              <w:rPr>
                <w:b/>
                <w:bCs/>
              </w:rPr>
            </w:pPr>
            <w:r w:rsidRPr="00291DF5">
              <w:rPr>
                <w:b/>
                <w:bCs/>
              </w:rPr>
              <w:t xml:space="preserve">Izvor sredstava za </w:t>
            </w:r>
            <w:r w:rsidRPr="005808FC">
              <w:rPr>
                <w:b/>
                <w:bCs/>
              </w:rPr>
              <w:t>provedbu</w:t>
            </w:r>
          </w:p>
        </w:tc>
        <w:tc>
          <w:tcPr>
            <w:tcW w:w="5601" w:type="dxa"/>
          </w:tcPr>
          <w:p w14:paraId="6BE2064C" w14:textId="77777777" w:rsidR="00F62CC9" w:rsidRPr="00EF5ADB" w:rsidRDefault="00F62CC9" w:rsidP="00B26936">
            <w:pPr>
              <w:numPr>
                <w:ilvl w:val="0"/>
                <w:numId w:val="9"/>
              </w:numPr>
              <w:spacing w:after="0" w:line="240" w:lineRule="auto"/>
              <w:ind w:left="714" w:hanging="357"/>
            </w:pPr>
            <w:r w:rsidRPr="00EF5ADB">
              <w:t>Gradski proračun</w:t>
            </w:r>
          </w:p>
          <w:p w14:paraId="5918836D" w14:textId="20DD5B40" w:rsidR="00F62CC9" w:rsidRPr="00EF5ADB" w:rsidRDefault="00F62CC9" w:rsidP="00B26936">
            <w:pPr>
              <w:numPr>
                <w:ilvl w:val="0"/>
                <w:numId w:val="9"/>
              </w:numPr>
              <w:spacing w:after="0" w:line="240" w:lineRule="auto"/>
              <w:ind w:left="714" w:hanging="357"/>
            </w:pPr>
            <w:r w:rsidRPr="00EF5ADB">
              <w:t xml:space="preserve">Državni proračun </w:t>
            </w:r>
          </w:p>
          <w:p w14:paraId="13290E0E" w14:textId="4595E82C" w:rsidR="00F62CC9" w:rsidRPr="00EF5ADB" w:rsidRDefault="00F62CC9" w:rsidP="005808FC">
            <w:pPr>
              <w:numPr>
                <w:ilvl w:val="0"/>
                <w:numId w:val="9"/>
              </w:numPr>
              <w:spacing w:after="0" w:line="240" w:lineRule="auto"/>
              <w:ind w:left="714" w:hanging="357"/>
            </w:pPr>
            <w:r w:rsidRPr="00EF5ADB">
              <w:t>Europski strukturni</w:t>
            </w:r>
            <w:r w:rsidR="000509A0">
              <w:t xml:space="preserve"> i </w:t>
            </w:r>
            <w:r w:rsidRPr="00EF5ADB">
              <w:t>investicijski fondovi</w:t>
            </w:r>
          </w:p>
        </w:tc>
      </w:tr>
      <w:tr w:rsidR="00F62CC9" w:rsidRPr="00EF5ADB" w14:paraId="1FDB779B" w14:textId="77777777" w:rsidTr="005808FC">
        <w:trPr>
          <w:trHeight w:val="227"/>
        </w:trPr>
        <w:tc>
          <w:tcPr>
            <w:tcW w:w="3415" w:type="dxa"/>
            <w:shd w:val="clear" w:color="auto" w:fill="F2DBDB" w:themeFill="accent2" w:themeFillTint="33"/>
          </w:tcPr>
          <w:p w14:paraId="6CB8D2DD" w14:textId="77777777" w:rsidR="00F62CC9" w:rsidRPr="005808FC" w:rsidRDefault="00F62CC9" w:rsidP="005808FC">
            <w:pPr>
              <w:spacing w:line="240" w:lineRule="auto"/>
              <w:rPr>
                <w:b/>
                <w:bCs/>
              </w:rPr>
            </w:pPr>
            <w:r w:rsidRPr="00291DF5">
              <w:rPr>
                <w:b/>
                <w:bCs/>
              </w:rPr>
              <w:t>Kratki opis/komentar</w:t>
            </w:r>
          </w:p>
        </w:tc>
        <w:tc>
          <w:tcPr>
            <w:tcW w:w="5601" w:type="dxa"/>
          </w:tcPr>
          <w:p w14:paraId="097E5BE7" w14:textId="0E92F0B2" w:rsidR="00F62CC9" w:rsidRPr="00EF5ADB" w:rsidRDefault="00F62CC9" w:rsidP="00B26936">
            <w:pPr>
              <w:spacing w:line="240" w:lineRule="auto"/>
            </w:pPr>
            <w:r w:rsidRPr="00EF5ADB">
              <w:t>Udio zgrada komercijalne namjene na području grada Zagreba u ukupnom fondu zgrada je značajan</w:t>
            </w:r>
            <w:r w:rsidR="000509A0">
              <w:t xml:space="preserve"> i </w:t>
            </w:r>
            <w:r w:rsidRPr="00EF5ADB">
              <w:t>predstavlja bitan čimbenik u ukupnoj energetskoj potrošnji</w:t>
            </w:r>
            <w:r w:rsidR="000509A0">
              <w:t xml:space="preserve"> i </w:t>
            </w:r>
            <w:r w:rsidRPr="00EF5ADB">
              <w:t>registru emisija CO</w:t>
            </w:r>
            <w:r w:rsidRPr="009569AC">
              <w:rPr>
                <w:vertAlign w:val="subscript"/>
              </w:rPr>
              <w:t>2</w:t>
            </w:r>
            <w:r w:rsidRPr="00EF5ADB">
              <w:t>. U svrhu što sveobuhvatnijeg</w:t>
            </w:r>
            <w:r w:rsidR="000509A0">
              <w:t xml:space="preserve"> i </w:t>
            </w:r>
            <w:r w:rsidRPr="00EF5ADB">
              <w:t>kvalitetnijeg praćenja energetske potrošnje</w:t>
            </w:r>
            <w:r w:rsidR="000509A0">
              <w:t xml:space="preserve"> i </w:t>
            </w:r>
            <w:r w:rsidRPr="00EF5ADB">
              <w:t>emisija CO</w:t>
            </w:r>
            <w:r w:rsidRPr="009569AC">
              <w:rPr>
                <w:vertAlign w:val="subscript"/>
              </w:rPr>
              <w:t>2</w:t>
            </w:r>
            <w:r w:rsidRPr="00EF5ADB">
              <w:t xml:space="preserve"> iz sektora zgradarstva nužno je razviti sustav praćenja</w:t>
            </w:r>
            <w:r w:rsidR="000509A0">
              <w:t xml:space="preserve"> i </w:t>
            </w:r>
            <w:r w:rsidRPr="00EF5ADB">
              <w:t>izvješćivanja za zgrade komercijalne namjene.</w:t>
            </w:r>
          </w:p>
          <w:p w14:paraId="4F986AE2" w14:textId="77777777" w:rsidR="00F62CC9" w:rsidRPr="00EF5ADB" w:rsidRDefault="00F62CC9" w:rsidP="00B26936">
            <w:pPr>
              <w:spacing w:line="240" w:lineRule="auto"/>
            </w:pPr>
            <w:r w:rsidRPr="00EF5ADB">
              <w:t>Mjera bi se trebala provoditi u slijedećim fazama:</w:t>
            </w:r>
          </w:p>
          <w:p w14:paraId="25494242" w14:textId="36288BCB" w:rsidR="00F62CC9" w:rsidRPr="00EF5ADB" w:rsidRDefault="00F62CC9" w:rsidP="00B26936">
            <w:pPr>
              <w:numPr>
                <w:ilvl w:val="0"/>
                <w:numId w:val="47"/>
              </w:numPr>
              <w:spacing w:line="240" w:lineRule="auto"/>
              <w:ind w:left="406" w:hanging="270"/>
              <w:contextualSpacing/>
            </w:pPr>
            <w:r w:rsidRPr="00EF5ADB">
              <w:t>Određivanje parametra na temelju kojeg bi komercijalne zgrade ulazile u sustav praćenja</w:t>
            </w:r>
            <w:r w:rsidR="000509A0">
              <w:t xml:space="preserve"> i </w:t>
            </w:r>
            <w:r w:rsidRPr="00EF5ADB">
              <w:t>izvješćivanja;</w:t>
            </w:r>
          </w:p>
          <w:p w14:paraId="067FB5DF" w14:textId="4C87CE40" w:rsidR="00F62CC9" w:rsidRPr="00EF5ADB" w:rsidRDefault="00F62CC9" w:rsidP="00B26936">
            <w:pPr>
              <w:numPr>
                <w:ilvl w:val="0"/>
                <w:numId w:val="47"/>
              </w:numPr>
              <w:spacing w:line="240" w:lineRule="auto"/>
              <w:ind w:left="406" w:hanging="270"/>
              <w:contextualSpacing/>
            </w:pPr>
            <w:r w:rsidRPr="00EF5ADB">
              <w:t>Izrada registra tvrtki koje ulaze u sustav praćenja</w:t>
            </w:r>
            <w:r w:rsidR="000509A0">
              <w:t xml:space="preserve"> i </w:t>
            </w:r>
            <w:r w:rsidRPr="00EF5ADB">
              <w:t>izvješćivanja;</w:t>
            </w:r>
          </w:p>
          <w:p w14:paraId="6C70E1F5" w14:textId="11004F7C" w:rsidR="00F62CC9" w:rsidRPr="00EF5ADB" w:rsidRDefault="00F62CC9" w:rsidP="00B26936">
            <w:pPr>
              <w:numPr>
                <w:ilvl w:val="0"/>
                <w:numId w:val="47"/>
              </w:numPr>
              <w:spacing w:line="240" w:lineRule="auto"/>
              <w:ind w:left="406" w:hanging="270"/>
              <w:contextualSpacing/>
            </w:pPr>
            <w:r w:rsidRPr="00EF5ADB">
              <w:t>Uspostava sustava praćenja</w:t>
            </w:r>
            <w:r w:rsidR="000509A0">
              <w:t xml:space="preserve"> i </w:t>
            </w:r>
            <w:r w:rsidRPr="00EF5ADB">
              <w:t>izvješćivanja;</w:t>
            </w:r>
          </w:p>
          <w:p w14:paraId="41996BD1" w14:textId="53F6008B" w:rsidR="00F62CC9" w:rsidRPr="00EF5ADB" w:rsidRDefault="00F62CC9" w:rsidP="00B26936">
            <w:pPr>
              <w:numPr>
                <w:ilvl w:val="0"/>
                <w:numId w:val="47"/>
              </w:numPr>
              <w:spacing w:line="240" w:lineRule="auto"/>
              <w:ind w:left="406" w:hanging="270"/>
              <w:contextualSpacing/>
            </w:pPr>
            <w:r w:rsidRPr="00EF5ADB">
              <w:t>Redovito praćenje</w:t>
            </w:r>
            <w:r w:rsidR="000509A0">
              <w:t xml:space="preserve"> i </w:t>
            </w:r>
            <w:r w:rsidRPr="00EF5ADB">
              <w:t>izvješćivanje.</w:t>
            </w:r>
          </w:p>
          <w:p w14:paraId="35C9F57C" w14:textId="1AE6D2CE" w:rsidR="00F62CC9" w:rsidRPr="00EF5ADB" w:rsidRDefault="00F62CC9" w:rsidP="00B26936">
            <w:pPr>
              <w:spacing w:line="240" w:lineRule="auto"/>
            </w:pPr>
            <w:r w:rsidRPr="00EF5ADB">
              <w:t>Na ovaj način omogućilo bi se</w:t>
            </w:r>
            <w:r w:rsidR="000509A0">
              <w:t xml:space="preserve"> i </w:t>
            </w:r>
            <w:r w:rsidRPr="00EF5ADB">
              <w:t>pravovremeno praćenje promjena</w:t>
            </w:r>
            <w:r w:rsidR="000509A0">
              <w:t xml:space="preserve"> i </w:t>
            </w:r>
            <w:r w:rsidRPr="00EF5ADB">
              <w:t>kompletirao bi se uvid u potrošnju energije</w:t>
            </w:r>
            <w:r w:rsidR="000509A0">
              <w:t xml:space="preserve"> i </w:t>
            </w:r>
            <w:r w:rsidRPr="00EF5ADB">
              <w:t xml:space="preserve">emisije iz sektora zgradarstva na području grada Zagreba. </w:t>
            </w:r>
          </w:p>
        </w:tc>
      </w:tr>
    </w:tbl>
    <w:p w14:paraId="226B97D8" w14:textId="77777777" w:rsidR="00F62CC9" w:rsidRPr="00282B4B" w:rsidRDefault="00F62CC9" w:rsidP="00F62C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F62CC9" w:rsidRPr="00282B4B" w14:paraId="521C2985" w14:textId="77777777" w:rsidTr="005808FC">
        <w:trPr>
          <w:trHeight w:val="227"/>
        </w:trPr>
        <w:tc>
          <w:tcPr>
            <w:tcW w:w="3325" w:type="dxa"/>
            <w:shd w:val="clear" w:color="auto" w:fill="C6D9F1" w:themeFill="text2" w:themeFillTint="33"/>
          </w:tcPr>
          <w:p w14:paraId="14AD07EC" w14:textId="77777777" w:rsidR="00F62CC9" w:rsidRPr="005808FC" w:rsidRDefault="00F62CC9" w:rsidP="005808FC">
            <w:pPr>
              <w:spacing w:line="240" w:lineRule="auto"/>
              <w:rPr>
                <w:b/>
                <w:bCs/>
              </w:rPr>
            </w:pPr>
            <w:r w:rsidRPr="00291DF5">
              <w:rPr>
                <w:b/>
                <w:bCs/>
              </w:rPr>
              <w:t>Redni broj mjere</w:t>
            </w:r>
          </w:p>
        </w:tc>
        <w:tc>
          <w:tcPr>
            <w:tcW w:w="5691" w:type="dxa"/>
            <w:shd w:val="clear" w:color="auto" w:fill="C6D9F1" w:themeFill="text2" w:themeFillTint="33"/>
          </w:tcPr>
          <w:p w14:paraId="4D15A307" w14:textId="77777777" w:rsidR="00F62CC9" w:rsidRPr="005808FC" w:rsidRDefault="00F62CC9" w:rsidP="005808FC">
            <w:pPr>
              <w:spacing w:line="240" w:lineRule="auto"/>
              <w:rPr>
                <w:b/>
                <w:bCs/>
              </w:rPr>
            </w:pPr>
            <w:r w:rsidRPr="00291DF5">
              <w:rPr>
                <w:b/>
                <w:bCs/>
              </w:rPr>
              <w:t>10</w:t>
            </w:r>
          </w:p>
        </w:tc>
      </w:tr>
      <w:tr w:rsidR="00F62CC9" w:rsidRPr="00282B4B" w14:paraId="4DBF1F5D" w14:textId="77777777" w:rsidTr="005808FC">
        <w:trPr>
          <w:trHeight w:val="227"/>
        </w:trPr>
        <w:tc>
          <w:tcPr>
            <w:tcW w:w="3325" w:type="dxa"/>
            <w:shd w:val="clear" w:color="auto" w:fill="C6D9F1" w:themeFill="text2" w:themeFillTint="33"/>
          </w:tcPr>
          <w:p w14:paraId="1D71B553" w14:textId="77777777" w:rsidR="00F62CC9" w:rsidRPr="005808FC" w:rsidRDefault="00F62CC9" w:rsidP="005808FC">
            <w:pPr>
              <w:spacing w:line="240" w:lineRule="auto"/>
              <w:rPr>
                <w:b/>
                <w:bCs/>
              </w:rPr>
            </w:pPr>
            <w:r w:rsidRPr="00291DF5">
              <w:rPr>
                <w:b/>
                <w:bCs/>
              </w:rPr>
              <w:t>Ime mjere/aktivnost</w:t>
            </w:r>
          </w:p>
        </w:tc>
        <w:tc>
          <w:tcPr>
            <w:tcW w:w="5691" w:type="dxa"/>
            <w:shd w:val="clear" w:color="auto" w:fill="C6D9F1" w:themeFill="text2" w:themeFillTint="33"/>
          </w:tcPr>
          <w:p w14:paraId="2E45FB1C" w14:textId="6F72826D" w:rsidR="00F62CC9" w:rsidRPr="005808FC" w:rsidRDefault="00F62CC9" w:rsidP="005808FC">
            <w:pPr>
              <w:spacing w:line="240" w:lineRule="auto"/>
              <w:rPr>
                <w:b/>
                <w:bCs/>
              </w:rPr>
            </w:pPr>
            <w:r w:rsidRPr="00291DF5">
              <w:rPr>
                <w:b/>
                <w:bCs/>
              </w:rPr>
              <w:t>Analiza mogućnosti poticanja ugradnje sustava OIE za komercijalne nestambene zgrade</w:t>
            </w:r>
          </w:p>
        </w:tc>
      </w:tr>
      <w:tr w:rsidR="00F62CC9" w:rsidRPr="00282B4B" w14:paraId="263B41FD" w14:textId="77777777" w:rsidTr="005808FC">
        <w:trPr>
          <w:trHeight w:val="227"/>
        </w:trPr>
        <w:tc>
          <w:tcPr>
            <w:tcW w:w="3325" w:type="dxa"/>
            <w:shd w:val="clear" w:color="auto" w:fill="F2DBDB" w:themeFill="accent2" w:themeFillTint="33"/>
          </w:tcPr>
          <w:p w14:paraId="32497793" w14:textId="144016B5" w:rsidR="00F62CC9" w:rsidRPr="005808FC" w:rsidRDefault="00F62CC9" w:rsidP="005808FC">
            <w:pPr>
              <w:spacing w:line="240" w:lineRule="auto"/>
              <w:rPr>
                <w:b/>
                <w:bCs/>
              </w:rPr>
            </w:pPr>
            <w:r w:rsidRPr="00291DF5">
              <w:rPr>
                <w:b/>
                <w:bCs/>
              </w:rPr>
              <w:t>Nositelj (koordinatori) aktivnosti :</w:t>
            </w:r>
          </w:p>
        </w:tc>
        <w:tc>
          <w:tcPr>
            <w:tcW w:w="5691" w:type="dxa"/>
          </w:tcPr>
          <w:p w14:paraId="477D1FD6" w14:textId="2431EED3" w:rsidR="00F62CC9" w:rsidRPr="00282B4B" w:rsidRDefault="00F62CC9" w:rsidP="00B26936">
            <w:pPr>
              <w:numPr>
                <w:ilvl w:val="0"/>
                <w:numId w:val="9"/>
              </w:numPr>
              <w:spacing w:line="240" w:lineRule="auto"/>
              <w:ind w:left="406"/>
            </w:pPr>
            <w:r w:rsidRPr="00282B4B">
              <w:t>Gradski ured za gospodarstvo, energetiku</w:t>
            </w:r>
            <w:r w:rsidR="000509A0">
              <w:t xml:space="preserve"> i </w:t>
            </w:r>
            <w:r w:rsidRPr="00282B4B">
              <w:t xml:space="preserve">zaštitu okoliša </w:t>
            </w:r>
          </w:p>
        </w:tc>
      </w:tr>
      <w:tr w:rsidR="00F62CC9" w:rsidRPr="00282B4B" w14:paraId="08BDB108" w14:textId="77777777" w:rsidTr="005808FC">
        <w:trPr>
          <w:trHeight w:val="227"/>
        </w:trPr>
        <w:tc>
          <w:tcPr>
            <w:tcW w:w="3325" w:type="dxa"/>
            <w:shd w:val="clear" w:color="auto" w:fill="F2DBDB" w:themeFill="accent2" w:themeFillTint="33"/>
          </w:tcPr>
          <w:p w14:paraId="4A5F5A4E" w14:textId="77777777" w:rsidR="00F62CC9" w:rsidRPr="005808FC" w:rsidDel="00315A6C" w:rsidRDefault="00F62CC9" w:rsidP="005808FC">
            <w:pPr>
              <w:spacing w:line="240" w:lineRule="auto"/>
              <w:rPr>
                <w:b/>
                <w:bCs/>
              </w:rPr>
            </w:pPr>
            <w:r w:rsidRPr="00291DF5">
              <w:rPr>
                <w:b/>
                <w:bCs/>
              </w:rPr>
              <w:t>Partneri u provođenju aktivnosti:</w:t>
            </w:r>
          </w:p>
        </w:tc>
        <w:tc>
          <w:tcPr>
            <w:tcW w:w="5691" w:type="dxa"/>
          </w:tcPr>
          <w:p w14:paraId="4718428B" w14:textId="77777777" w:rsidR="00F62CC9" w:rsidRPr="00282B4B" w:rsidRDefault="00F62CC9" w:rsidP="00B26936">
            <w:pPr>
              <w:numPr>
                <w:ilvl w:val="0"/>
                <w:numId w:val="9"/>
              </w:numPr>
              <w:spacing w:line="240" w:lineRule="auto"/>
              <w:ind w:left="406"/>
            </w:pPr>
            <w:r>
              <w:t>REGEA</w:t>
            </w:r>
          </w:p>
        </w:tc>
      </w:tr>
      <w:tr w:rsidR="00F62CC9" w:rsidRPr="00282B4B" w14:paraId="04BF7302" w14:textId="77777777" w:rsidTr="005808FC">
        <w:trPr>
          <w:trHeight w:val="227"/>
        </w:trPr>
        <w:tc>
          <w:tcPr>
            <w:tcW w:w="3325" w:type="dxa"/>
            <w:shd w:val="clear" w:color="auto" w:fill="F2DBDB" w:themeFill="accent2" w:themeFillTint="33"/>
          </w:tcPr>
          <w:p w14:paraId="703D2DE9" w14:textId="77777777" w:rsidR="00F62CC9" w:rsidRPr="005808FC" w:rsidRDefault="00F62CC9" w:rsidP="005808FC">
            <w:pPr>
              <w:spacing w:line="240" w:lineRule="auto"/>
              <w:rPr>
                <w:b/>
                <w:bCs/>
              </w:rPr>
            </w:pPr>
            <w:r w:rsidRPr="00291DF5">
              <w:rPr>
                <w:b/>
                <w:bCs/>
              </w:rPr>
              <w:t>Ostali uključeni dionici:</w:t>
            </w:r>
          </w:p>
        </w:tc>
        <w:tc>
          <w:tcPr>
            <w:tcW w:w="5691" w:type="dxa"/>
          </w:tcPr>
          <w:p w14:paraId="761731B6" w14:textId="2AA3C86E" w:rsidR="00F62CC9" w:rsidRDefault="00F62CC9" w:rsidP="00B26936">
            <w:pPr>
              <w:numPr>
                <w:ilvl w:val="0"/>
                <w:numId w:val="9"/>
              </w:numPr>
              <w:spacing w:after="0" w:line="240" w:lineRule="auto"/>
              <w:ind w:left="316" w:hanging="270"/>
            </w:pPr>
            <w:r>
              <w:t>Ministarstvo prostornog uređenja</w:t>
            </w:r>
            <w:r w:rsidR="000509A0">
              <w:t xml:space="preserve"> i </w:t>
            </w:r>
            <w:r>
              <w:t>graditeljstva</w:t>
            </w:r>
          </w:p>
          <w:p w14:paraId="72DB0CDF" w14:textId="77777777" w:rsidR="00F62CC9" w:rsidRDefault="00F62CC9" w:rsidP="00B26936">
            <w:pPr>
              <w:numPr>
                <w:ilvl w:val="0"/>
                <w:numId w:val="9"/>
              </w:numPr>
              <w:spacing w:after="0" w:line="240" w:lineRule="auto"/>
              <w:ind w:left="316" w:hanging="270"/>
            </w:pPr>
            <w:r>
              <w:t>Ministarstvo gospodarstva</w:t>
            </w:r>
          </w:p>
          <w:p w14:paraId="5889CDA8" w14:textId="77777777" w:rsidR="00F62CC9" w:rsidRDefault="00F62CC9" w:rsidP="00B26936">
            <w:pPr>
              <w:numPr>
                <w:ilvl w:val="0"/>
                <w:numId w:val="9"/>
              </w:numPr>
              <w:spacing w:after="0" w:line="240" w:lineRule="auto"/>
              <w:ind w:left="316" w:hanging="270"/>
            </w:pPr>
            <w:r>
              <w:t>Ministarstvo turizma</w:t>
            </w:r>
          </w:p>
          <w:p w14:paraId="39A38F9B" w14:textId="684CEB24" w:rsidR="00F62CC9" w:rsidRDefault="00F62CC9" w:rsidP="00B26936">
            <w:pPr>
              <w:numPr>
                <w:ilvl w:val="0"/>
                <w:numId w:val="9"/>
              </w:numPr>
              <w:spacing w:after="0" w:line="240" w:lineRule="auto"/>
              <w:ind w:left="316" w:hanging="270"/>
            </w:pPr>
            <w:r>
              <w:t>Ministarstvo energetike</w:t>
            </w:r>
            <w:r w:rsidR="000509A0">
              <w:t xml:space="preserve"> i </w:t>
            </w:r>
            <w:r>
              <w:t>zaštite okoliša</w:t>
            </w:r>
          </w:p>
          <w:p w14:paraId="52C90486" w14:textId="69E5B358" w:rsidR="00F62CC9" w:rsidRPr="00282B4B" w:rsidRDefault="00F62CC9" w:rsidP="00B26936">
            <w:pPr>
              <w:numPr>
                <w:ilvl w:val="0"/>
                <w:numId w:val="9"/>
              </w:numPr>
              <w:spacing w:after="0" w:line="240" w:lineRule="auto"/>
              <w:ind w:left="316" w:hanging="270"/>
            </w:pPr>
            <w:r>
              <w:t>Ministarstvo regionalnog razvoja</w:t>
            </w:r>
            <w:r w:rsidR="000509A0">
              <w:t xml:space="preserve"> i </w:t>
            </w:r>
            <w:r>
              <w:t>fondova EU</w:t>
            </w:r>
          </w:p>
        </w:tc>
      </w:tr>
      <w:tr w:rsidR="00F62CC9" w:rsidRPr="00282B4B" w14:paraId="3815FCCF" w14:textId="77777777" w:rsidTr="005808FC">
        <w:trPr>
          <w:trHeight w:val="227"/>
        </w:trPr>
        <w:tc>
          <w:tcPr>
            <w:tcW w:w="3325" w:type="dxa"/>
            <w:shd w:val="clear" w:color="auto" w:fill="F2DBDB" w:themeFill="accent2" w:themeFillTint="33"/>
          </w:tcPr>
          <w:p w14:paraId="3FABBD89" w14:textId="77777777" w:rsidR="00F62CC9" w:rsidRPr="005808FC" w:rsidRDefault="00F62CC9" w:rsidP="005808FC">
            <w:pPr>
              <w:spacing w:line="240" w:lineRule="auto"/>
              <w:rPr>
                <w:b/>
                <w:bCs/>
              </w:rPr>
            </w:pPr>
            <w:r w:rsidRPr="00291DF5">
              <w:rPr>
                <w:b/>
                <w:bCs/>
              </w:rPr>
              <w:t>Početak/kraj provedbe (godine)</w:t>
            </w:r>
          </w:p>
        </w:tc>
        <w:tc>
          <w:tcPr>
            <w:tcW w:w="5691" w:type="dxa"/>
          </w:tcPr>
          <w:p w14:paraId="3A93183F" w14:textId="77777777" w:rsidR="00F62CC9" w:rsidRPr="005808FC" w:rsidRDefault="00F62CC9" w:rsidP="00B26936">
            <w:pPr>
              <w:spacing w:line="240" w:lineRule="auto"/>
              <w:rPr>
                <w:b/>
              </w:rPr>
            </w:pPr>
            <w:r w:rsidRPr="005808FC">
              <w:rPr>
                <w:b/>
              </w:rPr>
              <w:t>2021-2023</w:t>
            </w:r>
          </w:p>
        </w:tc>
      </w:tr>
      <w:tr w:rsidR="00EC5352" w:rsidRPr="00282B4B" w14:paraId="2F6B2035" w14:textId="77777777" w:rsidTr="005808FC">
        <w:trPr>
          <w:trHeight w:val="227"/>
        </w:trPr>
        <w:tc>
          <w:tcPr>
            <w:tcW w:w="3325" w:type="dxa"/>
            <w:shd w:val="clear" w:color="auto" w:fill="F2DBDB" w:themeFill="accent2" w:themeFillTint="33"/>
          </w:tcPr>
          <w:p w14:paraId="5E02E866" w14:textId="77777777" w:rsidR="00EC5352" w:rsidRPr="005808FC" w:rsidRDefault="00EC5352" w:rsidP="005808FC">
            <w:pPr>
              <w:spacing w:line="240" w:lineRule="auto"/>
              <w:rPr>
                <w:b/>
                <w:bCs/>
              </w:rPr>
            </w:pPr>
            <w:r w:rsidRPr="00291DF5">
              <w:rPr>
                <w:b/>
                <w:bCs/>
              </w:rPr>
              <w:t>Procjena uštede (MWh)</w:t>
            </w:r>
          </w:p>
        </w:tc>
        <w:tc>
          <w:tcPr>
            <w:tcW w:w="5691" w:type="dxa"/>
            <w:vAlign w:val="center"/>
          </w:tcPr>
          <w:p w14:paraId="309A6D98" w14:textId="2C1E2D0F" w:rsidR="00EC5352" w:rsidRPr="005808FC" w:rsidRDefault="00EC5352" w:rsidP="00EC5352">
            <w:pPr>
              <w:spacing w:line="240" w:lineRule="auto"/>
              <w:rPr>
                <w:b/>
              </w:rPr>
            </w:pPr>
            <w:r w:rsidRPr="005808FC">
              <w:rPr>
                <w:rFonts w:ascii="Calibri" w:hAnsi="Calibri" w:cs="Calibri"/>
                <w:b/>
                <w:color w:val="000000"/>
              </w:rPr>
              <w:t>130</w:t>
            </w:r>
            <w:r w:rsidR="000509A0">
              <w:rPr>
                <w:rFonts w:ascii="Calibri" w:hAnsi="Calibri" w:cs="Calibri"/>
                <w:b/>
                <w:color w:val="000000"/>
              </w:rPr>
              <w:t>.</w:t>
            </w:r>
            <w:r w:rsidRPr="005808FC">
              <w:rPr>
                <w:rFonts w:ascii="Calibri" w:hAnsi="Calibri" w:cs="Calibri"/>
                <w:b/>
                <w:color w:val="000000"/>
              </w:rPr>
              <w:t>737</w:t>
            </w:r>
          </w:p>
        </w:tc>
      </w:tr>
      <w:tr w:rsidR="00EC5352" w:rsidRPr="00282B4B" w14:paraId="537F2046" w14:textId="77777777" w:rsidTr="005808FC">
        <w:trPr>
          <w:trHeight w:val="227"/>
        </w:trPr>
        <w:tc>
          <w:tcPr>
            <w:tcW w:w="3325" w:type="dxa"/>
            <w:shd w:val="clear" w:color="auto" w:fill="F2DBDB" w:themeFill="accent2" w:themeFillTint="33"/>
          </w:tcPr>
          <w:p w14:paraId="21B1EB69" w14:textId="3BA67211" w:rsidR="00EC5352" w:rsidRPr="005808FC" w:rsidRDefault="00EC5352">
            <w:pPr>
              <w:rPr>
                <w:b/>
                <w:bCs/>
              </w:rPr>
            </w:pPr>
            <w:r w:rsidRPr="00EC5352">
              <w:rPr>
                <w:rFonts w:ascii="Calibri" w:hAnsi="Calibri" w:cs="Calibri"/>
                <w:b/>
                <w:bCs/>
              </w:rPr>
              <w:t>Procjena smanjenja emisije (t CO</w:t>
            </w:r>
            <w:r w:rsidRPr="00EC5352">
              <w:rPr>
                <w:rFonts w:ascii="Calibri" w:hAnsi="Calibri" w:cs="Calibri"/>
                <w:b/>
                <w:bCs/>
                <w:vertAlign w:val="subscript"/>
              </w:rPr>
              <w:t>2</w:t>
            </w:r>
            <w:r w:rsidRPr="00EC5352">
              <w:rPr>
                <w:rFonts w:ascii="Calibri" w:hAnsi="Calibri" w:cs="Calibri"/>
                <w:b/>
                <w:bCs/>
              </w:rPr>
              <w:t>)</w:t>
            </w:r>
          </w:p>
        </w:tc>
        <w:tc>
          <w:tcPr>
            <w:tcW w:w="5691" w:type="dxa"/>
            <w:vAlign w:val="center"/>
          </w:tcPr>
          <w:p w14:paraId="41A0DE5B" w14:textId="1CB3561E" w:rsidR="00EC5352" w:rsidRPr="005808FC" w:rsidRDefault="00EC5352" w:rsidP="00EC5352">
            <w:pPr>
              <w:spacing w:line="240" w:lineRule="auto"/>
              <w:rPr>
                <w:b/>
              </w:rPr>
            </w:pPr>
            <w:r w:rsidRPr="005808FC">
              <w:rPr>
                <w:rFonts w:ascii="Calibri" w:hAnsi="Calibri" w:cs="Calibri"/>
                <w:b/>
                <w:color w:val="000000"/>
              </w:rPr>
              <w:t>22</w:t>
            </w:r>
            <w:r w:rsidR="000509A0">
              <w:rPr>
                <w:rFonts w:ascii="Calibri" w:hAnsi="Calibri" w:cs="Calibri"/>
                <w:b/>
                <w:color w:val="000000"/>
              </w:rPr>
              <w:t>.</w:t>
            </w:r>
            <w:r w:rsidRPr="005808FC">
              <w:rPr>
                <w:rFonts w:ascii="Calibri" w:hAnsi="Calibri" w:cs="Calibri"/>
                <w:b/>
                <w:color w:val="000000"/>
              </w:rPr>
              <w:t>929</w:t>
            </w:r>
          </w:p>
        </w:tc>
      </w:tr>
      <w:tr w:rsidR="00F62CC9" w:rsidRPr="00282B4B" w14:paraId="2B4BEE6D" w14:textId="77777777" w:rsidTr="005808FC">
        <w:trPr>
          <w:trHeight w:val="227"/>
        </w:trPr>
        <w:tc>
          <w:tcPr>
            <w:tcW w:w="3325" w:type="dxa"/>
            <w:shd w:val="clear" w:color="auto" w:fill="F2DBDB" w:themeFill="accent2" w:themeFillTint="33"/>
          </w:tcPr>
          <w:p w14:paraId="3BBF6FBD" w14:textId="77777777" w:rsidR="00F62CC9" w:rsidRPr="005808FC" w:rsidRDefault="00F62CC9" w:rsidP="005808FC">
            <w:pPr>
              <w:spacing w:line="240" w:lineRule="auto"/>
              <w:rPr>
                <w:b/>
                <w:bCs/>
              </w:rPr>
            </w:pPr>
            <w:r w:rsidRPr="00291DF5">
              <w:rPr>
                <w:b/>
                <w:bCs/>
              </w:rPr>
              <w:t>Izvor sredstava za provedbu</w:t>
            </w:r>
          </w:p>
        </w:tc>
        <w:tc>
          <w:tcPr>
            <w:tcW w:w="5691" w:type="dxa"/>
          </w:tcPr>
          <w:p w14:paraId="3A2E8160" w14:textId="77777777" w:rsidR="00F62CC9" w:rsidRPr="00282B4B" w:rsidRDefault="00F62CC9" w:rsidP="00B26936">
            <w:pPr>
              <w:numPr>
                <w:ilvl w:val="0"/>
                <w:numId w:val="9"/>
              </w:numPr>
              <w:spacing w:after="0" w:line="240" w:lineRule="auto"/>
              <w:ind w:left="714" w:hanging="357"/>
            </w:pPr>
            <w:r w:rsidRPr="00282B4B">
              <w:t xml:space="preserve">Državni proračun </w:t>
            </w:r>
          </w:p>
          <w:p w14:paraId="2525FFF1" w14:textId="26FB832F" w:rsidR="00F62CC9" w:rsidRPr="00282B4B" w:rsidRDefault="00F62CC9" w:rsidP="00B26936">
            <w:pPr>
              <w:numPr>
                <w:ilvl w:val="0"/>
                <w:numId w:val="9"/>
              </w:numPr>
              <w:spacing w:after="0" w:line="240" w:lineRule="auto"/>
              <w:ind w:left="714" w:hanging="357"/>
            </w:pPr>
            <w:r w:rsidRPr="00282B4B">
              <w:t>Europski strukturni</w:t>
            </w:r>
            <w:r w:rsidR="000509A0">
              <w:t xml:space="preserve"> i </w:t>
            </w:r>
            <w:r w:rsidRPr="00282B4B">
              <w:t>investicijski fondovi</w:t>
            </w:r>
          </w:p>
          <w:p w14:paraId="35A58E2C" w14:textId="63D4105E" w:rsidR="00F62CC9" w:rsidRPr="00282B4B" w:rsidRDefault="00F62CC9" w:rsidP="005808FC">
            <w:pPr>
              <w:numPr>
                <w:ilvl w:val="0"/>
                <w:numId w:val="9"/>
              </w:numPr>
              <w:spacing w:after="0" w:line="240" w:lineRule="auto"/>
              <w:ind w:left="714" w:hanging="357"/>
            </w:pPr>
            <w:r>
              <w:t>Proračun Grada Zagreba</w:t>
            </w:r>
          </w:p>
        </w:tc>
      </w:tr>
      <w:tr w:rsidR="00F62CC9" w:rsidRPr="00282B4B" w14:paraId="77444232" w14:textId="77777777" w:rsidTr="005808FC">
        <w:trPr>
          <w:trHeight w:val="227"/>
        </w:trPr>
        <w:tc>
          <w:tcPr>
            <w:tcW w:w="3325" w:type="dxa"/>
            <w:shd w:val="clear" w:color="auto" w:fill="F2DBDB" w:themeFill="accent2" w:themeFillTint="33"/>
          </w:tcPr>
          <w:p w14:paraId="1B06872B" w14:textId="77777777" w:rsidR="00F62CC9" w:rsidRPr="005808FC" w:rsidRDefault="00F62CC9" w:rsidP="005808FC">
            <w:pPr>
              <w:spacing w:line="240" w:lineRule="auto"/>
              <w:rPr>
                <w:b/>
                <w:bCs/>
              </w:rPr>
            </w:pPr>
            <w:r w:rsidRPr="00291DF5">
              <w:rPr>
                <w:b/>
                <w:bCs/>
              </w:rPr>
              <w:t>Kratki opis/komentar</w:t>
            </w:r>
          </w:p>
        </w:tc>
        <w:tc>
          <w:tcPr>
            <w:tcW w:w="5691" w:type="dxa"/>
          </w:tcPr>
          <w:p w14:paraId="647C3F9B" w14:textId="582D1765" w:rsidR="00F62CC9" w:rsidRPr="00282B4B" w:rsidRDefault="00F62CC9" w:rsidP="00B26936">
            <w:pPr>
              <w:spacing w:line="240" w:lineRule="auto"/>
            </w:pPr>
            <w:r w:rsidRPr="00282B4B">
              <w:t>Udio zgrada komercijalne namjene na području grada Zagreba u ukupnom fondu zgrada je značajan</w:t>
            </w:r>
            <w:r w:rsidR="000509A0">
              <w:t xml:space="preserve"> i </w:t>
            </w:r>
            <w:r w:rsidRPr="00282B4B">
              <w:t>predstavlja bitan čimbenik u ukupnoj energetskoj potrošnji</w:t>
            </w:r>
            <w:r w:rsidR="000509A0">
              <w:t xml:space="preserve"> i </w:t>
            </w:r>
            <w:r w:rsidRPr="00282B4B">
              <w:t>registru emisija CO</w:t>
            </w:r>
            <w:r w:rsidRPr="009569AC">
              <w:rPr>
                <w:vertAlign w:val="subscript"/>
              </w:rPr>
              <w:t>2</w:t>
            </w:r>
            <w:r w:rsidRPr="00282B4B">
              <w:t xml:space="preserve">. </w:t>
            </w:r>
          </w:p>
          <w:p w14:paraId="0DA105FD" w14:textId="54E76863" w:rsidR="00F62CC9" w:rsidRPr="00BF405C" w:rsidRDefault="00F62CC9" w:rsidP="00B26936">
            <w:pPr>
              <w:spacing w:line="240" w:lineRule="auto"/>
            </w:pPr>
            <w:r w:rsidRPr="00BF405C">
              <w:t>Mjera predviđa analizu mogućnosti</w:t>
            </w:r>
            <w:r w:rsidR="000509A0">
              <w:t xml:space="preserve"> i </w:t>
            </w:r>
            <w:r w:rsidRPr="00BF405C">
              <w:t xml:space="preserve">eventualnu razradu programa poticanja ugradnje sustava OIE za komercijalne nestambene zgrade koje bi Grad Zagreb trebao izraditi u suradnji s nacionalnom razinom. </w:t>
            </w:r>
          </w:p>
          <w:p w14:paraId="756F64DE" w14:textId="77777777" w:rsidR="00F62CC9" w:rsidRDefault="00F62CC9" w:rsidP="00B26936">
            <w:pPr>
              <w:spacing w:line="240" w:lineRule="auto"/>
            </w:pPr>
            <w:r>
              <w:t>Konkretni sustavi koji bi bili obuhvaćeni programom su:</w:t>
            </w:r>
          </w:p>
          <w:p w14:paraId="4D7D8E10" w14:textId="2D72C00E" w:rsidR="00F62CC9" w:rsidRDefault="00F62CC9" w:rsidP="0DFBE047">
            <w:pPr>
              <w:pStyle w:val="ListParagraph"/>
              <w:numPr>
                <w:ilvl w:val="0"/>
                <w:numId w:val="49"/>
              </w:numPr>
              <w:spacing w:line="240" w:lineRule="auto"/>
              <w:ind w:left="397"/>
            </w:pPr>
            <w:r>
              <w:t>solarni kolektorski sustavi za grijanje</w:t>
            </w:r>
            <w:r w:rsidR="000509A0">
              <w:t xml:space="preserve"> i </w:t>
            </w:r>
            <w:r>
              <w:t>pripremu potrošne tople vode</w:t>
            </w:r>
            <w:r w:rsidR="00786EA6">
              <w:t>;</w:t>
            </w:r>
          </w:p>
          <w:p w14:paraId="64BFC790" w14:textId="77777777" w:rsidR="00F62CC9" w:rsidRDefault="00F62CC9" w:rsidP="0DFBE047">
            <w:pPr>
              <w:pStyle w:val="ListParagraph"/>
              <w:numPr>
                <w:ilvl w:val="0"/>
                <w:numId w:val="49"/>
              </w:numPr>
              <w:spacing w:line="240" w:lineRule="auto"/>
              <w:ind w:left="397"/>
            </w:pPr>
            <w:r>
              <w:t xml:space="preserve">fotonaponski sustavi za proizvodnju električne energije, </w:t>
            </w:r>
          </w:p>
          <w:p w14:paraId="2C57D1A8" w14:textId="263EAEE1" w:rsidR="00F62CC9" w:rsidRDefault="00F62CC9" w:rsidP="00B26936">
            <w:pPr>
              <w:pStyle w:val="ListParagraph"/>
              <w:numPr>
                <w:ilvl w:val="0"/>
                <w:numId w:val="49"/>
              </w:numPr>
              <w:spacing w:line="240" w:lineRule="auto"/>
              <w:ind w:left="397"/>
            </w:pPr>
            <w:r>
              <w:t>sustavi za grijanje</w:t>
            </w:r>
            <w:r w:rsidR="000509A0">
              <w:t xml:space="preserve"> i </w:t>
            </w:r>
            <w:r>
              <w:t>pripremu potrošne tople vode na biomasu</w:t>
            </w:r>
            <w:r w:rsidR="00786EA6">
              <w:t>;</w:t>
            </w:r>
          </w:p>
          <w:p w14:paraId="4012D48D" w14:textId="0420ABDD" w:rsidR="00F62CC9" w:rsidRDefault="00F62CC9" w:rsidP="00B26936">
            <w:pPr>
              <w:pStyle w:val="ListParagraph"/>
              <w:numPr>
                <w:ilvl w:val="0"/>
                <w:numId w:val="49"/>
              </w:numPr>
              <w:spacing w:line="240" w:lineRule="auto"/>
              <w:ind w:left="397"/>
            </w:pPr>
            <w:r>
              <w:t>sustavi s dizalicama topline za pripremu potrošne tople vode, grijanje</w:t>
            </w:r>
            <w:r w:rsidR="000509A0">
              <w:t xml:space="preserve"> i </w:t>
            </w:r>
            <w:r>
              <w:t>hlađenje A energetske klase</w:t>
            </w:r>
            <w:r w:rsidR="00786EA6">
              <w:t>;</w:t>
            </w:r>
          </w:p>
          <w:p w14:paraId="6229C3AA" w14:textId="746DF747" w:rsidR="00F62CC9" w:rsidRPr="00282B4B" w:rsidRDefault="00F62CC9" w:rsidP="00B26936">
            <w:pPr>
              <w:pStyle w:val="ListParagraph"/>
              <w:numPr>
                <w:ilvl w:val="0"/>
                <w:numId w:val="49"/>
              </w:numPr>
              <w:spacing w:line="240" w:lineRule="auto"/>
              <w:ind w:left="397"/>
            </w:pPr>
            <w:r>
              <w:t>sustavi s vjetrogeneratorima</w:t>
            </w:r>
            <w:r w:rsidR="000509A0">
              <w:t xml:space="preserve"> i </w:t>
            </w:r>
            <w:r>
              <w:t>akumulatorima za proizvodnju električne energije za vlastitu potrošnju.</w:t>
            </w:r>
            <w:r w:rsidRPr="00282B4B">
              <w:t xml:space="preserve"> </w:t>
            </w:r>
          </w:p>
        </w:tc>
      </w:tr>
    </w:tbl>
    <w:p w14:paraId="78247434" w14:textId="77777777" w:rsidR="005D2907" w:rsidRDefault="005D2907">
      <w:pPr>
        <w:rPr>
          <w:rFonts w:cstheme="minorHAnsi"/>
        </w:rPr>
      </w:pPr>
      <w:r>
        <w:rPr>
          <w:rFonts w:cstheme="minorHAnsi"/>
        </w:rPr>
        <w:br w:type="page"/>
      </w:r>
    </w:p>
    <w:p w14:paraId="7BB4475B" w14:textId="29C4A616" w:rsidR="00D43D20" w:rsidRPr="005D2907" w:rsidRDefault="00D43D20" w:rsidP="00AD50CA">
      <w:pPr>
        <w:pStyle w:val="Heading2"/>
      </w:pPr>
      <w:bookmarkStart w:id="234" w:name="_Toc4156100"/>
      <w:r w:rsidRPr="005D2907">
        <w:lastRenderedPageBreak/>
        <w:t>Promet</w:t>
      </w:r>
      <w:bookmarkEnd w:id="234"/>
    </w:p>
    <w:p w14:paraId="1AB0494C" w14:textId="2892440B" w:rsidR="00D43D20" w:rsidRPr="00922031" w:rsidRDefault="00D43D20">
      <w:r w:rsidRPr="00291DF5">
        <w:t>Sektor prometa, na način na koji je obrađen u ovom dokumentu, povezuje zapravo mjere</w:t>
      </w:r>
      <w:r w:rsidR="000509A0">
        <w:t xml:space="preserve"> i </w:t>
      </w:r>
      <w:r w:rsidRPr="00291DF5">
        <w:t xml:space="preserve">aktivnosti koje su dane drugim – sektorskim dokumentima, kao što je npr. Masterplan prometa. </w:t>
      </w:r>
      <w:r w:rsidR="003F0783">
        <w:t xml:space="preserve">U trenutku pripreme za donošenje ovog dokumenta Masterplan prometa Zagrebačkog urbanog područja još uvijek nije završen, točnije završena je samo njegova prva – analitička faza. Druga faza Masterplana prometa je dokument koji će značajno utjecati i na sam SECAP, te </w:t>
      </w:r>
      <w:r w:rsidR="002779D4">
        <w:t xml:space="preserve">je </w:t>
      </w:r>
      <w:r w:rsidR="003F0783">
        <w:t>stoga predviđ</w:t>
      </w:r>
      <w:r w:rsidR="002779D4">
        <w:t>eno</w:t>
      </w:r>
      <w:r w:rsidR="003F0783">
        <w:t xml:space="preserve"> da će</w:t>
      </w:r>
      <w:r w:rsidR="002517C7">
        <w:t xml:space="preserve"> se</w:t>
      </w:r>
      <w:r w:rsidR="003F0783">
        <w:t xml:space="preserve"> po njegovu usvajanju napraviti revizij</w:t>
      </w:r>
      <w:r w:rsidR="002517C7">
        <w:t>a</w:t>
      </w:r>
      <w:r w:rsidR="003F0783">
        <w:t xml:space="preserve"> sektora prometa u ovom dokumentu. </w:t>
      </w:r>
      <w:r w:rsidRPr="00291DF5">
        <w:t>U smislu ovog dokumenta da</w:t>
      </w:r>
      <w:r w:rsidR="002779D4">
        <w:t>n je</w:t>
      </w:r>
      <w:r w:rsidRPr="00291DF5">
        <w:t xml:space="preserve"> pregled mjera koje imaju najviše dodirnih točaka s smanjenjem energetske potrošnje</w:t>
      </w:r>
      <w:r w:rsidR="000509A0">
        <w:t xml:space="preserve"> i </w:t>
      </w:r>
      <w:r w:rsidRPr="00291DF5">
        <w:t>smanjenjem emisija stakleničkih plinova</w:t>
      </w:r>
      <w:r w:rsidR="003F0783">
        <w:t>, a sukladno dostupnim podatcima i spoznajama</w:t>
      </w:r>
      <w:r w:rsidRPr="00291DF5">
        <w:t xml:space="preserve">. </w:t>
      </w:r>
    </w:p>
    <w:p w14:paraId="77F896E9" w14:textId="77777777" w:rsidR="00D43D20" w:rsidRPr="00922031" w:rsidRDefault="00D43D20" w:rsidP="005808FC">
      <w:pPr>
        <w:spacing w:after="0"/>
      </w:pPr>
      <w:r w:rsidRPr="00291DF5">
        <w:t xml:space="preserve">U </w:t>
      </w:r>
      <w:r w:rsidRPr="005808FC">
        <w:t>nastavku je dan prikaz mjera za smanjenje emisije stakleničkih plinova iz sektora prometa Grada Zagreba, pri čemu su mjere podijeljene na sljedeće grupe:</w:t>
      </w:r>
    </w:p>
    <w:p w14:paraId="16C27297" w14:textId="77777777" w:rsidR="00D43D20" w:rsidRPr="00922031" w:rsidRDefault="00D43D20" w:rsidP="00975CD4">
      <w:pPr>
        <w:spacing w:after="0"/>
        <w:rPr>
          <w:rFonts w:cstheme="minorHAnsi"/>
        </w:rPr>
      </w:pPr>
    </w:p>
    <w:p w14:paraId="3CB2CDC4" w14:textId="77777777" w:rsidR="00D43D20" w:rsidRPr="00922031" w:rsidRDefault="00D43D20" w:rsidP="005808FC">
      <w:pPr>
        <w:pStyle w:val="ListParagraph"/>
        <w:numPr>
          <w:ilvl w:val="0"/>
          <w:numId w:val="18"/>
        </w:numPr>
        <w:spacing w:after="0"/>
      </w:pPr>
      <w:r w:rsidRPr="00291DF5">
        <w:t>Javni prijevoz</w:t>
      </w:r>
    </w:p>
    <w:p w14:paraId="328CB9E9" w14:textId="77777777" w:rsidR="00D43D20" w:rsidRPr="00922031" w:rsidRDefault="00D43D20" w:rsidP="005808FC">
      <w:pPr>
        <w:pStyle w:val="ListParagraph"/>
        <w:numPr>
          <w:ilvl w:val="0"/>
          <w:numId w:val="18"/>
        </w:numPr>
        <w:spacing w:after="0"/>
      </w:pPr>
      <w:r w:rsidRPr="00291DF5">
        <w:t>Vozni park u vlasništvu grada</w:t>
      </w:r>
    </w:p>
    <w:p w14:paraId="5BC4F416" w14:textId="341668EC" w:rsidR="00D43D20" w:rsidRPr="00922031" w:rsidRDefault="00D43D20" w:rsidP="005808FC">
      <w:pPr>
        <w:pStyle w:val="ListParagraph"/>
        <w:numPr>
          <w:ilvl w:val="0"/>
          <w:numId w:val="18"/>
        </w:numPr>
        <w:spacing w:after="0"/>
      </w:pPr>
      <w:r w:rsidRPr="00291DF5">
        <w:t>Osobna</w:t>
      </w:r>
      <w:r w:rsidR="000509A0">
        <w:t xml:space="preserve"> i </w:t>
      </w:r>
      <w:r w:rsidRPr="00291DF5">
        <w:t>komercijalna vozila</w:t>
      </w:r>
    </w:p>
    <w:p w14:paraId="2DD4E508" w14:textId="77777777" w:rsidR="00D43D20" w:rsidRPr="000D58DB" w:rsidRDefault="00D43D20" w:rsidP="005808FC">
      <w:pPr>
        <w:pStyle w:val="ListParagraph"/>
        <w:numPr>
          <w:ilvl w:val="0"/>
          <w:numId w:val="18"/>
        </w:numPr>
        <w:spacing w:after="0"/>
        <w:rPr>
          <w:i/>
        </w:rPr>
      </w:pPr>
      <w:r w:rsidRPr="00291DF5">
        <w:t xml:space="preserve">Taxi, e-taxi, </w:t>
      </w:r>
      <w:r w:rsidRPr="000D58DB">
        <w:rPr>
          <w:i/>
        </w:rPr>
        <w:t>car sharing</w:t>
      </w:r>
    </w:p>
    <w:p w14:paraId="5B63331B" w14:textId="77777777" w:rsidR="00D43D20" w:rsidRPr="00922031" w:rsidRDefault="00D43D20" w:rsidP="005808FC">
      <w:pPr>
        <w:pStyle w:val="ListParagraph"/>
        <w:numPr>
          <w:ilvl w:val="0"/>
          <w:numId w:val="18"/>
        </w:numPr>
        <w:spacing w:after="0"/>
      </w:pPr>
      <w:r w:rsidRPr="00291DF5">
        <w:t>Biciklistički promet</w:t>
      </w:r>
    </w:p>
    <w:p w14:paraId="07AC6C6D" w14:textId="77777777" w:rsidR="000509A0" w:rsidRPr="00922031" w:rsidRDefault="000509A0" w:rsidP="00975CD4">
      <w:pPr>
        <w:rPr>
          <w:rFonts w:cstheme="minorHAnsi"/>
        </w:rPr>
      </w:pPr>
    </w:p>
    <w:p w14:paraId="2B732B8A" w14:textId="11DC9C02" w:rsidR="00D43D20" w:rsidRDefault="00D43D20" w:rsidP="00544C30">
      <w:pPr>
        <w:pStyle w:val="Heading3"/>
        <w:ind w:left="709" w:hanging="709"/>
      </w:pPr>
      <w:bookmarkStart w:id="235" w:name="_Toc4156101"/>
      <w:r w:rsidRPr="00922031">
        <w:t>Javni prijevoz</w:t>
      </w:r>
      <w:bookmarkEnd w:id="2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55691DA3" w14:textId="77777777" w:rsidTr="005808FC">
        <w:trPr>
          <w:trHeight w:val="386"/>
        </w:trPr>
        <w:tc>
          <w:tcPr>
            <w:tcW w:w="3415" w:type="dxa"/>
            <w:shd w:val="clear" w:color="auto" w:fill="C6D9F1" w:themeFill="text2" w:themeFillTint="33"/>
          </w:tcPr>
          <w:p w14:paraId="526A81F1"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5B07CDA5" w14:textId="77777777" w:rsidR="00EF5DA2" w:rsidRPr="005808FC" w:rsidRDefault="00EF5DA2" w:rsidP="005808FC">
            <w:pPr>
              <w:spacing w:after="0" w:line="240" w:lineRule="auto"/>
              <w:rPr>
                <w:rFonts w:eastAsia="Calibri" w:cs="Times New Roman"/>
                <w:b/>
                <w:bCs/>
              </w:rPr>
            </w:pPr>
            <w:r w:rsidRPr="00291DF5">
              <w:rPr>
                <w:rFonts w:eastAsia="Calibri" w:cs="Times New Roman"/>
                <w:b/>
                <w:bCs/>
                <w:color w:val="000000" w:themeColor="text1"/>
              </w:rPr>
              <w:t>11</w:t>
            </w:r>
          </w:p>
        </w:tc>
      </w:tr>
      <w:tr w:rsidR="00EF5DA2" w:rsidRPr="00447A00" w14:paraId="62213921" w14:textId="77777777" w:rsidTr="005808FC">
        <w:trPr>
          <w:trHeight w:val="350"/>
        </w:trPr>
        <w:tc>
          <w:tcPr>
            <w:tcW w:w="3415" w:type="dxa"/>
            <w:shd w:val="clear" w:color="auto" w:fill="C6D9F1" w:themeFill="text2" w:themeFillTint="33"/>
          </w:tcPr>
          <w:p w14:paraId="3CA2E93B" w14:textId="77777777" w:rsidR="00EF5DA2" w:rsidRPr="005808FC" w:rsidRDefault="00EF5DA2" w:rsidP="005808FC">
            <w:pPr>
              <w:spacing w:after="0" w:line="240" w:lineRule="auto"/>
              <w:rPr>
                <w:rFonts w:eastAsia="Calibri" w:cs="Times New Roman"/>
                <w:b/>
                <w:bCs/>
              </w:rPr>
            </w:pPr>
            <w:r w:rsidRPr="00036FA7">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50DA4F4E"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Uvođenje sustava integriranog prijevoza putnika</w:t>
            </w:r>
          </w:p>
        </w:tc>
      </w:tr>
      <w:tr w:rsidR="00EF5DA2" w:rsidRPr="00447A00" w14:paraId="2B46ED83" w14:textId="77777777" w:rsidTr="005808FC">
        <w:trPr>
          <w:trHeight w:val="227"/>
        </w:trPr>
        <w:tc>
          <w:tcPr>
            <w:tcW w:w="3415" w:type="dxa"/>
            <w:shd w:val="clear" w:color="auto" w:fill="F2DBDB" w:themeFill="accent2" w:themeFillTint="33"/>
          </w:tcPr>
          <w:p w14:paraId="2F998001" w14:textId="77777777" w:rsidR="00EF5DA2" w:rsidRPr="005808FC" w:rsidRDefault="00EF5DA2" w:rsidP="005808FC">
            <w:pPr>
              <w:spacing w:line="240" w:lineRule="auto"/>
              <w:rPr>
                <w:b/>
                <w:bCs/>
              </w:rPr>
            </w:pPr>
            <w:r w:rsidRPr="00291DF5">
              <w:rPr>
                <w:b/>
                <w:bCs/>
              </w:rPr>
              <w:t>Nositelji aktivnosti :</w:t>
            </w:r>
          </w:p>
        </w:tc>
        <w:tc>
          <w:tcPr>
            <w:tcW w:w="5601" w:type="dxa"/>
          </w:tcPr>
          <w:p w14:paraId="0E9CAA88" w14:textId="5AA6C8BB" w:rsidR="00EF5DA2" w:rsidRPr="00447A00" w:rsidRDefault="00EF5DA2" w:rsidP="00B26936">
            <w:pPr>
              <w:numPr>
                <w:ilvl w:val="0"/>
                <w:numId w:val="9"/>
              </w:numPr>
              <w:spacing w:after="0" w:line="240" w:lineRule="auto"/>
              <w:ind w:left="482" w:hanging="357"/>
            </w:pPr>
            <w:r w:rsidRPr="00447A00">
              <w:t xml:space="preserve">Integrirani promet zagrebačkog područja, d.o.o. </w:t>
            </w:r>
          </w:p>
        </w:tc>
      </w:tr>
      <w:tr w:rsidR="00EF5DA2" w:rsidRPr="00447A00" w14:paraId="1C27B9B8" w14:textId="77777777" w:rsidTr="005808FC">
        <w:trPr>
          <w:trHeight w:val="227"/>
        </w:trPr>
        <w:tc>
          <w:tcPr>
            <w:tcW w:w="3415" w:type="dxa"/>
            <w:shd w:val="clear" w:color="auto" w:fill="F2DBDB" w:themeFill="accent2" w:themeFillTint="33"/>
          </w:tcPr>
          <w:p w14:paraId="5B1286B7"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70C7094C" w14:textId="5AC3EDE4" w:rsidR="00EF5DA2" w:rsidRPr="00447A00" w:rsidRDefault="00EF5DA2" w:rsidP="00B26936">
            <w:pPr>
              <w:numPr>
                <w:ilvl w:val="0"/>
                <w:numId w:val="9"/>
              </w:numPr>
              <w:spacing w:after="0" w:line="240" w:lineRule="auto"/>
              <w:ind w:left="482" w:hanging="357"/>
            </w:pPr>
            <w:r w:rsidRPr="00447A00">
              <w:t>Gradski ured za prostorno uređenje, izgradnju Grada, graditeljstvo, komunalne poslove</w:t>
            </w:r>
            <w:r w:rsidR="000509A0">
              <w:t xml:space="preserve"> i </w:t>
            </w:r>
            <w:r w:rsidRPr="00447A00">
              <w:t>promet</w:t>
            </w:r>
          </w:p>
          <w:p w14:paraId="78510B0C" w14:textId="298A1A99" w:rsidR="004320F6" w:rsidRPr="00447A00" w:rsidRDefault="004320F6" w:rsidP="7FF51287">
            <w:pPr>
              <w:numPr>
                <w:ilvl w:val="0"/>
                <w:numId w:val="9"/>
              </w:numPr>
              <w:spacing w:after="0" w:line="240" w:lineRule="auto"/>
              <w:ind w:left="482" w:hanging="357"/>
            </w:pPr>
            <w:r w:rsidRPr="00447A00">
              <w:t>Gradski ured za gospodarstvo, energetiku</w:t>
            </w:r>
            <w:r w:rsidR="000509A0">
              <w:t xml:space="preserve"> i </w:t>
            </w:r>
            <w:r w:rsidRPr="00447A00">
              <w:t>zaštitu okoliša</w:t>
            </w:r>
          </w:p>
          <w:p w14:paraId="0AF751E8" w14:textId="77777777" w:rsidR="003D2B09" w:rsidRDefault="00EF5DA2" w:rsidP="003D2B09">
            <w:pPr>
              <w:numPr>
                <w:ilvl w:val="0"/>
                <w:numId w:val="9"/>
              </w:numPr>
              <w:spacing w:after="0" w:line="240" w:lineRule="auto"/>
              <w:ind w:left="482" w:hanging="357"/>
            </w:pPr>
            <w:r w:rsidRPr="00447A00">
              <w:t>ZET, d.o.o.</w:t>
            </w:r>
            <w:r w:rsidR="003D2B09" w:rsidRPr="00447A00">
              <w:t xml:space="preserve"> </w:t>
            </w:r>
          </w:p>
          <w:p w14:paraId="0ED8475C" w14:textId="2D0098EC" w:rsidR="003D2B09" w:rsidRPr="00447A00" w:rsidRDefault="003D2B09" w:rsidP="003D2B09">
            <w:pPr>
              <w:numPr>
                <w:ilvl w:val="0"/>
                <w:numId w:val="9"/>
              </w:numPr>
              <w:spacing w:after="0" w:line="240" w:lineRule="auto"/>
              <w:ind w:left="482" w:hanging="357"/>
            </w:pPr>
            <w:r w:rsidRPr="00447A00">
              <w:t>HŽ Infrastruktura, d.o.o.</w:t>
            </w:r>
          </w:p>
          <w:p w14:paraId="1A365FF4" w14:textId="77777777" w:rsidR="003D2B09" w:rsidRPr="00447A00" w:rsidRDefault="003D2B09" w:rsidP="003D2B09">
            <w:pPr>
              <w:numPr>
                <w:ilvl w:val="0"/>
                <w:numId w:val="9"/>
              </w:numPr>
              <w:spacing w:after="0" w:line="240" w:lineRule="auto"/>
              <w:ind w:left="482" w:hanging="357"/>
            </w:pPr>
            <w:r w:rsidRPr="00447A00">
              <w:t>HŽ Putnički prijevoz, d.o.o.</w:t>
            </w:r>
          </w:p>
          <w:p w14:paraId="330BCAB7" w14:textId="77777777" w:rsidR="003D2B09" w:rsidRPr="00447A00" w:rsidRDefault="003D2B09" w:rsidP="003D2B09">
            <w:pPr>
              <w:numPr>
                <w:ilvl w:val="0"/>
                <w:numId w:val="9"/>
              </w:numPr>
              <w:spacing w:after="0" w:line="240" w:lineRule="auto"/>
              <w:ind w:left="482" w:hanging="357"/>
            </w:pPr>
            <w:r w:rsidRPr="00447A00">
              <w:t>Pružatelji usluga prijevoza na zahtjev (taxi)</w:t>
            </w:r>
          </w:p>
          <w:p w14:paraId="33995391" w14:textId="666C955C" w:rsidR="00EF5DA2" w:rsidRPr="00447A00" w:rsidDel="00436CBA" w:rsidRDefault="003D2B09" w:rsidP="003D2B09">
            <w:pPr>
              <w:numPr>
                <w:ilvl w:val="0"/>
                <w:numId w:val="9"/>
              </w:numPr>
              <w:spacing w:after="0" w:line="240" w:lineRule="auto"/>
              <w:ind w:left="482" w:hanging="357"/>
            </w:pPr>
            <w:r w:rsidRPr="00447A00">
              <w:t>Pružatelji usluga dijeljenih vozila (</w:t>
            </w:r>
            <w:r w:rsidRPr="000D58DB">
              <w:rPr>
                <w:i/>
              </w:rPr>
              <w:t>car sharing</w:t>
            </w:r>
            <w:r w:rsidRPr="0DFBE047">
              <w:t>)</w:t>
            </w:r>
          </w:p>
        </w:tc>
      </w:tr>
      <w:tr w:rsidR="004320F6" w:rsidRPr="00447A00" w14:paraId="2CC03665" w14:textId="77777777" w:rsidTr="005808FC">
        <w:trPr>
          <w:trHeight w:val="227"/>
        </w:trPr>
        <w:tc>
          <w:tcPr>
            <w:tcW w:w="3415" w:type="dxa"/>
            <w:shd w:val="clear" w:color="auto" w:fill="F2DBDB" w:themeFill="accent2" w:themeFillTint="33"/>
          </w:tcPr>
          <w:p w14:paraId="37D6F3F5" w14:textId="2E213469" w:rsidR="004320F6" w:rsidRPr="005808FC" w:rsidRDefault="004320F6" w:rsidP="005808FC">
            <w:pPr>
              <w:spacing w:line="240" w:lineRule="auto"/>
              <w:rPr>
                <w:b/>
                <w:bCs/>
              </w:rPr>
            </w:pPr>
            <w:r w:rsidRPr="00291DF5">
              <w:rPr>
                <w:b/>
                <w:bCs/>
              </w:rPr>
              <w:t>Ostali uključeni dionici:</w:t>
            </w:r>
          </w:p>
        </w:tc>
        <w:tc>
          <w:tcPr>
            <w:tcW w:w="5601" w:type="dxa"/>
          </w:tcPr>
          <w:p w14:paraId="1D038F42" w14:textId="77B85D7C" w:rsidR="004320F6" w:rsidRPr="00447A00" w:rsidRDefault="004320F6" w:rsidP="7FF51287">
            <w:pPr>
              <w:numPr>
                <w:ilvl w:val="0"/>
                <w:numId w:val="9"/>
              </w:numPr>
              <w:spacing w:after="0" w:line="240" w:lineRule="auto"/>
              <w:ind w:left="482" w:hanging="357"/>
            </w:pPr>
            <w:r w:rsidRPr="00447A00">
              <w:t>Ministarstvo mora, prometa</w:t>
            </w:r>
            <w:r w:rsidR="000509A0">
              <w:t xml:space="preserve"> i </w:t>
            </w:r>
            <w:r w:rsidRPr="00447A00">
              <w:t>infrastrukture</w:t>
            </w:r>
          </w:p>
          <w:p w14:paraId="4C59D153" w14:textId="6E5397B0" w:rsidR="004320F6" w:rsidRPr="00447A00" w:rsidRDefault="004320F6">
            <w:pPr>
              <w:numPr>
                <w:ilvl w:val="0"/>
                <w:numId w:val="9"/>
              </w:numPr>
              <w:spacing w:after="0" w:line="240" w:lineRule="auto"/>
              <w:ind w:left="482" w:hanging="357"/>
            </w:pPr>
          </w:p>
        </w:tc>
      </w:tr>
      <w:tr w:rsidR="00EF5DA2" w:rsidRPr="00447A00" w14:paraId="5C17804F" w14:textId="77777777" w:rsidTr="005808FC">
        <w:trPr>
          <w:trHeight w:val="227"/>
        </w:trPr>
        <w:tc>
          <w:tcPr>
            <w:tcW w:w="3415" w:type="dxa"/>
            <w:shd w:val="clear" w:color="auto" w:fill="F2DBDB" w:themeFill="accent2" w:themeFillTint="33"/>
          </w:tcPr>
          <w:p w14:paraId="3B0C8BBB" w14:textId="77777777" w:rsidR="00EF5DA2" w:rsidRPr="005808FC" w:rsidRDefault="00EF5DA2" w:rsidP="005808FC">
            <w:pPr>
              <w:spacing w:line="240" w:lineRule="auto"/>
              <w:rPr>
                <w:b/>
                <w:bCs/>
              </w:rPr>
            </w:pPr>
            <w:r w:rsidRPr="00291DF5">
              <w:rPr>
                <w:b/>
                <w:bCs/>
              </w:rPr>
              <w:t>Početak/kraj provedbe (godine)</w:t>
            </w:r>
          </w:p>
        </w:tc>
        <w:tc>
          <w:tcPr>
            <w:tcW w:w="5601" w:type="dxa"/>
          </w:tcPr>
          <w:p w14:paraId="6B594E23" w14:textId="3DF36E0D" w:rsidR="00EF5DA2" w:rsidRPr="005808FC" w:rsidRDefault="00EF5DA2" w:rsidP="005808FC">
            <w:pPr>
              <w:spacing w:after="0" w:line="240" w:lineRule="auto"/>
              <w:rPr>
                <w:rFonts w:eastAsia="Calibri"/>
                <w:b/>
              </w:rPr>
            </w:pPr>
            <w:r w:rsidRPr="005808FC">
              <w:rPr>
                <w:rFonts w:eastAsia="Calibri"/>
                <w:b/>
              </w:rPr>
              <w:t>202</w:t>
            </w:r>
            <w:r w:rsidR="004320F6" w:rsidRPr="005808FC">
              <w:rPr>
                <w:rFonts w:eastAsia="Calibri"/>
                <w:b/>
              </w:rPr>
              <w:t>1-</w:t>
            </w:r>
            <w:r w:rsidR="003D2B09" w:rsidRPr="005808FC">
              <w:rPr>
                <w:rFonts w:eastAsia="Calibri"/>
                <w:b/>
              </w:rPr>
              <w:t>20</w:t>
            </w:r>
            <w:r w:rsidR="003D2B09">
              <w:rPr>
                <w:rFonts w:eastAsia="Calibri"/>
                <w:b/>
              </w:rPr>
              <w:t>30</w:t>
            </w:r>
          </w:p>
        </w:tc>
      </w:tr>
      <w:tr w:rsidR="00B25B9E" w:rsidRPr="00447A00" w14:paraId="3DEC18B8" w14:textId="77777777" w:rsidTr="005808FC">
        <w:trPr>
          <w:trHeight w:val="227"/>
        </w:trPr>
        <w:tc>
          <w:tcPr>
            <w:tcW w:w="3415" w:type="dxa"/>
            <w:shd w:val="clear" w:color="auto" w:fill="F2DBDB" w:themeFill="accent2" w:themeFillTint="33"/>
          </w:tcPr>
          <w:p w14:paraId="48981514" w14:textId="5BB6B74C" w:rsidR="00B25B9E" w:rsidRPr="005808FC" w:rsidRDefault="00B25B9E" w:rsidP="005808FC">
            <w:pPr>
              <w:spacing w:line="240" w:lineRule="auto"/>
              <w:rPr>
                <w:b/>
                <w:bCs/>
              </w:rPr>
            </w:pPr>
            <w:r w:rsidRPr="00291DF5">
              <w:rPr>
                <w:b/>
                <w:bCs/>
              </w:rPr>
              <w:t>Procjena uštede (MWh)</w:t>
            </w:r>
          </w:p>
        </w:tc>
        <w:tc>
          <w:tcPr>
            <w:tcW w:w="5601" w:type="dxa"/>
          </w:tcPr>
          <w:p w14:paraId="0D6D874C" w14:textId="050D40A2" w:rsidR="00B25B9E" w:rsidRPr="005808FC" w:rsidRDefault="003028D1" w:rsidP="00B25B9E">
            <w:pPr>
              <w:spacing w:after="0" w:line="240" w:lineRule="auto"/>
              <w:rPr>
                <w:rFonts w:ascii="Century Gothic" w:eastAsia="Calibri" w:hAnsi="Century Gothic" w:cs="Times New Roman"/>
                <w:b/>
                <w:sz w:val="18"/>
                <w:szCs w:val="18"/>
              </w:rPr>
            </w:pPr>
            <w:r w:rsidRPr="00746AAC">
              <w:rPr>
                <w:b/>
              </w:rPr>
              <w:t>82.027,8</w:t>
            </w:r>
          </w:p>
        </w:tc>
      </w:tr>
      <w:tr w:rsidR="00B25B9E" w:rsidRPr="00447A00" w14:paraId="0A49ECB0" w14:textId="77777777" w:rsidTr="005808FC">
        <w:trPr>
          <w:trHeight w:val="227"/>
        </w:trPr>
        <w:tc>
          <w:tcPr>
            <w:tcW w:w="3415" w:type="dxa"/>
            <w:shd w:val="clear" w:color="auto" w:fill="F2DBDB" w:themeFill="accent2" w:themeFillTint="33"/>
          </w:tcPr>
          <w:p w14:paraId="257D27D5" w14:textId="77777777" w:rsidR="00B25B9E" w:rsidRPr="005808FC" w:rsidRDefault="00B25B9E" w:rsidP="005808FC">
            <w:pPr>
              <w:spacing w:line="240" w:lineRule="auto"/>
              <w:rPr>
                <w:b/>
                <w:bCs/>
              </w:rPr>
            </w:pPr>
            <w:r w:rsidRPr="00291DF5">
              <w:rPr>
                <w:b/>
                <w:bCs/>
              </w:rPr>
              <w:t>Procjena smanjenja emisije (t CO2)</w:t>
            </w:r>
          </w:p>
        </w:tc>
        <w:tc>
          <w:tcPr>
            <w:tcW w:w="5601" w:type="dxa"/>
          </w:tcPr>
          <w:p w14:paraId="4D6DD9D0" w14:textId="1A04B536" w:rsidR="00B25B9E" w:rsidRPr="005808FC" w:rsidRDefault="00AB0685" w:rsidP="00B25B9E">
            <w:pPr>
              <w:spacing w:after="0" w:line="240" w:lineRule="auto"/>
              <w:rPr>
                <w:rFonts w:ascii="Century Gothic" w:eastAsia="Calibri" w:hAnsi="Century Gothic" w:cs="Times New Roman"/>
                <w:b/>
                <w:sz w:val="18"/>
                <w:szCs w:val="18"/>
              </w:rPr>
            </w:pPr>
            <w:r w:rsidRPr="00AB0685">
              <w:rPr>
                <w:b/>
              </w:rPr>
              <w:t>20.999,5</w:t>
            </w:r>
          </w:p>
        </w:tc>
      </w:tr>
      <w:tr w:rsidR="00EF5DA2" w:rsidRPr="00447A00" w14:paraId="17009D5C" w14:textId="77777777" w:rsidTr="005808FC">
        <w:trPr>
          <w:trHeight w:val="227"/>
        </w:trPr>
        <w:tc>
          <w:tcPr>
            <w:tcW w:w="3415" w:type="dxa"/>
            <w:shd w:val="clear" w:color="auto" w:fill="F2DBDB" w:themeFill="accent2" w:themeFillTint="33"/>
          </w:tcPr>
          <w:p w14:paraId="372C53D3" w14:textId="77777777" w:rsidR="00EF5DA2" w:rsidRPr="005808FC" w:rsidRDefault="00EF5DA2" w:rsidP="005808FC">
            <w:pPr>
              <w:spacing w:line="240" w:lineRule="auto"/>
              <w:rPr>
                <w:b/>
                <w:bCs/>
              </w:rPr>
            </w:pPr>
            <w:r w:rsidRPr="00291DF5">
              <w:rPr>
                <w:b/>
                <w:bCs/>
              </w:rPr>
              <w:t>Izvor sredstava za provedbu</w:t>
            </w:r>
          </w:p>
        </w:tc>
        <w:tc>
          <w:tcPr>
            <w:tcW w:w="5601" w:type="dxa"/>
          </w:tcPr>
          <w:p w14:paraId="3A989AFF" w14:textId="77777777" w:rsidR="00EF5DA2" w:rsidRPr="00447A00" w:rsidRDefault="00EF5DA2" w:rsidP="00B26936">
            <w:pPr>
              <w:numPr>
                <w:ilvl w:val="0"/>
                <w:numId w:val="9"/>
              </w:numPr>
              <w:spacing w:after="0" w:line="240" w:lineRule="auto"/>
              <w:ind w:left="482" w:hanging="357"/>
            </w:pPr>
            <w:r w:rsidRPr="00447A00">
              <w:t>Gradski proračun</w:t>
            </w:r>
          </w:p>
          <w:p w14:paraId="0B7EFE35" w14:textId="77777777" w:rsidR="00EF5DA2" w:rsidRPr="00447A00" w:rsidRDefault="00EF5DA2" w:rsidP="00B26936">
            <w:pPr>
              <w:numPr>
                <w:ilvl w:val="0"/>
                <w:numId w:val="9"/>
              </w:numPr>
              <w:spacing w:after="0" w:line="240" w:lineRule="auto"/>
              <w:ind w:left="482" w:hanging="357"/>
            </w:pPr>
            <w:r w:rsidRPr="00447A00">
              <w:t>Državni proračun</w:t>
            </w:r>
          </w:p>
          <w:p w14:paraId="21EAFB5E" w14:textId="154E9F47" w:rsidR="00EF5DA2" w:rsidRPr="00447A00" w:rsidRDefault="00EF5DA2" w:rsidP="00B26936">
            <w:pPr>
              <w:numPr>
                <w:ilvl w:val="0"/>
                <w:numId w:val="9"/>
              </w:numPr>
              <w:spacing w:after="0" w:line="240" w:lineRule="auto"/>
              <w:ind w:left="482" w:hanging="357"/>
            </w:pPr>
            <w:r w:rsidRPr="00447A00">
              <w:t>E</w:t>
            </w:r>
            <w:r w:rsidR="000D58DB">
              <w:t>uropski strukturni i investicijski fondovi</w:t>
            </w:r>
          </w:p>
          <w:p w14:paraId="4EB9FCE5" w14:textId="49AB2DE2" w:rsidR="00EF5DA2" w:rsidRDefault="00EF5DA2" w:rsidP="00B26936">
            <w:pPr>
              <w:numPr>
                <w:ilvl w:val="0"/>
                <w:numId w:val="9"/>
              </w:numPr>
              <w:spacing w:after="0" w:line="240" w:lineRule="auto"/>
              <w:ind w:left="482" w:hanging="357"/>
            </w:pPr>
            <w:r w:rsidRPr="00447A00">
              <w:lastRenderedPageBreak/>
              <w:t>Proračun ZET, d.o.o.</w:t>
            </w:r>
          </w:p>
          <w:p w14:paraId="351AFD6A" w14:textId="77777777" w:rsidR="003D2B09" w:rsidRPr="00447A00" w:rsidRDefault="003D2B09" w:rsidP="003D2B09">
            <w:pPr>
              <w:numPr>
                <w:ilvl w:val="0"/>
                <w:numId w:val="9"/>
              </w:numPr>
              <w:spacing w:after="0" w:line="240" w:lineRule="auto"/>
              <w:ind w:left="482" w:hanging="357"/>
            </w:pPr>
            <w:r w:rsidRPr="00447A00">
              <w:t>HŽ Infrastruktura, d.o.o.</w:t>
            </w:r>
          </w:p>
          <w:p w14:paraId="67789190" w14:textId="77777777" w:rsidR="003D2B09" w:rsidRPr="00447A00" w:rsidRDefault="003D2B09" w:rsidP="003D2B09">
            <w:pPr>
              <w:numPr>
                <w:ilvl w:val="0"/>
                <w:numId w:val="9"/>
              </w:numPr>
              <w:spacing w:after="0" w:line="240" w:lineRule="auto"/>
              <w:ind w:left="482" w:hanging="357"/>
            </w:pPr>
            <w:r w:rsidRPr="00447A00">
              <w:t>HŽ Putnički prijevoz, d.o.o.</w:t>
            </w:r>
          </w:p>
          <w:p w14:paraId="17753B26" w14:textId="77777777" w:rsidR="003D2B09" w:rsidRPr="00447A00" w:rsidRDefault="003D2B09" w:rsidP="003D2B09">
            <w:pPr>
              <w:numPr>
                <w:ilvl w:val="0"/>
                <w:numId w:val="9"/>
              </w:numPr>
              <w:spacing w:after="0" w:line="240" w:lineRule="auto"/>
              <w:ind w:left="482" w:hanging="357"/>
            </w:pPr>
            <w:r w:rsidRPr="00447A00">
              <w:t>Pružatelji usluga prijevoza na zahtjev (taxi)</w:t>
            </w:r>
          </w:p>
          <w:p w14:paraId="470C11FD" w14:textId="3E387C75" w:rsidR="003D2B09" w:rsidRPr="00447A00" w:rsidRDefault="003D2B09" w:rsidP="003D2B09">
            <w:pPr>
              <w:numPr>
                <w:ilvl w:val="0"/>
                <w:numId w:val="9"/>
              </w:numPr>
              <w:spacing w:after="0" w:line="240" w:lineRule="auto"/>
              <w:ind w:left="482" w:hanging="357"/>
            </w:pPr>
            <w:r w:rsidRPr="00447A00">
              <w:t>Pružatelji usluga dijeljenih vozila (</w:t>
            </w:r>
            <w:r w:rsidRPr="000D58DB">
              <w:rPr>
                <w:i/>
              </w:rPr>
              <w:t>car sharing</w:t>
            </w:r>
            <w:r w:rsidRPr="0DFBE047">
              <w:t>)</w:t>
            </w:r>
          </w:p>
          <w:p w14:paraId="5027BC6D" w14:textId="77777777" w:rsidR="00EF5DA2" w:rsidRPr="00447A00" w:rsidRDefault="00EF5DA2" w:rsidP="00B26936">
            <w:pPr>
              <w:numPr>
                <w:ilvl w:val="0"/>
                <w:numId w:val="9"/>
              </w:numPr>
              <w:spacing w:after="0" w:line="240" w:lineRule="auto"/>
              <w:ind w:left="482" w:hanging="357"/>
            </w:pPr>
            <w:r w:rsidRPr="00447A00">
              <w:t>EIB/EBRD/HBOR</w:t>
            </w:r>
          </w:p>
          <w:p w14:paraId="51E9F248" w14:textId="265F8274" w:rsidR="00EF5DA2" w:rsidRPr="00447A00" w:rsidRDefault="00EF5DA2" w:rsidP="005808FC">
            <w:pPr>
              <w:numPr>
                <w:ilvl w:val="0"/>
                <w:numId w:val="9"/>
              </w:numPr>
              <w:spacing w:after="0" w:line="240" w:lineRule="auto"/>
              <w:ind w:left="482" w:hanging="357"/>
            </w:pPr>
            <w:r w:rsidRPr="00447A00">
              <w:t>Komercijalne banke</w:t>
            </w:r>
          </w:p>
        </w:tc>
      </w:tr>
      <w:tr w:rsidR="00EF5DA2" w:rsidRPr="00447A00" w14:paraId="54EACFA5" w14:textId="77777777" w:rsidTr="005808FC">
        <w:trPr>
          <w:trHeight w:val="983"/>
        </w:trPr>
        <w:tc>
          <w:tcPr>
            <w:tcW w:w="3415" w:type="dxa"/>
            <w:shd w:val="clear" w:color="auto" w:fill="F2DBDB" w:themeFill="accent2" w:themeFillTint="33"/>
          </w:tcPr>
          <w:p w14:paraId="0DA186CD" w14:textId="77777777" w:rsidR="00EF5DA2" w:rsidRPr="005808FC" w:rsidRDefault="00EF5DA2" w:rsidP="005808FC">
            <w:pPr>
              <w:spacing w:line="240" w:lineRule="auto"/>
              <w:rPr>
                <w:b/>
                <w:bCs/>
              </w:rPr>
            </w:pPr>
            <w:r w:rsidRPr="00291DF5">
              <w:rPr>
                <w:b/>
                <w:bCs/>
              </w:rPr>
              <w:lastRenderedPageBreak/>
              <w:t>Kratki opis/komentar</w:t>
            </w:r>
          </w:p>
        </w:tc>
        <w:tc>
          <w:tcPr>
            <w:tcW w:w="5601" w:type="dxa"/>
          </w:tcPr>
          <w:p w14:paraId="08BD18AE" w14:textId="126B80EE" w:rsidR="00EF5DA2" w:rsidRPr="00447A00" w:rsidRDefault="00EF5DA2" w:rsidP="00B26936">
            <w:pPr>
              <w:spacing w:line="240" w:lineRule="auto"/>
              <w:rPr>
                <w:rFonts w:ascii="Calibri" w:hAnsi="Calibri"/>
              </w:rPr>
            </w:pPr>
            <w:r w:rsidRPr="00447A00">
              <w:rPr>
                <w:rFonts w:ascii="Calibri" w:hAnsi="Calibri"/>
              </w:rPr>
              <w:t>Sustav integriranog prijevoza putnika mora uključiti sve dionike koji pružaju usluge javnog prijevoza, u prvoj mjeri pružatelje usluga prijevoza autobusom, vlakom ili tramvajem, a u drugom koraku</w:t>
            </w:r>
            <w:r w:rsidR="000509A0">
              <w:rPr>
                <w:rFonts w:ascii="Calibri" w:hAnsi="Calibri"/>
              </w:rPr>
              <w:t xml:space="preserve"> i </w:t>
            </w:r>
            <w:r w:rsidRPr="00447A00">
              <w:rPr>
                <w:rFonts w:ascii="Calibri" w:hAnsi="Calibri"/>
              </w:rPr>
              <w:t>ostale pružatelje usluga, kao što su pružatelji usluga prijevoza na zahtjev, sustavi dijeljenih vozila</w:t>
            </w:r>
            <w:r w:rsidR="000509A0">
              <w:rPr>
                <w:rFonts w:ascii="Calibri" w:hAnsi="Calibri"/>
              </w:rPr>
              <w:t xml:space="preserve"> i </w:t>
            </w:r>
            <w:r w:rsidRPr="00447A00">
              <w:rPr>
                <w:rFonts w:ascii="Calibri" w:hAnsi="Calibri"/>
              </w:rPr>
              <w:t>slično. Konkretne mjere uspostave sustava integriranog javnog prijevoza putnika podrazumijevaju:</w:t>
            </w:r>
          </w:p>
          <w:p w14:paraId="59687326" w14:textId="0DF990E9" w:rsidR="00EF5DA2" w:rsidRPr="00447A00" w:rsidRDefault="00EF5DA2" w:rsidP="00B26936">
            <w:pPr>
              <w:numPr>
                <w:ilvl w:val="0"/>
                <w:numId w:val="52"/>
              </w:numPr>
              <w:spacing w:line="240" w:lineRule="auto"/>
              <w:contextualSpacing/>
              <w:rPr>
                <w:rFonts w:ascii="Calibri" w:hAnsi="Calibri"/>
              </w:rPr>
            </w:pPr>
            <w:r w:rsidRPr="00447A00">
              <w:rPr>
                <w:rFonts w:ascii="Calibri" w:hAnsi="Calibri"/>
              </w:rPr>
              <w:t>realizaciju jedinstvenog voznog reda</w:t>
            </w:r>
            <w:r w:rsidR="000509A0">
              <w:rPr>
                <w:rFonts w:ascii="Calibri" w:hAnsi="Calibri"/>
              </w:rPr>
              <w:t xml:space="preserve"> i </w:t>
            </w:r>
            <w:r w:rsidRPr="00447A00">
              <w:rPr>
                <w:rFonts w:ascii="Calibri" w:hAnsi="Calibri"/>
              </w:rPr>
              <w:t>tarif</w:t>
            </w:r>
            <w:r w:rsidR="00B06748">
              <w:rPr>
                <w:rFonts w:ascii="Calibri" w:hAnsi="Calibri"/>
              </w:rPr>
              <w:t>a;</w:t>
            </w:r>
          </w:p>
          <w:p w14:paraId="17164B87" w14:textId="382D493E" w:rsidR="00EF5DA2" w:rsidRPr="00447A00" w:rsidRDefault="00EF5DA2" w:rsidP="00B26936">
            <w:pPr>
              <w:numPr>
                <w:ilvl w:val="0"/>
                <w:numId w:val="52"/>
              </w:numPr>
              <w:spacing w:line="240" w:lineRule="auto"/>
              <w:contextualSpacing/>
              <w:rPr>
                <w:rFonts w:ascii="Calibri" w:hAnsi="Calibri"/>
              </w:rPr>
            </w:pPr>
            <w:r w:rsidRPr="00447A00">
              <w:rPr>
                <w:rFonts w:ascii="Calibri" w:hAnsi="Calibri"/>
              </w:rPr>
              <w:t>usuglašene prometne ponude</w:t>
            </w:r>
            <w:r w:rsidR="000509A0">
              <w:rPr>
                <w:rFonts w:ascii="Calibri" w:hAnsi="Calibri"/>
              </w:rPr>
              <w:t xml:space="preserve"> i </w:t>
            </w:r>
            <w:r w:rsidRPr="00447A00">
              <w:rPr>
                <w:rFonts w:ascii="Calibri" w:hAnsi="Calibri"/>
              </w:rPr>
              <w:t>potražnje</w:t>
            </w:r>
            <w:r w:rsidR="00B06748">
              <w:rPr>
                <w:rFonts w:ascii="Calibri" w:hAnsi="Calibri"/>
              </w:rPr>
              <w:t>;</w:t>
            </w:r>
            <w:r w:rsidRPr="00447A00">
              <w:rPr>
                <w:rFonts w:ascii="Calibri" w:hAnsi="Calibri"/>
              </w:rPr>
              <w:t xml:space="preserve"> </w:t>
            </w:r>
          </w:p>
          <w:p w14:paraId="1E9A325E" w14:textId="77777777" w:rsidR="00FA7738" w:rsidRDefault="00EF5DA2" w:rsidP="00B26936">
            <w:pPr>
              <w:numPr>
                <w:ilvl w:val="0"/>
                <w:numId w:val="52"/>
              </w:numPr>
              <w:spacing w:line="240" w:lineRule="auto"/>
              <w:contextualSpacing/>
              <w:rPr>
                <w:rFonts w:ascii="Calibri" w:hAnsi="Calibri"/>
              </w:rPr>
            </w:pPr>
            <w:r w:rsidRPr="00447A00">
              <w:rPr>
                <w:rFonts w:ascii="Calibri" w:hAnsi="Calibri"/>
              </w:rPr>
              <w:t>uspostavu jedinstvenog sustava naplate</w:t>
            </w:r>
            <w:r w:rsidR="000509A0">
              <w:rPr>
                <w:rFonts w:ascii="Calibri" w:hAnsi="Calibri"/>
              </w:rPr>
              <w:t xml:space="preserve"> i </w:t>
            </w:r>
            <w:r w:rsidRPr="00447A00">
              <w:rPr>
                <w:rFonts w:ascii="Calibri" w:hAnsi="Calibri"/>
              </w:rPr>
              <w:t>prodaje karata za javni gradski prijevoz putnika</w:t>
            </w:r>
            <w:r w:rsidR="00FA7738">
              <w:rPr>
                <w:rFonts w:ascii="Calibri" w:hAnsi="Calibri"/>
              </w:rPr>
              <w:t>;</w:t>
            </w:r>
          </w:p>
          <w:p w14:paraId="1C8AF8F2" w14:textId="77777777" w:rsidR="00FA7738" w:rsidRDefault="00FA7738" w:rsidP="00FA7738">
            <w:pPr>
              <w:numPr>
                <w:ilvl w:val="0"/>
                <w:numId w:val="52"/>
              </w:numPr>
              <w:spacing w:line="240" w:lineRule="auto"/>
              <w:contextualSpacing/>
              <w:rPr>
                <w:rFonts w:ascii="Calibri" w:hAnsi="Calibri"/>
              </w:rPr>
            </w:pPr>
            <w:r w:rsidRPr="002002D7">
              <w:rPr>
                <w:rFonts w:ascii="Calibri" w:hAnsi="Calibri"/>
              </w:rPr>
              <w:t>Uvođenje sustava za informiranje putnika i planiranje putovanja</w:t>
            </w:r>
          </w:p>
          <w:p w14:paraId="1A7D299E" w14:textId="77777777" w:rsidR="00FA7738" w:rsidRPr="00447A00" w:rsidRDefault="00FA7738" w:rsidP="00FA7738">
            <w:pPr>
              <w:numPr>
                <w:ilvl w:val="0"/>
                <w:numId w:val="52"/>
              </w:numPr>
              <w:spacing w:line="240" w:lineRule="auto"/>
              <w:contextualSpacing/>
              <w:rPr>
                <w:rFonts w:ascii="Calibri" w:hAnsi="Calibri"/>
              </w:rPr>
            </w:pPr>
            <w:r w:rsidRPr="002002D7">
              <w:rPr>
                <w:rFonts w:ascii="Calibri" w:hAnsi="Calibri"/>
              </w:rPr>
              <w:t>Uvođenje sustava jedinstvene vozne karte</w:t>
            </w:r>
          </w:p>
          <w:p w14:paraId="4D5C41E6" w14:textId="63BA39CE" w:rsidR="00EF5DA2" w:rsidRPr="00447A00" w:rsidRDefault="00EF5DA2" w:rsidP="005C1D72">
            <w:pPr>
              <w:spacing w:line="240" w:lineRule="auto"/>
              <w:ind w:left="720"/>
              <w:contextualSpacing/>
              <w:rPr>
                <w:rFonts w:ascii="Calibri" w:hAnsi="Calibri"/>
              </w:rPr>
            </w:pPr>
          </w:p>
          <w:p w14:paraId="6758F5CF" w14:textId="3955A40E" w:rsidR="00EF5DA2" w:rsidRPr="00447A00" w:rsidRDefault="00EF5DA2" w:rsidP="00B26936">
            <w:pPr>
              <w:spacing w:line="240" w:lineRule="auto"/>
              <w:rPr>
                <w:rFonts w:ascii="Calibri" w:hAnsi="Calibri"/>
              </w:rPr>
            </w:pPr>
            <w:r w:rsidRPr="00447A00">
              <w:rPr>
                <w:rFonts w:ascii="Calibri" w:hAnsi="Calibri"/>
              </w:rPr>
              <w:t>Ova mjera doprinosi ostvarivanju ciljeva Strategije prometnog razvoja RH (Cilj 4: Unapređenje pristupačnosti u putničkom prometu unutar</w:t>
            </w:r>
            <w:r w:rsidR="000509A0">
              <w:rPr>
                <w:rFonts w:ascii="Calibri" w:hAnsi="Calibri"/>
              </w:rPr>
              <w:t xml:space="preserve"> i </w:t>
            </w:r>
            <w:r w:rsidRPr="00447A00">
              <w:rPr>
                <w:rFonts w:ascii="Calibri" w:hAnsi="Calibri"/>
              </w:rPr>
              <w:t>prema glavnim urbanim</w:t>
            </w:r>
            <w:r w:rsidR="00B25B9E">
              <w:rPr>
                <w:rFonts w:ascii="Calibri" w:hAnsi="Calibri"/>
              </w:rPr>
              <w:t xml:space="preserve"> </w:t>
            </w:r>
            <w:r w:rsidRPr="00447A00">
              <w:rPr>
                <w:rFonts w:ascii="Calibri" w:hAnsi="Calibri"/>
              </w:rPr>
              <w:t>aglomeracijama – posebice 4a Unapređenje pristupačnosti u putničkom prometu – čvorište Zagreb; Cilj 6: Unapređenje prometnog sustava u smislu organizacije</w:t>
            </w:r>
            <w:r w:rsidR="000509A0">
              <w:rPr>
                <w:rFonts w:ascii="Calibri" w:hAnsi="Calibri"/>
              </w:rPr>
              <w:t xml:space="preserve"> i </w:t>
            </w:r>
            <w:r w:rsidRPr="00447A00">
              <w:rPr>
                <w:rFonts w:ascii="Calibri" w:hAnsi="Calibri"/>
              </w:rPr>
              <w:t xml:space="preserve">operativnog ustrojstva, a posebice: 6c Unapređenje operativnih postavki sustava, 6d Unapređenje sigurnosti prometnog sustava, 6e Smanjenje/ublažavanje utjecaja na okoliš, 6f Unapređenje ekološke učinkovitosti, 6g Financijska održivost prometnog sustava) </w:t>
            </w:r>
            <w:r w:rsidR="00B25B9E">
              <w:rPr>
                <w:rFonts w:ascii="Calibri" w:hAnsi="Calibri"/>
              </w:rPr>
              <w:t>te</w:t>
            </w:r>
            <w:r w:rsidRPr="00447A00">
              <w:rPr>
                <w:rFonts w:ascii="Calibri" w:hAnsi="Calibri"/>
              </w:rPr>
              <w:t xml:space="preserve"> OP konkurentnost</w:t>
            </w:r>
            <w:r w:rsidR="000509A0">
              <w:rPr>
                <w:rFonts w:ascii="Calibri" w:hAnsi="Calibri"/>
              </w:rPr>
              <w:t xml:space="preserve"> i </w:t>
            </w:r>
            <w:r w:rsidRPr="00447A00">
              <w:rPr>
                <w:rFonts w:ascii="Calibri" w:hAnsi="Calibri"/>
              </w:rPr>
              <w:t>kohezija, predloženi projekt je usklađen s mjerama navedenim u slijedećem strateškom dokumentu Grada Zagreba: ZAGREBPLAN 2020+ ( C4.P4‐M3 Unapređivanje javnog putničkog prometa, C4.P4‐M6 Unapređivanje biciklističkog prometa</w:t>
            </w:r>
            <w:r w:rsidR="000509A0">
              <w:rPr>
                <w:rFonts w:ascii="Calibri" w:hAnsi="Calibri"/>
              </w:rPr>
              <w:t xml:space="preserve"> i </w:t>
            </w:r>
            <w:r w:rsidRPr="00447A00">
              <w:rPr>
                <w:rFonts w:ascii="Calibri" w:hAnsi="Calibri"/>
              </w:rPr>
              <w:t>C4.P4‐M8 Povećanje sigurnosti sudionika u prometu).</w:t>
            </w:r>
          </w:p>
          <w:p w14:paraId="433754E5" w14:textId="77777777" w:rsidR="00EF5DA2" w:rsidRDefault="00EF5DA2" w:rsidP="00B26936">
            <w:pPr>
              <w:spacing w:line="240" w:lineRule="auto"/>
              <w:rPr>
                <w:rFonts w:ascii="Calibri" w:hAnsi="Calibri"/>
              </w:rPr>
            </w:pPr>
            <w:r w:rsidRPr="00447A00">
              <w:rPr>
                <w:rFonts w:ascii="Calibri" w:hAnsi="Calibri"/>
              </w:rPr>
              <w:t>Realizacija mjere</w:t>
            </w:r>
            <w:r w:rsidR="00B25B9E">
              <w:rPr>
                <w:rFonts w:ascii="Calibri" w:hAnsi="Calibri"/>
              </w:rPr>
              <w:t xml:space="preserve"> </w:t>
            </w:r>
            <w:r w:rsidRPr="00447A00">
              <w:rPr>
                <w:rFonts w:ascii="Calibri" w:hAnsi="Calibri"/>
              </w:rPr>
              <w:t>u skladu je s specifičnim ciljem OP Konkurentnost</w:t>
            </w:r>
            <w:r w:rsidR="000509A0">
              <w:rPr>
                <w:rFonts w:ascii="Calibri" w:hAnsi="Calibri"/>
              </w:rPr>
              <w:t xml:space="preserve"> i </w:t>
            </w:r>
            <w:r w:rsidRPr="00447A00">
              <w:rPr>
                <w:rFonts w:ascii="Calibri" w:hAnsi="Calibri"/>
              </w:rPr>
              <w:t>kohezija 7ii2 -Razvoj</w:t>
            </w:r>
            <w:r w:rsidR="000509A0">
              <w:rPr>
                <w:rFonts w:ascii="Calibri" w:hAnsi="Calibri"/>
              </w:rPr>
              <w:t xml:space="preserve"> i </w:t>
            </w:r>
            <w:r w:rsidRPr="00447A00">
              <w:rPr>
                <w:rFonts w:ascii="Calibri" w:hAnsi="Calibri"/>
              </w:rPr>
              <w:t>unapređenje prometnih sustava prihvatljivih za okoliš (uključujući one s niskom razinom buke)</w:t>
            </w:r>
            <w:r w:rsidR="000509A0">
              <w:rPr>
                <w:rFonts w:ascii="Calibri" w:hAnsi="Calibri"/>
              </w:rPr>
              <w:t xml:space="preserve"> i </w:t>
            </w:r>
            <w:r w:rsidRPr="00447A00">
              <w:rPr>
                <w:rFonts w:ascii="Calibri" w:hAnsi="Calibri"/>
              </w:rPr>
              <w:t>prometni sustavi sa niskim emisijama CO2,</w:t>
            </w:r>
            <w:r w:rsidR="000509A0">
              <w:rPr>
                <w:rFonts w:ascii="Calibri" w:hAnsi="Calibri"/>
              </w:rPr>
              <w:t xml:space="preserve"> i </w:t>
            </w:r>
            <w:r w:rsidRPr="00447A00">
              <w:rPr>
                <w:rFonts w:ascii="Calibri" w:hAnsi="Calibri"/>
              </w:rPr>
              <w:t>doprinijeti će povećanju učešća javnog prijevoza putnika uz smanjene učešća osobnih vozila u ukupnom broju ostvarenih putovanja na području grada Zagreba, povećanju kvalitete javnog prijevoza općenito, povećanju sigurnosti</w:t>
            </w:r>
            <w:r w:rsidR="00B25B9E">
              <w:rPr>
                <w:rFonts w:ascii="Calibri" w:hAnsi="Calibri"/>
              </w:rPr>
              <w:t xml:space="preserve"> </w:t>
            </w:r>
            <w:r w:rsidRPr="00447A00">
              <w:rPr>
                <w:rFonts w:ascii="Calibri" w:hAnsi="Calibri"/>
              </w:rPr>
              <w:t>sudionika u prometu te u povećanju mobilnosti građana.</w:t>
            </w:r>
          </w:p>
          <w:p w14:paraId="3CC0C06A" w14:textId="77777777" w:rsidR="00FA7738" w:rsidRPr="002002D7" w:rsidRDefault="00FA7738" w:rsidP="00FA7738">
            <w:pPr>
              <w:spacing w:line="240" w:lineRule="auto"/>
              <w:rPr>
                <w:rFonts w:ascii="Calibri" w:hAnsi="Calibri"/>
              </w:rPr>
            </w:pPr>
            <w:r w:rsidRPr="002002D7">
              <w:rPr>
                <w:rFonts w:ascii="Calibri" w:hAnsi="Calibri"/>
              </w:rPr>
              <w:lastRenderedPageBreak/>
              <w:t>Sustav za informiranje korisnika usluga javnog gradskog prijevoza putnika ključni je komunikacijski kanal između pružatelja usluge i krajnjih korisnika. Sustavi informiranja putnika i vozača obuhvaćaju usluge informiranja putnika kroz usluge pred-putnog i putnog informiranja korištenjem statičkih i dinamičkih informacija. Najveća prednost implementacije ovog sustava jest pružanje pravovremene i točne informacije putniku te povećanje pouzdanosti predviđanja trajanja putovanja, čime se bitno povećava kvaliteta usluge javnog prijevoza, što dovodi do povećanja broja korisnika te smanjenja korištenja osobnih vozila. Povećava se percepcija brige i boljeg odnosa prema korisnicima te se smanjuje percepcija vremena čekanja. odnosno minimizira negativan utjecaj eventualnog kašnjenja vozila javnog gradskog prijevoza.</w:t>
            </w:r>
          </w:p>
          <w:p w14:paraId="49A27993" w14:textId="77777777" w:rsidR="00FA7738" w:rsidRPr="002002D7" w:rsidRDefault="00FA7738" w:rsidP="00FA7738">
            <w:pPr>
              <w:spacing w:line="240" w:lineRule="auto"/>
              <w:rPr>
                <w:rFonts w:ascii="Calibri" w:hAnsi="Calibri"/>
              </w:rPr>
            </w:pPr>
            <w:r w:rsidRPr="002002D7">
              <w:rPr>
                <w:rFonts w:ascii="Calibri" w:hAnsi="Calibri"/>
              </w:rPr>
              <w:t>Ova mjera doprinosi ostvarivanju ciljeva Strategije prometnog razvoja RH (Cilj 4: Unapređenje pristupačnosti u putničkom prometu unutar i prema glavnim urbanim aglomeracijama – posebice 4a Unapređenje pristupačnosti u putničkom prometu – čvorište Zagreb; Cilj 6: Unapređenje prometnog sustava u smislu organizacije i operativnog ustrojstva, a posebice: 6c Unapređenje operativnih postavki sustava, 6d Unapređenje sigurnosti prometnog sustava, 6e Smanjenje/ublažavanje utjecaja na okoliš, 6f Unapređenje ekološke učinkovitosti, 6g Financijska održivost prometnog sustava) i OP konkurentnost i kohezija, predloženi projekt je usklađen s mjerama navedenim u slijedećem strateškom dokumentu Grada Zagreba: ZAGREBPLAN 2020+ ( C4.P4‐M3 Unapređivanje javnog putničkog prometa, C4.P4‐M6 Unapređivanje biciklističkog prometa i C4.P4‐M8 Povećanje sigurnosti sudionika u prometu).</w:t>
            </w:r>
          </w:p>
          <w:p w14:paraId="791ED8C9" w14:textId="77777777" w:rsidR="00FA7738" w:rsidRDefault="00FA7738" w:rsidP="00FA7738">
            <w:pPr>
              <w:spacing w:line="240" w:lineRule="auto"/>
              <w:rPr>
                <w:rFonts w:ascii="Calibri" w:hAnsi="Calibri"/>
              </w:rPr>
            </w:pPr>
            <w:r w:rsidRPr="002002D7">
              <w:rPr>
                <w:rFonts w:ascii="Calibri" w:hAnsi="Calibri"/>
              </w:rPr>
              <w:t>Realizacija mjere u skladu je s specifičnim ciljem OP Konkurentnost i kohezija 7ii2 -Razvoj i unapređenje prometnih sustava prihvatljivih za okoliš (uključujući one s niskom razinom buke) i prometni sustavi sa niskim emisijama CO2, i doprinijeti će povećanju učešća javnog prijevoza putnika uz smanjene učešća osobnih vozila u ukupnom broju ostvarenih putovanja na području grada Zagreba, povećanju kvalitete javnog prijevoza općenito, povećanju sigurnosti sudionika u prometu te u povećanju mobilnosti građana.</w:t>
            </w:r>
          </w:p>
          <w:p w14:paraId="2F6F95CD" w14:textId="77777777" w:rsidR="00FA7738" w:rsidRDefault="00FA7738" w:rsidP="00FA7738">
            <w:pPr>
              <w:spacing w:line="240" w:lineRule="auto"/>
              <w:rPr>
                <w:rFonts w:ascii="Calibri" w:hAnsi="Calibri"/>
              </w:rPr>
            </w:pPr>
            <w:r w:rsidRPr="00447A00">
              <w:rPr>
                <w:rFonts w:ascii="Calibri" w:hAnsi="Calibri"/>
              </w:rPr>
              <w:t>Sustav jedinstvene vozne karte omogućava korisniku kupovinu jedne vozne karte za usluge prijevoza od ishodišta do destinacije, pri čemu s tom kartom može koristiti usluge jednog ili više operatora javnog gradskog prijevoza. Sustav mora biti jednostavno proširiv na druge načine prijevoza, tako da se postojeći mehanizmi izdavanja karata, naplate</w:t>
            </w:r>
            <w:r>
              <w:rPr>
                <w:rFonts w:ascii="Calibri" w:hAnsi="Calibri"/>
              </w:rPr>
              <w:t xml:space="preserve"> i </w:t>
            </w:r>
            <w:r w:rsidRPr="00447A00">
              <w:rPr>
                <w:rFonts w:ascii="Calibri" w:hAnsi="Calibri"/>
              </w:rPr>
              <w:lastRenderedPageBreak/>
              <w:t>korištenja karata mogu transparentno primijeniti na nove načine prijevoza.</w:t>
            </w:r>
          </w:p>
          <w:p w14:paraId="66D299D6" w14:textId="77777777" w:rsidR="00FA7738" w:rsidRPr="00447A00" w:rsidRDefault="00FA7738" w:rsidP="00FA7738">
            <w:pPr>
              <w:spacing w:line="240" w:lineRule="auto"/>
              <w:rPr>
                <w:rFonts w:ascii="Calibri" w:hAnsi="Calibri"/>
              </w:rPr>
            </w:pPr>
            <w:r w:rsidRPr="00447A00">
              <w:rPr>
                <w:rFonts w:ascii="Calibri" w:hAnsi="Calibri"/>
              </w:rPr>
              <w:t>Poseban naglasak potrebno je staviti na suvremene prodajne kanale koji obuhvaćaju prodaju voznih karata</w:t>
            </w:r>
            <w:r>
              <w:rPr>
                <w:rFonts w:ascii="Calibri" w:hAnsi="Calibri"/>
              </w:rPr>
              <w:t xml:space="preserve"> i </w:t>
            </w:r>
            <w:r w:rsidRPr="00447A00">
              <w:rPr>
                <w:rFonts w:ascii="Calibri" w:hAnsi="Calibri"/>
              </w:rPr>
              <w:t>plaćanje usluga putem mobilnih aplikacija</w:t>
            </w:r>
            <w:r>
              <w:rPr>
                <w:rFonts w:ascii="Calibri" w:hAnsi="Calibri"/>
              </w:rPr>
              <w:t xml:space="preserve"> i </w:t>
            </w:r>
            <w:r w:rsidRPr="00447A00">
              <w:rPr>
                <w:rFonts w:ascii="Calibri" w:hAnsi="Calibri"/>
              </w:rPr>
              <w:t>mrežno. Također, preporuka je da se u podršci implementacije ove usluge uvede</w:t>
            </w:r>
            <w:r>
              <w:rPr>
                <w:rFonts w:ascii="Calibri" w:hAnsi="Calibri"/>
              </w:rPr>
              <w:t xml:space="preserve"> i </w:t>
            </w:r>
            <w:r w:rsidRPr="00447A00">
              <w:rPr>
                <w:rFonts w:ascii="Calibri" w:hAnsi="Calibri"/>
              </w:rPr>
              <w:t>sustav za brojanje putnika u vozilima javnog gradskog prijevoza, koji omogućava detaljnu analitiku iskorištenosti pojedinih linija javnog gradskog prijevoza, optimizaciju usluge, kao</w:t>
            </w:r>
            <w:r>
              <w:rPr>
                <w:rFonts w:ascii="Calibri" w:hAnsi="Calibri"/>
              </w:rPr>
              <w:t xml:space="preserve"> i </w:t>
            </w:r>
            <w:r w:rsidRPr="00447A00">
              <w:rPr>
                <w:rFonts w:ascii="Calibri" w:hAnsi="Calibri"/>
              </w:rPr>
              <w:t xml:space="preserve">stvaranje osnove za razdiobu prihoda među pružateljima usluga u ovisnosti o stvarno prevezenom broju putnika. </w:t>
            </w:r>
          </w:p>
          <w:p w14:paraId="386481B5" w14:textId="77777777" w:rsidR="00FA7738" w:rsidRPr="00765F07" w:rsidRDefault="00FA7738" w:rsidP="00FA7738">
            <w:pPr>
              <w:spacing w:line="240" w:lineRule="auto"/>
              <w:rPr>
                <w:rFonts w:ascii="Calibri" w:hAnsi="Calibri"/>
              </w:rPr>
            </w:pPr>
            <w:r w:rsidRPr="00447A00">
              <w:rPr>
                <w:rFonts w:ascii="Calibri" w:hAnsi="Calibri"/>
              </w:rPr>
              <w:t>Ova mjera doprinosi ostvarivanju ciljeva Strategije prometnog razvoja RH (Cilj 4: Unapređenje pristupačnosti u putničkom prometu unutar</w:t>
            </w:r>
            <w:r>
              <w:rPr>
                <w:rFonts w:ascii="Calibri" w:hAnsi="Calibri"/>
              </w:rPr>
              <w:t xml:space="preserve"> i </w:t>
            </w:r>
            <w:r w:rsidRPr="00447A00">
              <w:rPr>
                <w:rFonts w:ascii="Calibri" w:hAnsi="Calibri"/>
              </w:rPr>
              <w:t>prema glavnim urbanim</w:t>
            </w:r>
            <w:r>
              <w:rPr>
                <w:rFonts w:ascii="Calibri" w:hAnsi="Calibri"/>
              </w:rPr>
              <w:t xml:space="preserve"> </w:t>
            </w:r>
            <w:r w:rsidRPr="00447A00">
              <w:rPr>
                <w:rFonts w:ascii="Calibri" w:hAnsi="Calibri"/>
              </w:rPr>
              <w:t>aglomeracijama – posebice 4a Unapređenje pristupačnosti u putničkom prometu – čvorište Zagreb;</w:t>
            </w:r>
            <w:r>
              <w:rPr>
                <w:rFonts w:ascii="Calibri" w:hAnsi="Calibri"/>
              </w:rPr>
              <w:t xml:space="preserve"> </w:t>
            </w:r>
            <w:r w:rsidRPr="00447A00">
              <w:rPr>
                <w:rFonts w:ascii="Calibri" w:hAnsi="Calibri"/>
              </w:rPr>
              <w:t>Cilj 6: Unapređenje prometnog sustava u smislu organizacije</w:t>
            </w:r>
            <w:r>
              <w:rPr>
                <w:rFonts w:ascii="Calibri" w:hAnsi="Calibri"/>
              </w:rPr>
              <w:t xml:space="preserve"> i </w:t>
            </w:r>
            <w:r w:rsidRPr="00447A00">
              <w:rPr>
                <w:rFonts w:ascii="Calibri" w:hAnsi="Calibri"/>
              </w:rPr>
              <w:t>operativnog ustrojstva, a posebice:</w:t>
            </w:r>
            <w:r>
              <w:rPr>
                <w:rFonts w:ascii="Calibri" w:hAnsi="Calibri"/>
              </w:rPr>
              <w:t xml:space="preserve"> </w:t>
            </w:r>
            <w:r w:rsidRPr="00447A00">
              <w:rPr>
                <w:rFonts w:ascii="Calibri" w:hAnsi="Calibri"/>
              </w:rPr>
              <w:t>6c</w:t>
            </w:r>
            <w:r>
              <w:rPr>
                <w:rFonts w:ascii="Calibri" w:hAnsi="Calibri"/>
              </w:rPr>
              <w:t xml:space="preserve"> </w:t>
            </w:r>
            <w:r w:rsidRPr="00447A00">
              <w:rPr>
                <w:rFonts w:ascii="Calibri" w:hAnsi="Calibri"/>
              </w:rPr>
              <w:t>Unapređenje operativnih postavki sustava, 6d</w:t>
            </w:r>
            <w:r>
              <w:rPr>
                <w:rFonts w:ascii="Calibri" w:hAnsi="Calibri"/>
              </w:rPr>
              <w:t xml:space="preserve"> </w:t>
            </w:r>
            <w:r w:rsidRPr="00447A00">
              <w:rPr>
                <w:rFonts w:ascii="Calibri" w:hAnsi="Calibri"/>
              </w:rPr>
              <w:t>Unapređenje sigurnosti prometnog sustava,</w:t>
            </w:r>
            <w:r>
              <w:rPr>
                <w:rFonts w:ascii="Calibri" w:hAnsi="Calibri"/>
              </w:rPr>
              <w:t xml:space="preserve"> </w:t>
            </w:r>
            <w:r w:rsidRPr="00447A00">
              <w:rPr>
                <w:rFonts w:ascii="Calibri" w:hAnsi="Calibri"/>
              </w:rPr>
              <w:t>6e</w:t>
            </w:r>
            <w:r>
              <w:rPr>
                <w:rFonts w:ascii="Calibri" w:hAnsi="Calibri"/>
              </w:rPr>
              <w:t xml:space="preserve"> </w:t>
            </w:r>
            <w:r w:rsidRPr="00447A00">
              <w:rPr>
                <w:rFonts w:ascii="Calibri" w:hAnsi="Calibri"/>
              </w:rPr>
              <w:t>Smanjenje/ublažavanje utjecaja na okoliš,</w:t>
            </w:r>
            <w:r>
              <w:rPr>
                <w:rFonts w:ascii="Calibri" w:hAnsi="Calibri"/>
              </w:rPr>
              <w:t xml:space="preserve"> </w:t>
            </w:r>
            <w:r w:rsidRPr="00447A00">
              <w:rPr>
                <w:rFonts w:ascii="Calibri" w:hAnsi="Calibri"/>
              </w:rPr>
              <w:t>6f</w:t>
            </w:r>
            <w:r>
              <w:rPr>
                <w:rFonts w:ascii="Calibri" w:hAnsi="Calibri"/>
              </w:rPr>
              <w:t xml:space="preserve"> </w:t>
            </w:r>
            <w:r w:rsidRPr="00447A00">
              <w:rPr>
                <w:rFonts w:ascii="Calibri" w:hAnsi="Calibri"/>
              </w:rPr>
              <w:t>Unapređenje ekološke učinkovitosti, 6g</w:t>
            </w:r>
            <w:r>
              <w:rPr>
                <w:rFonts w:ascii="Calibri" w:hAnsi="Calibri"/>
              </w:rPr>
              <w:t xml:space="preserve"> </w:t>
            </w:r>
            <w:r w:rsidRPr="00447A00">
              <w:rPr>
                <w:rFonts w:ascii="Calibri" w:hAnsi="Calibri"/>
              </w:rPr>
              <w:t>Financijska održivost prometnog sustava)</w:t>
            </w:r>
            <w:r>
              <w:rPr>
                <w:rFonts w:ascii="Calibri" w:hAnsi="Calibri"/>
              </w:rPr>
              <w:t xml:space="preserve"> i </w:t>
            </w:r>
            <w:r w:rsidRPr="00447A00">
              <w:rPr>
                <w:rFonts w:ascii="Calibri" w:hAnsi="Calibri"/>
              </w:rPr>
              <w:t>OP konkurentnost</w:t>
            </w:r>
            <w:r>
              <w:rPr>
                <w:rFonts w:ascii="Calibri" w:hAnsi="Calibri"/>
              </w:rPr>
              <w:t xml:space="preserve"> i </w:t>
            </w:r>
            <w:r w:rsidRPr="00447A00">
              <w:rPr>
                <w:rFonts w:ascii="Calibri" w:hAnsi="Calibri"/>
              </w:rPr>
              <w:t>kohezija, predloženi projekt je usklađen s mjerama navedenim u slijedećem strateškom dokumentu Grada Zagreba: ZAGREBPLAN 2020+ ( C4.P4‐M3 Unapređivanje javnog putničkog prometa, C4.P4‐M6 Unapređivanje biciklističkog prometa</w:t>
            </w:r>
            <w:r>
              <w:rPr>
                <w:rFonts w:ascii="Calibri" w:hAnsi="Calibri"/>
              </w:rPr>
              <w:t xml:space="preserve"> i </w:t>
            </w:r>
            <w:r w:rsidRPr="00447A00">
              <w:rPr>
                <w:rFonts w:ascii="Calibri" w:hAnsi="Calibri"/>
              </w:rPr>
              <w:t>C4.P4‐M8 Povećanje sigurnosti sudionika u prometu).</w:t>
            </w:r>
          </w:p>
          <w:p w14:paraId="1E3E3E5A" w14:textId="7257B364" w:rsidR="00FA7738" w:rsidRPr="00447A00" w:rsidRDefault="00FA7738" w:rsidP="00B26936">
            <w:pPr>
              <w:spacing w:line="240" w:lineRule="auto"/>
              <w:rPr>
                <w:rFonts w:ascii="Century Gothic" w:eastAsia="Calibri" w:hAnsi="Century Gothic" w:cs="Times New Roman"/>
                <w:sz w:val="18"/>
                <w:szCs w:val="18"/>
              </w:rPr>
            </w:pPr>
            <w:r w:rsidRPr="00447A00">
              <w:rPr>
                <w:rFonts w:ascii="Calibri" w:hAnsi="Calibri"/>
              </w:rPr>
              <w:t>Realizacija mjere</w:t>
            </w:r>
            <w:r>
              <w:rPr>
                <w:rFonts w:ascii="Calibri" w:hAnsi="Calibri"/>
              </w:rPr>
              <w:t xml:space="preserve"> </w:t>
            </w:r>
            <w:r w:rsidRPr="00447A00">
              <w:rPr>
                <w:rFonts w:ascii="Calibri" w:hAnsi="Calibri"/>
              </w:rPr>
              <w:t>u skladu je s specifičnim ciljem OP Konkurentnost</w:t>
            </w:r>
            <w:r>
              <w:rPr>
                <w:rFonts w:ascii="Calibri" w:hAnsi="Calibri"/>
              </w:rPr>
              <w:t xml:space="preserve"> i </w:t>
            </w:r>
            <w:r w:rsidRPr="00447A00">
              <w:rPr>
                <w:rFonts w:ascii="Calibri" w:hAnsi="Calibri"/>
              </w:rPr>
              <w:t>kohezija 7ii2 -Razvoj</w:t>
            </w:r>
            <w:r>
              <w:rPr>
                <w:rFonts w:ascii="Calibri" w:hAnsi="Calibri"/>
              </w:rPr>
              <w:t xml:space="preserve"> i </w:t>
            </w:r>
            <w:r w:rsidRPr="00447A00">
              <w:rPr>
                <w:rFonts w:ascii="Calibri" w:hAnsi="Calibri"/>
              </w:rPr>
              <w:t>unapređenje prometnih sustava prihvatljivih za okoliš (uključujući one s niskom razinom buke)</w:t>
            </w:r>
            <w:r>
              <w:rPr>
                <w:rFonts w:ascii="Calibri" w:hAnsi="Calibri"/>
              </w:rPr>
              <w:t xml:space="preserve"> i </w:t>
            </w:r>
            <w:r w:rsidRPr="00447A00">
              <w:rPr>
                <w:rFonts w:ascii="Calibri" w:hAnsi="Calibri"/>
              </w:rPr>
              <w:t>prometni sustavi sa niskim emisijama CO2,</w:t>
            </w:r>
            <w:r>
              <w:rPr>
                <w:rFonts w:ascii="Calibri" w:hAnsi="Calibri"/>
              </w:rPr>
              <w:t xml:space="preserve"> i </w:t>
            </w:r>
            <w:r w:rsidRPr="00447A00">
              <w:rPr>
                <w:rFonts w:ascii="Calibri" w:hAnsi="Calibri"/>
              </w:rPr>
              <w:t>doprinijeti će povećanju učešća javnog prijevoza putnika uz smanjene učešća osobnih vozila u ukupnom broju ostvarenih putovanja na području grada Zagreba,</w:t>
            </w:r>
            <w:r>
              <w:rPr>
                <w:rFonts w:ascii="Calibri" w:hAnsi="Calibri"/>
              </w:rPr>
              <w:t xml:space="preserve"> </w:t>
            </w:r>
            <w:r w:rsidRPr="00447A00">
              <w:rPr>
                <w:rFonts w:ascii="Calibri" w:hAnsi="Calibri"/>
              </w:rPr>
              <w:t>povećanju kvalitete javnog prijevoza općenito, povećanju sigurnosti</w:t>
            </w:r>
            <w:r>
              <w:rPr>
                <w:rFonts w:ascii="Calibri" w:hAnsi="Calibri"/>
              </w:rPr>
              <w:t xml:space="preserve"> </w:t>
            </w:r>
            <w:r w:rsidRPr="00447A00">
              <w:rPr>
                <w:rFonts w:ascii="Calibri" w:hAnsi="Calibri"/>
              </w:rPr>
              <w:t>sudionika u prometu te u povećanju mobilnosti građana.</w:t>
            </w:r>
          </w:p>
        </w:tc>
      </w:tr>
    </w:tbl>
    <w:p w14:paraId="4F2CDBAF" w14:textId="77777777" w:rsidR="000509A0" w:rsidRDefault="000509A0" w:rsidP="00EF5DA2"/>
    <w:p w14:paraId="057EC829" w14:textId="77777777" w:rsidR="000509A0" w:rsidRDefault="000509A0">
      <w:pPr>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2C5CC614" w14:textId="77777777" w:rsidTr="005808FC">
        <w:trPr>
          <w:trHeight w:val="359"/>
        </w:trPr>
        <w:tc>
          <w:tcPr>
            <w:tcW w:w="3415" w:type="dxa"/>
            <w:shd w:val="clear" w:color="auto" w:fill="C6D9F1" w:themeFill="text2" w:themeFillTint="33"/>
          </w:tcPr>
          <w:p w14:paraId="06F4B440"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lastRenderedPageBreak/>
              <w:t>Redni broj mjere</w:t>
            </w:r>
          </w:p>
        </w:tc>
        <w:tc>
          <w:tcPr>
            <w:tcW w:w="5601" w:type="dxa"/>
            <w:shd w:val="clear" w:color="auto" w:fill="C6D9F1" w:themeFill="text2" w:themeFillTint="33"/>
          </w:tcPr>
          <w:p w14:paraId="74B3AF66" w14:textId="77777777" w:rsidR="00EF5DA2" w:rsidRPr="005808FC" w:rsidRDefault="00EF5DA2" w:rsidP="005808FC">
            <w:pPr>
              <w:spacing w:after="0" w:line="240" w:lineRule="auto"/>
              <w:rPr>
                <w:rFonts w:eastAsia="Calibri" w:cs="Times New Roman"/>
                <w:b/>
                <w:bCs/>
                <w:strike/>
              </w:rPr>
            </w:pPr>
            <w:r w:rsidRPr="00291DF5">
              <w:rPr>
                <w:rFonts w:eastAsia="Calibri" w:cs="Times New Roman"/>
                <w:b/>
                <w:bCs/>
              </w:rPr>
              <w:t>12</w:t>
            </w:r>
          </w:p>
        </w:tc>
      </w:tr>
      <w:tr w:rsidR="00EF5DA2" w:rsidRPr="00447A00" w14:paraId="0080C6EA" w14:textId="77777777" w:rsidTr="005808FC">
        <w:trPr>
          <w:trHeight w:val="227"/>
        </w:trPr>
        <w:tc>
          <w:tcPr>
            <w:tcW w:w="3415" w:type="dxa"/>
            <w:shd w:val="clear" w:color="auto" w:fill="C6D9F1" w:themeFill="text2" w:themeFillTint="33"/>
          </w:tcPr>
          <w:p w14:paraId="7E27C800" w14:textId="77777777" w:rsidR="00EF5DA2" w:rsidRPr="005808FC" w:rsidRDefault="00EF5DA2" w:rsidP="005808FC">
            <w:pPr>
              <w:spacing w:after="0" w:line="240" w:lineRule="auto"/>
              <w:rPr>
                <w:rFonts w:eastAsia="Calibri" w:cs="Times New Roman"/>
                <w:b/>
                <w:bCs/>
              </w:rPr>
            </w:pPr>
            <w:r w:rsidRPr="00BF405C">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5730A6ED" w14:textId="76FD9CFA" w:rsidR="00EF5DA2" w:rsidRPr="005808FC" w:rsidRDefault="00EF5DA2" w:rsidP="005808FC">
            <w:pPr>
              <w:spacing w:after="0" w:line="240" w:lineRule="auto"/>
              <w:rPr>
                <w:rFonts w:eastAsia="Calibri" w:cs="Times New Roman"/>
                <w:b/>
                <w:bCs/>
              </w:rPr>
            </w:pPr>
            <w:r w:rsidRPr="00291DF5">
              <w:rPr>
                <w:rFonts w:eastAsia="Calibri" w:cs="Times New Roman"/>
                <w:b/>
                <w:bCs/>
              </w:rPr>
              <w:t>Uvođenje sustava za informiranje putnika</w:t>
            </w:r>
            <w:r w:rsidR="000509A0">
              <w:rPr>
                <w:rFonts w:eastAsia="Calibri" w:cs="Times New Roman"/>
                <w:b/>
                <w:bCs/>
              </w:rPr>
              <w:t xml:space="preserve"> i </w:t>
            </w:r>
            <w:r w:rsidRPr="00291DF5">
              <w:rPr>
                <w:rFonts w:eastAsia="Calibri" w:cs="Times New Roman"/>
                <w:b/>
                <w:bCs/>
              </w:rPr>
              <w:t>planiranje putovanja</w:t>
            </w:r>
            <w:r w:rsidR="00FA7738">
              <w:rPr>
                <w:rFonts w:eastAsia="Calibri" w:cs="Times New Roman"/>
                <w:b/>
                <w:bCs/>
              </w:rPr>
              <w:t xml:space="preserve"> kao dijela integriranog prijevoza putnika</w:t>
            </w:r>
          </w:p>
        </w:tc>
      </w:tr>
      <w:tr w:rsidR="00EF5DA2" w:rsidRPr="00447A00" w14:paraId="1874E6B1" w14:textId="77777777" w:rsidTr="005808FC">
        <w:trPr>
          <w:trHeight w:val="227"/>
        </w:trPr>
        <w:tc>
          <w:tcPr>
            <w:tcW w:w="3415" w:type="dxa"/>
            <w:shd w:val="clear" w:color="auto" w:fill="F2DBDB" w:themeFill="accent2" w:themeFillTint="33"/>
          </w:tcPr>
          <w:p w14:paraId="675BB94D" w14:textId="77777777" w:rsidR="00EF5DA2" w:rsidRPr="005808FC" w:rsidRDefault="00EF5DA2" w:rsidP="005808FC">
            <w:pPr>
              <w:spacing w:line="240" w:lineRule="auto"/>
              <w:rPr>
                <w:b/>
                <w:bCs/>
              </w:rPr>
            </w:pPr>
            <w:r w:rsidRPr="00291DF5">
              <w:rPr>
                <w:b/>
                <w:bCs/>
              </w:rPr>
              <w:t>Nositelji aktivnosti :</w:t>
            </w:r>
          </w:p>
        </w:tc>
        <w:tc>
          <w:tcPr>
            <w:tcW w:w="5601" w:type="dxa"/>
          </w:tcPr>
          <w:p w14:paraId="7924EBBF" w14:textId="27D51F38" w:rsidR="00EF5DA2" w:rsidRPr="00447A00" w:rsidRDefault="00EF5DA2" w:rsidP="00B26936">
            <w:pPr>
              <w:numPr>
                <w:ilvl w:val="0"/>
                <w:numId w:val="9"/>
              </w:numPr>
              <w:spacing w:after="0" w:line="240" w:lineRule="auto"/>
              <w:ind w:left="482" w:hanging="357"/>
            </w:pPr>
            <w:r w:rsidRPr="00447A00">
              <w:t>Integrirani promet zagrebačkog područja, d.o.o.</w:t>
            </w:r>
          </w:p>
        </w:tc>
      </w:tr>
      <w:tr w:rsidR="00EF5DA2" w:rsidRPr="00447A00" w14:paraId="762AEFE1" w14:textId="77777777" w:rsidTr="005808FC">
        <w:trPr>
          <w:trHeight w:val="227"/>
        </w:trPr>
        <w:tc>
          <w:tcPr>
            <w:tcW w:w="3415" w:type="dxa"/>
            <w:shd w:val="clear" w:color="auto" w:fill="F2DBDB" w:themeFill="accent2" w:themeFillTint="33"/>
          </w:tcPr>
          <w:p w14:paraId="57C2C1C8"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6590F94F" w14:textId="44D3414B" w:rsidR="00EF5DA2" w:rsidRDefault="00EF5DA2" w:rsidP="00B26936">
            <w:pPr>
              <w:numPr>
                <w:ilvl w:val="0"/>
                <w:numId w:val="9"/>
              </w:numPr>
              <w:spacing w:after="0" w:line="240" w:lineRule="auto"/>
              <w:ind w:left="482" w:hanging="357"/>
            </w:pPr>
            <w:r w:rsidRPr="00447A00">
              <w:t>Gradski ured za prostorno uređenje, komunalne poslove</w:t>
            </w:r>
            <w:r w:rsidR="000509A0">
              <w:t xml:space="preserve"> i </w:t>
            </w:r>
            <w:r w:rsidRPr="00447A00">
              <w:t>promet</w:t>
            </w:r>
          </w:p>
          <w:p w14:paraId="483F70B2" w14:textId="34B11355" w:rsidR="00FA7738" w:rsidRDefault="00FA7738" w:rsidP="00FA7738">
            <w:pPr>
              <w:numPr>
                <w:ilvl w:val="0"/>
                <w:numId w:val="9"/>
              </w:numPr>
              <w:spacing w:after="0" w:line="240" w:lineRule="auto"/>
              <w:ind w:left="482" w:hanging="357"/>
            </w:pPr>
            <w:r w:rsidRPr="002E3034">
              <w:t>Gradski ured za gospodarstvo, energetiku i zaštitu okoliša</w:t>
            </w:r>
            <w:r>
              <w:t>Z</w:t>
            </w:r>
            <w:r w:rsidR="00EF5DA2" w:rsidRPr="00447A00">
              <w:t>ET, d.o.o.</w:t>
            </w:r>
            <w:r w:rsidRPr="00447A00">
              <w:t xml:space="preserve"> </w:t>
            </w:r>
          </w:p>
          <w:p w14:paraId="06E5CF2B" w14:textId="7F3FA8E6" w:rsidR="00FA7738" w:rsidRPr="00447A00" w:rsidRDefault="00FA7738" w:rsidP="00FA7738">
            <w:pPr>
              <w:numPr>
                <w:ilvl w:val="0"/>
                <w:numId w:val="9"/>
              </w:numPr>
              <w:spacing w:after="0" w:line="240" w:lineRule="auto"/>
              <w:ind w:left="482" w:hanging="357"/>
            </w:pPr>
            <w:r w:rsidRPr="00447A00">
              <w:t>HŽ Infrastruktura, d.o.o.</w:t>
            </w:r>
          </w:p>
          <w:p w14:paraId="39494810" w14:textId="77777777" w:rsidR="00FA7738" w:rsidRPr="00447A00" w:rsidRDefault="00FA7738" w:rsidP="00FA7738">
            <w:pPr>
              <w:numPr>
                <w:ilvl w:val="0"/>
                <w:numId w:val="9"/>
              </w:numPr>
              <w:spacing w:after="0" w:line="240" w:lineRule="auto"/>
              <w:ind w:left="482" w:hanging="357"/>
            </w:pPr>
            <w:r w:rsidRPr="00447A00">
              <w:t>HŽ Putnički prijevoz, d.o.o.</w:t>
            </w:r>
          </w:p>
          <w:p w14:paraId="68112E52" w14:textId="4A214099" w:rsidR="00EF5DA2" w:rsidRPr="00447A00" w:rsidDel="00436CBA" w:rsidRDefault="00EF5DA2">
            <w:pPr>
              <w:numPr>
                <w:ilvl w:val="0"/>
                <w:numId w:val="9"/>
              </w:numPr>
              <w:spacing w:after="0" w:line="240" w:lineRule="auto"/>
              <w:ind w:left="482" w:hanging="357"/>
            </w:pPr>
          </w:p>
        </w:tc>
      </w:tr>
      <w:tr w:rsidR="004320F6" w:rsidRPr="00447A00" w14:paraId="11553A20" w14:textId="77777777" w:rsidTr="005808FC">
        <w:trPr>
          <w:trHeight w:val="227"/>
        </w:trPr>
        <w:tc>
          <w:tcPr>
            <w:tcW w:w="3415" w:type="dxa"/>
            <w:shd w:val="clear" w:color="auto" w:fill="F2DBDB" w:themeFill="accent2" w:themeFillTint="33"/>
          </w:tcPr>
          <w:p w14:paraId="605E8623" w14:textId="20E05AC7" w:rsidR="004320F6" w:rsidRPr="005808FC" w:rsidRDefault="004320F6" w:rsidP="005808FC">
            <w:pPr>
              <w:spacing w:line="240" w:lineRule="auto"/>
              <w:rPr>
                <w:b/>
                <w:bCs/>
              </w:rPr>
            </w:pPr>
            <w:r w:rsidRPr="00291DF5">
              <w:rPr>
                <w:b/>
                <w:bCs/>
              </w:rPr>
              <w:t>Ostali uključeni dionici:</w:t>
            </w:r>
          </w:p>
        </w:tc>
        <w:tc>
          <w:tcPr>
            <w:tcW w:w="5601" w:type="dxa"/>
          </w:tcPr>
          <w:p w14:paraId="61E9EA66" w14:textId="78B8023F" w:rsidR="004320F6" w:rsidRPr="00447A00" w:rsidRDefault="004320F6" w:rsidP="7FF51287">
            <w:pPr>
              <w:numPr>
                <w:ilvl w:val="0"/>
                <w:numId w:val="9"/>
              </w:numPr>
              <w:spacing w:after="0" w:line="240" w:lineRule="auto"/>
              <w:ind w:left="482" w:hanging="357"/>
            </w:pPr>
            <w:r w:rsidRPr="00447A00">
              <w:t>Ministarstvo mora, prometa</w:t>
            </w:r>
            <w:r w:rsidR="000509A0">
              <w:t xml:space="preserve"> i </w:t>
            </w:r>
            <w:r w:rsidRPr="00447A00">
              <w:t>infrastrukture</w:t>
            </w:r>
          </w:p>
          <w:p w14:paraId="254CE0B5" w14:textId="4005A9F0" w:rsidR="004320F6" w:rsidRPr="00447A00" w:rsidRDefault="004320F6" w:rsidP="7FF51287">
            <w:pPr>
              <w:numPr>
                <w:ilvl w:val="0"/>
                <w:numId w:val="9"/>
              </w:numPr>
              <w:spacing w:after="0" w:line="240" w:lineRule="auto"/>
              <w:ind w:left="482" w:hanging="357"/>
            </w:pPr>
          </w:p>
        </w:tc>
      </w:tr>
      <w:tr w:rsidR="00EF5DA2" w:rsidRPr="00447A00" w14:paraId="5E482FD6" w14:textId="77777777" w:rsidTr="005808FC">
        <w:trPr>
          <w:trHeight w:val="227"/>
        </w:trPr>
        <w:tc>
          <w:tcPr>
            <w:tcW w:w="3415" w:type="dxa"/>
            <w:shd w:val="clear" w:color="auto" w:fill="F2DBDB" w:themeFill="accent2" w:themeFillTint="33"/>
          </w:tcPr>
          <w:p w14:paraId="684180C0" w14:textId="77777777" w:rsidR="00EF5DA2" w:rsidRPr="005808FC" w:rsidRDefault="00EF5DA2" w:rsidP="005808FC">
            <w:pPr>
              <w:spacing w:line="240" w:lineRule="auto"/>
              <w:rPr>
                <w:b/>
                <w:bCs/>
              </w:rPr>
            </w:pPr>
            <w:r w:rsidRPr="005808FC">
              <w:rPr>
                <w:b/>
                <w:bCs/>
              </w:rPr>
              <w:t>Početak/kraj provedbe (godine)</w:t>
            </w:r>
          </w:p>
        </w:tc>
        <w:tc>
          <w:tcPr>
            <w:tcW w:w="5601" w:type="dxa"/>
          </w:tcPr>
          <w:p w14:paraId="33F522E3" w14:textId="2E04D1EB" w:rsidR="00EF5DA2" w:rsidRPr="005808FC" w:rsidRDefault="004320F6" w:rsidP="00B26936">
            <w:pPr>
              <w:spacing w:after="0" w:line="240" w:lineRule="auto"/>
              <w:rPr>
                <w:rFonts w:eastAsia="Calibri" w:cstheme="minorHAnsi"/>
                <w:b/>
              </w:rPr>
            </w:pPr>
            <w:r w:rsidRPr="005808FC">
              <w:rPr>
                <w:rFonts w:eastAsia="Calibri" w:cstheme="minorHAnsi"/>
                <w:b/>
              </w:rPr>
              <w:t>2021-2023</w:t>
            </w:r>
          </w:p>
        </w:tc>
      </w:tr>
      <w:tr w:rsidR="00B25B9E" w:rsidRPr="00447A00" w14:paraId="22FD1669" w14:textId="77777777" w:rsidTr="005808FC">
        <w:trPr>
          <w:trHeight w:val="227"/>
        </w:trPr>
        <w:tc>
          <w:tcPr>
            <w:tcW w:w="3415" w:type="dxa"/>
            <w:shd w:val="clear" w:color="auto" w:fill="F2DBDB" w:themeFill="accent2" w:themeFillTint="33"/>
          </w:tcPr>
          <w:p w14:paraId="3BB297AE" w14:textId="60C5B3FC" w:rsidR="00B25B9E" w:rsidRPr="005808FC" w:rsidRDefault="00B25B9E" w:rsidP="005808FC">
            <w:pPr>
              <w:spacing w:line="240" w:lineRule="auto"/>
              <w:rPr>
                <w:b/>
                <w:bCs/>
              </w:rPr>
            </w:pPr>
            <w:r w:rsidRPr="00291DF5">
              <w:rPr>
                <w:b/>
                <w:bCs/>
              </w:rPr>
              <w:t>Procjena uštede (MWh)</w:t>
            </w:r>
          </w:p>
        </w:tc>
        <w:tc>
          <w:tcPr>
            <w:tcW w:w="5601" w:type="dxa"/>
          </w:tcPr>
          <w:p w14:paraId="4D71D4CA" w14:textId="21FB2F4D" w:rsidR="00B25B9E" w:rsidRPr="005808FC" w:rsidRDefault="003028D1" w:rsidP="00B25B9E">
            <w:pPr>
              <w:spacing w:after="0" w:line="240" w:lineRule="auto"/>
              <w:rPr>
                <w:rFonts w:eastAsia="Calibri" w:cstheme="minorHAnsi"/>
                <w:b/>
              </w:rPr>
            </w:pPr>
            <w:r w:rsidRPr="00746AAC">
              <w:rPr>
                <w:b/>
              </w:rPr>
              <w:t>82.027,8</w:t>
            </w:r>
          </w:p>
        </w:tc>
      </w:tr>
      <w:tr w:rsidR="00B25B9E" w:rsidRPr="00447A00" w14:paraId="48A4E10A" w14:textId="77777777" w:rsidTr="005808FC">
        <w:trPr>
          <w:trHeight w:val="227"/>
        </w:trPr>
        <w:tc>
          <w:tcPr>
            <w:tcW w:w="3415" w:type="dxa"/>
            <w:shd w:val="clear" w:color="auto" w:fill="F2DBDB" w:themeFill="accent2" w:themeFillTint="33"/>
          </w:tcPr>
          <w:p w14:paraId="6251897E" w14:textId="77777777" w:rsidR="00B25B9E" w:rsidRPr="005808FC" w:rsidRDefault="00B25B9E" w:rsidP="005808FC">
            <w:pPr>
              <w:spacing w:line="240" w:lineRule="auto"/>
              <w:rPr>
                <w:b/>
                <w:bCs/>
              </w:rPr>
            </w:pPr>
            <w:r w:rsidRPr="00291DF5">
              <w:rPr>
                <w:b/>
                <w:bCs/>
              </w:rPr>
              <w:t>Procjena smanjenja emisije (t CO2)</w:t>
            </w:r>
          </w:p>
        </w:tc>
        <w:tc>
          <w:tcPr>
            <w:tcW w:w="5601" w:type="dxa"/>
          </w:tcPr>
          <w:p w14:paraId="6D148E52" w14:textId="1A7FC47B" w:rsidR="00B25B9E" w:rsidRPr="005808FC" w:rsidRDefault="000C4B6A" w:rsidP="00B25B9E">
            <w:pPr>
              <w:spacing w:after="0" w:line="240" w:lineRule="auto"/>
              <w:rPr>
                <w:rFonts w:eastAsia="Calibri" w:cstheme="minorHAnsi"/>
                <w:b/>
              </w:rPr>
            </w:pPr>
            <w:r w:rsidRPr="000C4B6A">
              <w:rPr>
                <w:rFonts w:cstheme="minorHAnsi"/>
                <w:b/>
              </w:rPr>
              <w:t>20.999,5</w:t>
            </w:r>
          </w:p>
        </w:tc>
      </w:tr>
      <w:tr w:rsidR="00EF5DA2" w:rsidRPr="00447A00" w14:paraId="6AE392C8" w14:textId="77777777" w:rsidTr="005808FC">
        <w:trPr>
          <w:trHeight w:val="227"/>
        </w:trPr>
        <w:tc>
          <w:tcPr>
            <w:tcW w:w="3415" w:type="dxa"/>
            <w:shd w:val="clear" w:color="auto" w:fill="F2DBDB" w:themeFill="accent2" w:themeFillTint="33"/>
          </w:tcPr>
          <w:p w14:paraId="73E6766E" w14:textId="77777777" w:rsidR="00EF5DA2" w:rsidRPr="005808FC" w:rsidRDefault="00EF5DA2" w:rsidP="005808FC">
            <w:pPr>
              <w:spacing w:line="240" w:lineRule="auto"/>
              <w:rPr>
                <w:b/>
                <w:bCs/>
              </w:rPr>
            </w:pPr>
            <w:r w:rsidRPr="00291DF5">
              <w:rPr>
                <w:b/>
                <w:bCs/>
              </w:rPr>
              <w:t>Izvor sredstava za provedbu</w:t>
            </w:r>
          </w:p>
        </w:tc>
        <w:tc>
          <w:tcPr>
            <w:tcW w:w="5601" w:type="dxa"/>
          </w:tcPr>
          <w:p w14:paraId="6B5A5B36" w14:textId="77777777" w:rsidR="00EF5DA2" w:rsidRPr="00447A00" w:rsidRDefault="00EF5DA2" w:rsidP="00B26936">
            <w:pPr>
              <w:numPr>
                <w:ilvl w:val="0"/>
                <w:numId w:val="9"/>
              </w:numPr>
              <w:spacing w:after="0" w:line="240" w:lineRule="auto"/>
              <w:ind w:left="482" w:hanging="357"/>
            </w:pPr>
            <w:r w:rsidRPr="00447A00">
              <w:t>Gradski proračun</w:t>
            </w:r>
          </w:p>
          <w:p w14:paraId="046A0D33" w14:textId="77777777" w:rsidR="00EF5DA2" w:rsidRPr="00447A00" w:rsidRDefault="00EF5DA2" w:rsidP="00B26936">
            <w:pPr>
              <w:numPr>
                <w:ilvl w:val="0"/>
                <w:numId w:val="9"/>
              </w:numPr>
              <w:spacing w:after="0" w:line="240" w:lineRule="auto"/>
              <w:ind w:left="482" w:hanging="357"/>
            </w:pPr>
            <w:r w:rsidRPr="00447A00">
              <w:t>Državni proračun</w:t>
            </w:r>
          </w:p>
          <w:p w14:paraId="428E1046" w14:textId="77777777" w:rsidR="000D58DB" w:rsidRPr="00447A00" w:rsidRDefault="000D58DB" w:rsidP="000D58DB">
            <w:pPr>
              <w:numPr>
                <w:ilvl w:val="0"/>
                <w:numId w:val="9"/>
              </w:numPr>
              <w:spacing w:after="0" w:line="240" w:lineRule="auto"/>
              <w:ind w:left="482" w:hanging="357"/>
            </w:pPr>
            <w:r w:rsidRPr="00447A00">
              <w:t>E</w:t>
            </w:r>
            <w:r>
              <w:t>uropski strukturni i investicijski fondovi</w:t>
            </w:r>
          </w:p>
          <w:p w14:paraId="6A757B05" w14:textId="77777777" w:rsidR="00EF5DA2" w:rsidRPr="00447A00" w:rsidRDefault="00EF5DA2" w:rsidP="00B26936">
            <w:pPr>
              <w:numPr>
                <w:ilvl w:val="0"/>
                <w:numId w:val="9"/>
              </w:numPr>
              <w:spacing w:after="0" w:line="240" w:lineRule="auto"/>
              <w:ind w:left="482" w:hanging="357"/>
            </w:pPr>
            <w:r w:rsidRPr="00447A00">
              <w:t>Proračun ZET, d.o.o.</w:t>
            </w:r>
          </w:p>
          <w:p w14:paraId="37FD523F" w14:textId="77777777" w:rsidR="00EF5DA2" w:rsidRPr="00447A00" w:rsidRDefault="00EF5DA2" w:rsidP="00B26936">
            <w:pPr>
              <w:numPr>
                <w:ilvl w:val="0"/>
                <w:numId w:val="9"/>
              </w:numPr>
              <w:spacing w:after="0" w:line="240" w:lineRule="auto"/>
              <w:ind w:left="482" w:hanging="357"/>
            </w:pPr>
            <w:r w:rsidRPr="00447A00">
              <w:t>EIB/EBRD/HBOR</w:t>
            </w:r>
          </w:p>
          <w:p w14:paraId="0C491627" w14:textId="77777777" w:rsidR="00EF5DA2" w:rsidRPr="00447A00" w:rsidRDefault="00EF5DA2" w:rsidP="00B26936">
            <w:pPr>
              <w:numPr>
                <w:ilvl w:val="0"/>
                <w:numId w:val="9"/>
              </w:numPr>
              <w:spacing w:after="0" w:line="240" w:lineRule="auto"/>
              <w:ind w:left="482" w:hanging="357"/>
            </w:pPr>
            <w:r w:rsidRPr="00447A00">
              <w:t>Komercijalne banke</w:t>
            </w:r>
          </w:p>
        </w:tc>
      </w:tr>
      <w:tr w:rsidR="00EF5DA2" w:rsidRPr="00447A00" w14:paraId="7929CB9C" w14:textId="77777777" w:rsidTr="005808FC">
        <w:trPr>
          <w:trHeight w:val="983"/>
        </w:trPr>
        <w:tc>
          <w:tcPr>
            <w:tcW w:w="3415" w:type="dxa"/>
            <w:shd w:val="clear" w:color="auto" w:fill="F2DBDB" w:themeFill="accent2" w:themeFillTint="33"/>
          </w:tcPr>
          <w:p w14:paraId="378300D6" w14:textId="77777777" w:rsidR="00EF5DA2" w:rsidRPr="005808FC" w:rsidRDefault="00EF5DA2" w:rsidP="005808FC">
            <w:pPr>
              <w:spacing w:line="240" w:lineRule="auto"/>
              <w:rPr>
                <w:b/>
                <w:bCs/>
              </w:rPr>
            </w:pPr>
            <w:r w:rsidRPr="00291DF5">
              <w:rPr>
                <w:b/>
                <w:bCs/>
              </w:rPr>
              <w:t>Kratki opis/komentar</w:t>
            </w:r>
          </w:p>
        </w:tc>
        <w:tc>
          <w:tcPr>
            <w:tcW w:w="5601" w:type="dxa"/>
          </w:tcPr>
          <w:p w14:paraId="37C3E716" w14:textId="30ABA741" w:rsidR="00EF5DA2" w:rsidRPr="00447A00" w:rsidRDefault="00EF5DA2" w:rsidP="00B26936">
            <w:pPr>
              <w:spacing w:line="240" w:lineRule="auto"/>
              <w:rPr>
                <w:rFonts w:ascii="Calibri" w:hAnsi="Calibri"/>
              </w:rPr>
            </w:pPr>
            <w:r w:rsidRPr="00447A00">
              <w:rPr>
                <w:rFonts w:ascii="Calibri" w:hAnsi="Calibri"/>
              </w:rPr>
              <w:t>Sustav za informiranje korisnika usluga javnog gradskog prijevoza putnika ključni je komunikacijski kanal između pružatelja usluge</w:t>
            </w:r>
            <w:r w:rsidR="000509A0">
              <w:rPr>
                <w:rFonts w:ascii="Calibri" w:hAnsi="Calibri"/>
              </w:rPr>
              <w:t xml:space="preserve"> i </w:t>
            </w:r>
            <w:r w:rsidRPr="00447A00">
              <w:rPr>
                <w:rFonts w:ascii="Calibri" w:hAnsi="Calibri"/>
              </w:rPr>
              <w:t>krajnjih korisnika. Sustavi informiranja putnika</w:t>
            </w:r>
            <w:r w:rsidR="000509A0">
              <w:rPr>
                <w:rFonts w:ascii="Calibri" w:hAnsi="Calibri"/>
              </w:rPr>
              <w:t xml:space="preserve"> i </w:t>
            </w:r>
            <w:r w:rsidRPr="00447A00">
              <w:rPr>
                <w:rFonts w:ascii="Calibri" w:hAnsi="Calibri"/>
              </w:rPr>
              <w:t>vozača obuhvaćaju usluge informiranja putnika kroz usluge pred</w:t>
            </w:r>
            <w:r w:rsidR="00036FA7">
              <w:rPr>
                <w:rFonts w:ascii="Calibri" w:hAnsi="Calibri"/>
              </w:rPr>
              <w:t>-</w:t>
            </w:r>
            <w:r w:rsidRPr="00447A00">
              <w:rPr>
                <w:rFonts w:ascii="Calibri" w:hAnsi="Calibri"/>
              </w:rPr>
              <w:t>putnog</w:t>
            </w:r>
            <w:r w:rsidR="000509A0">
              <w:rPr>
                <w:rFonts w:ascii="Calibri" w:hAnsi="Calibri"/>
              </w:rPr>
              <w:t xml:space="preserve"> i </w:t>
            </w:r>
            <w:r w:rsidRPr="00447A00">
              <w:rPr>
                <w:rFonts w:ascii="Calibri" w:hAnsi="Calibri"/>
              </w:rPr>
              <w:t>putnog informiranja korištenjem statičkih</w:t>
            </w:r>
            <w:r w:rsidR="000509A0">
              <w:rPr>
                <w:rFonts w:ascii="Calibri" w:hAnsi="Calibri"/>
              </w:rPr>
              <w:t xml:space="preserve"> i </w:t>
            </w:r>
            <w:r w:rsidRPr="00447A00">
              <w:rPr>
                <w:rFonts w:ascii="Calibri" w:hAnsi="Calibri"/>
              </w:rPr>
              <w:t>dinamičkih informacija. Najveća prednost implementacije ovog sustava jest pružanje pravovremene</w:t>
            </w:r>
            <w:r w:rsidR="000509A0">
              <w:rPr>
                <w:rFonts w:ascii="Calibri" w:hAnsi="Calibri"/>
              </w:rPr>
              <w:t xml:space="preserve"> i </w:t>
            </w:r>
            <w:r w:rsidRPr="00447A00">
              <w:rPr>
                <w:rFonts w:ascii="Calibri" w:hAnsi="Calibri"/>
              </w:rPr>
              <w:t xml:space="preserve">točne informacije putniku te povećanje pouzdanosti predviđanja trajanja putovanja, </w:t>
            </w:r>
            <w:r w:rsidRPr="00036FA7">
              <w:rPr>
                <w:rFonts w:ascii="Calibri" w:hAnsi="Calibri"/>
              </w:rPr>
              <w:t>čime se bitno povećava kvaliteta usluge javnog prijevoza, što dovodi do povećanja broja korisnika te smanjenja korištenja osobnih vozila.</w:t>
            </w:r>
            <w:r w:rsidRPr="00447A00">
              <w:rPr>
                <w:rFonts w:ascii="Calibri" w:hAnsi="Calibri"/>
              </w:rPr>
              <w:t xml:space="preserve"> Povećava se percepcija brige</w:t>
            </w:r>
            <w:r w:rsidR="000509A0">
              <w:rPr>
                <w:rFonts w:ascii="Calibri" w:hAnsi="Calibri"/>
              </w:rPr>
              <w:t xml:space="preserve"> i </w:t>
            </w:r>
            <w:r w:rsidRPr="00447A00">
              <w:rPr>
                <w:rFonts w:ascii="Calibri" w:hAnsi="Calibri"/>
              </w:rPr>
              <w:t>boljeg odnosa prema korisnicima te se smanjuje percepcija vremena čekanja. odnosno minimizira negativan utjecaj eventualnog kašnjenja vozila javnog gradskog prijevoza.</w:t>
            </w:r>
          </w:p>
          <w:p w14:paraId="71850C8F" w14:textId="04DF5657" w:rsidR="00EF5DA2" w:rsidRPr="00447A00" w:rsidRDefault="00EF5DA2" w:rsidP="00B26936">
            <w:pPr>
              <w:spacing w:line="240" w:lineRule="auto"/>
              <w:rPr>
                <w:rFonts w:ascii="Calibri" w:hAnsi="Calibri"/>
              </w:rPr>
            </w:pPr>
            <w:r w:rsidRPr="00447A00">
              <w:rPr>
                <w:rFonts w:ascii="Calibri" w:hAnsi="Calibri"/>
              </w:rPr>
              <w:t>Ova mjera doprinosi ostvarivanju ciljeva Strategije prometnog razvoja RH (Cilj 4: Unapređenje pristupačnosti u putničkom prometu unutar</w:t>
            </w:r>
            <w:r w:rsidR="000509A0">
              <w:rPr>
                <w:rFonts w:ascii="Calibri" w:hAnsi="Calibri"/>
              </w:rPr>
              <w:t xml:space="preserve"> i </w:t>
            </w:r>
            <w:r w:rsidRPr="00447A00">
              <w:rPr>
                <w:rFonts w:ascii="Calibri" w:hAnsi="Calibri"/>
              </w:rPr>
              <w:t>prema glavnim urbanim</w:t>
            </w:r>
            <w:r w:rsidR="00B25B9E">
              <w:rPr>
                <w:rFonts w:ascii="Calibri" w:hAnsi="Calibri"/>
              </w:rPr>
              <w:t xml:space="preserve"> </w:t>
            </w:r>
            <w:r w:rsidRPr="00447A00">
              <w:rPr>
                <w:rFonts w:ascii="Calibri" w:hAnsi="Calibri"/>
              </w:rPr>
              <w:t>aglomeracijama – posebice 4a Unapređenje pristupačnosti u putničkom prometu – čvorište Zagreb; Cilj 6: Unapređenje prometnog sustava u smislu organizacije</w:t>
            </w:r>
            <w:r w:rsidR="000509A0">
              <w:rPr>
                <w:rFonts w:ascii="Calibri" w:hAnsi="Calibri"/>
              </w:rPr>
              <w:t xml:space="preserve"> i </w:t>
            </w:r>
            <w:r w:rsidRPr="00447A00">
              <w:rPr>
                <w:rFonts w:ascii="Calibri" w:hAnsi="Calibri"/>
              </w:rPr>
              <w:t xml:space="preserve">operativnog ustrojstva, a posebice: 6c Unapređenje operativnih postavki sustava, 6d Unapređenje sigurnosti prometnog sustava, 6e </w:t>
            </w:r>
            <w:r w:rsidRPr="00447A00">
              <w:rPr>
                <w:rFonts w:ascii="Calibri" w:hAnsi="Calibri"/>
              </w:rPr>
              <w:lastRenderedPageBreak/>
              <w:t>Smanjenje/ublažavanje utjecaja na okoliš,</w:t>
            </w:r>
            <w:r w:rsidR="00B25B9E">
              <w:rPr>
                <w:rFonts w:ascii="Calibri" w:hAnsi="Calibri"/>
              </w:rPr>
              <w:t xml:space="preserve"> </w:t>
            </w:r>
            <w:r w:rsidRPr="00447A00">
              <w:rPr>
                <w:rFonts w:ascii="Calibri" w:hAnsi="Calibri"/>
              </w:rPr>
              <w:t>6f</w:t>
            </w:r>
            <w:r w:rsidR="00B25B9E">
              <w:rPr>
                <w:rFonts w:ascii="Calibri" w:hAnsi="Calibri"/>
              </w:rPr>
              <w:t xml:space="preserve"> </w:t>
            </w:r>
            <w:r w:rsidRPr="00447A00">
              <w:rPr>
                <w:rFonts w:ascii="Calibri" w:hAnsi="Calibri"/>
              </w:rPr>
              <w:t>Unapređenje ekološke učinkovitosti, 6g</w:t>
            </w:r>
            <w:r w:rsidR="00B25B9E">
              <w:rPr>
                <w:rFonts w:ascii="Calibri" w:hAnsi="Calibri"/>
              </w:rPr>
              <w:t xml:space="preserve"> </w:t>
            </w:r>
            <w:r w:rsidRPr="00447A00">
              <w:rPr>
                <w:rFonts w:ascii="Calibri" w:hAnsi="Calibri"/>
              </w:rPr>
              <w:t>Financijska održivost prometnog sustava)</w:t>
            </w:r>
            <w:r w:rsidR="000509A0">
              <w:rPr>
                <w:rFonts w:ascii="Calibri" w:hAnsi="Calibri"/>
              </w:rPr>
              <w:t xml:space="preserve"> i </w:t>
            </w:r>
            <w:r w:rsidRPr="00447A00">
              <w:rPr>
                <w:rFonts w:ascii="Calibri" w:hAnsi="Calibri"/>
              </w:rPr>
              <w:t>OP konkurentnost</w:t>
            </w:r>
            <w:r w:rsidR="000509A0">
              <w:rPr>
                <w:rFonts w:ascii="Calibri" w:hAnsi="Calibri"/>
              </w:rPr>
              <w:t xml:space="preserve"> i </w:t>
            </w:r>
            <w:r w:rsidRPr="00447A00">
              <w:rPr>
                <w:rFonts w:ascii="Calibri" w:hAnsi="Calibri"/>
              </w:rPr>
              <w:t>kohezija, predloženi projekt je usklađen s mjerama navedenim u slijedećem strateškom dokumentu Grada Zagreba: ZAGREBPLAN 2020+ ( C4.P4‐M3 Unapređivanje javnog putničkog prometa, C4.P4‐M6 Unapređivanje biciklističkog prometa</w:t>
            </w:r>
            <w:r w:rsidR="000509A0">
              <w:rPr>
                <w:rFonts w:ascii="Calibri" w:hAnsi="Calibri"/>
              </w:rPr>
              <w:t xml:space="preserve"> i </w:t>
            </w:r>
            <w:r w:rsidRPr="00447A00">
              <w:rPr>
                <w:rFonts w:ascii="Calibri" w:hAnsi="Calibri"/>
              </w:rPr>
              <w:t>C4.P4‐M8 Povećanje sigurnosti sudionika u prometu).</w:t>
            </w:r>
          </w:p>
          <w:p w14:paraId="183660BC" w14:textId="6CAED305" w:rsidR="00EF5DA2" w:rsidRPr="00447A00" w:rsidRDefault="00EF5DA2" w:rsidP="00B26936">
            <w:pPr>
              <w:spacing w:line="240" w:lineRule="auto"/>
              <w:rPr>
                <w:rFonts w:ascii="Century Gothic" w:hAnsi="Century Gothic"/>
                <w:sz w:val="18"/>
                <w:szCs w:val="18"/>
              </w:rPr>
            </w:pPr>
            <w:r w:rsidRPr="00447A00">
              <w:rPr>
                <w:rFonts w:ascii="Calibri" w:hAnsi="Calibri"/>
              </w:rPr>
              <w:t>Realizacija mjere</w:t>
            </w:r>
            <w:r w:rsidR="00B25B9E">
              <w:rPr>
                <w:rFonts w:ascii="Calibri" w:hAnsi="Calibri"/>
              </w:rPr>
              <w:t xml:space="preserve"> </w:t>
            </w:r>
            <w:r w:rsidRPr="00447A00">
              <w:rPr>
                <w:rFonts w:ascii="Calibri" w:hAnsi="Calibri"/>
              </w:rPr>
              <w:t>u skladu je s specifičnim ciljem OP Konkurentnost</w:t>
            </w:r>
            <w:r w:rsidR="000509A0">
              <w:rPr>
                <w:rFonts w:ascii="Calibri" w:hAnsi="Calibri"/>
              </w:rPr>
              <w:t xml:space="preserve"> i </w:t>
            </w:r>
            <w:r w:rsidRPr="00447A00">
              <w:rPr>
                <w:rFonts w:ascii="Calibri" w:hAnsi="Calibri"/>
              </w:rPr>
              <w:t>kohezija 7ii2 -Razvoj</w:t>
            </w:r>
            <w:r w:rsidR="000509A0">
              <w:rPr>
                <w:rFonts w:ascii="Calibri" w:hAnsi="Calibri"/>
              </w:rPr>
              <w:t xml:space="preserve"> i </w:t>
            </w:r>
            <w:r w:rsidRPr="00447A00">
              <w:rPr>
                <w:rFonts w:ascii="Calibri" w:hAnsi="Calibri"/>
              </w:rPr>
              <w:t>unapređenje prometnih sustava prihvatljivih za okoliš (uključujući one s niskom razinom buke)</w:t>
            </w:r>
            <w:r w:rsidR="000509A0">
              <w:rPr>
                <w:rFonts w:ascii="Calibri" w:hAnsi="Calibri"/>
              </w:rPr>
              <w:t xml:space="preserve"> i </w:t>
            </w:r>
            <w:r w:rsidRPr="00447A00">
              <w:rPr>
                <w:rFonts w:ascii="Calibri" w:hAnsi="Calibri"/>
              </w:rPr>
              <w:t>prometni sustavi sa niskim emisijama CO2,</w:t>
            </w:r>
            <w:r w:rsidR="000509A0">
              <w:rPr>
                <w:rFonts w:ascii="Calibri" w:hAnsi="Calibri"/>
              </w:rPr>
              <w:t xml:space="preserve"> i </w:t>
            </w:r>
            <w:r w:rsidRPr="00447A00">
              <w:rPr>
                <w:rFonts w:ascii="Calibri" w:hAnsi="Calibri"/>
              </w:rPr>
              <w:t>doprinijeti će povećanju učešća javnog prijevoza putnika uz smanjene učešća osobnih vozila u ukupnom broju ostvarenih putovanja na području grada Zagreba,</w:t>
            </w:r>
            <w:r w:rsidR="00B25B9E">
              <w:rPr>
                <w:rFonts w:ascii="Calibri" w:hAnsi="Calibri"/>
              </w:rPr>
              <w:t xml:space="preserve"> </w:t>
            </w:r>
            <w:r w:rsidRPr="00447A00">
              <w:rPr>
                <w:rFonts w:ascii="Calibri" w:hAnsi="Calibri"/>
              </w:rPr>
              <w:t>povećanju kvalitete javnog prijevoza općenito, povećanju sigurnosti</w:t>
            </w:r>
            <w:r w:rsidR="00B25B9E">
              <w:rPr>
                <w:rFonts w:ascii="Calibri" w:hAnsi="Calibri"/>
              </w:rPr>
              <w:t xml:space="preserve"> </w:t>
            </w:r>
            <w:r w:rsidRPr="00447A00">
              <w:rPr>
                <w:rFonts w:ascii="Calibri" w:hAnsi="Calibri"/>
              </w:rPr>
              <w:t>sudionika u prometu te u povećanju mobilnosti građana</w:t>
            </w:r>
            <w:r>
              <w:t xml:space="preserve">. </w:t>
            </w:r>
          </w:p>
        </w:tc>
      </w:tr>
    </w:tbl>
    <w:p w14:paraId="5DBD59F8" w14:textId="3CA9E43B" w:rsidR="00B25B9E" w:rsidRDefault="00B25B9E">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7F893286" w14:textId="77777777" w:rsidTr="005808FC">
        <w:trPr>
          <w:trHeight w:val="359"/>
        </w:trPr>
        <w:tc>
          <w:tcPr>
            <w:tcW w:w="3415" w:type="dxa"/>
            <w:shd w:val="clear" w:color="auto" w:fill="C6D9F1" w:themeFill="text2" w:themeFillTint="33"/>
          </w:tcPr>
          <w:p w14:paraId="331C2A81"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5A9775A5" w14:textId="77777777" w:rsidR="00EF5DA2" w:rsidRPr="005808FC" w:rsidRDefault="00EF5DA2" w:rsidP="005808FC">
            <w:pPr>
              <w:spacing w:after="0" w:line="240" w:lineRule="auto"/>
              <w:rPr>
                <w:rFonts w:eastAsia="Calibri" w:cs="Times New Roman"/>
                <w:b/>
                <w:bCs/>
                <w:strike/>
              </w:rPr>
            </w:pPr>
            <w:r w:rsidRPr="00291DF5">
              <w:rPr>
                <w:rFonts w:eastAsia="Calibri" w:cs="Times New Roman"/>
                <w:b/>
                <w:bCs/>
              </w:rPr>
              <w:t>13</w:t>
            </w:r>
          </w:p>
        </w:tc>
      </w:tr>
      <w:tr w:rsidR="00EF5DA2" w:rsidRPr="00447A00" w14:paraId="0A4A23E1" w14:textId="77777777" w:rsidTr="005808FC">
        <w:trPr>
          <w:trHeight w:val="227"/>
        </w:trPr>
        <w:tc>
          <w:tcPr>
            <w:tcW w:w="3415" w:type="dxa"/>
            <w:shd w:val="clear" w:color="auto" w:fill="C6D9F1" w:themeFill="text2" w:themeFillTint="33"/>
          </w:tcPr>
          <w:p w14:paraId="4D643AFC" w14:textId="77777777" w:rsidR="00EF5DA2" w:rsidRPr="005808FC" w:rsidRDefault="00EF5DA2" w:rsidP="005808FC">
            <w:pPr>
              <w:spacing w:after="0" w:line="240" w:lineRule="auto"/>
              <w:rPr>
                <w:rFonts w:eastAsia="Calibri" w:cs="Times New Roman"/>
                <w:b/>
                <w:bCs/>
              </w:rPr>
            </w:pPr>
            <w:r w:rsidRPr="00BF405C">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1937BC93" w14:textId="38D60EA5" w:rsidR="00EF5DA2" w:rsidRPr="005808FC" w:rsidRDefault="00EF5DA2" w:rsidP="005808FC">
            <w:pPr>
              <w:spacing w:after="0" w:line="240" w:lineRule="auto"/>
              <w:rPr>
                <w:rFonts w:eastAsia="Calibri" w:cs="Times New Roman"/>
                <w:b/>
                <w:bCs/>
              </w:rPr>
            </w:pPr>
            <w:r w:rsidRPr="00291DF5">
              <w:rPr>
                <w:rFonts w:eastAsia="Calibri" w:cs="Times New Roman"/>
                <w:b/>
                <w:bCs/>
              </w:rPr>
              <w:t>Uvođenje sustava jedinstvene vozne karte</w:t>
            </w:r>
            <w:r w:rsidR="00FA7738">
              <w:rPr>
                <w:rFonts w:eastAsia="Calibri" w:cs="Times New Roman"/>
                <w:b/>
                <w:bCs/>
              </w:rPr>
              <w:t xml:space="preserve"> kao dijela sustava integriranog prijevoza putnika</w:t>
            </w:r>
          </w:p>
        </w:tc>
      </w:tr>
      <w:tr w:rsidR="00EF5DA2" w:rsidRPr="00447A00" w14:paraId="394E0731" w14:textId="77777777" w:rsidTr="005808FC">
        <w:trPr>
          <w:trHeight w:val="227"/>
        </w:trPr>
        <w:tc>
          <w:tcPr>
            <w:tcW w:w="3415" w:type="dxa"/>
            <w:shd w:val="clear" w:color="auto" w:fill="F2DBDB" w:themeFill="accent2" w:themeFillTint="33"/>
          </w:tcPr>
          <w:p w14:paraId="594F255C" w14:textId="77777777" w:rsidR="00EF5DA2" w:rsidRPr="005808FC" w:rsidRDefault="00EF5DA2" w:rsidP="005808FC">
            <w:pPr>
              <w:spacing w:line="240" w:lineRule="auto"/>
              <w:rPr>
                <w:b/>
                <w:bCs/>
              </w:rPr>
            </w:pPr>
            <w:r w:rsidRPr="00291DF5">
              <w:rPr>
                <w:b/>
                <w:bCs/>
              </w:rPr>
              <w:t>Nositelji aktivnosti :</w:t>
            </w:r>
          </w:p>
        </w:tc>
        <w:tc>
          <w:tcPr>
            <w:tcW w:w="5601" w:type="dxa"/>
          </w:tcPr>
          <w:p w14:paraId="12CF6478" w14:textId="15ECA42E" w:rsidR="00EF5DA2" w:rsidRPr="00447A00" w:rsidRDefault="00EF5DA2" w:rsidP="00B26936">
            <w:pPr>
              <w:numPr>
                <w:ilvl w:val="0"/>
                <w:numId w:val="9"/>
              </w:numPr>
              <w:spacing w:after="0" w:line="240" w:lineRule="auto"/>
              <w:ind w:left="482" w:hanging="357"/>
            </w:pPr>
            <w:r w:rsidRPr="00447A00">
              <w:t>Integrirani promet zagrebačkog područja, d.o.o.</w:t>
            </w:r>
          </w:p>
        </w:tc>
      </w:tr>
      <w:tr w:rsidR="00EF5DA2" w:rsidRPr="00447A00" w14:paraId="3F5C091A" w14:textId="77777777" w:rsidTr="005808FC">
        <w:trPr>
          <w:trHeight w:val="227"/>
        </w:trPr>
        <w:tc>
          <w:tcPr>
            <w:tcW w:w="3415" w:type="dxa"/>
            <w:shd w:val="clear" w:color="auto" w:fill="F2DBDB" w:themeFill="accent2" w:themeFillTint="33"/>
          </w:tcPr>
          <w:p w14:paraId="0176B41A"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6087F61B" w14:textId="77777777" w:rsidR="00FA7738" w:rsidRDefault="00FA7738" w:rsidP="00FA7738">
            <w:pPr>
              <w:numPr>
                <w:ilvl w:val="0"/>
                <w:numId w:val="9"/>
              </w:numPr>
              <w:spacing w:after="0" w:line="240" w:lineRule="auto"/>
              <w:ind w:left="482" w:hanging="357"/>
            </w:pPr>
            <w:r w:rsidRPr="00447A00">
              <w:t>Gradski ured za prostorno uređenje, komunalne poslove</w:t>
            </w:r>
            <w:r>
              <w:t xml:space="preserve"> i </w:t>
            </w:r>
            <w:r w:rsidRPr="00447A00">
              <w:t>promet</w:t>
            </w:r>
          </w:p>
          <w:p w14:paraId="08AD65BC" w14:textId="77777777" w:rsidR="00020FF9" w:rsidRDefault="00FA7738" w:rsidP="00FA7738">
            <w:pPr>
              <w:numPr>
                <w:ilvl w:val="0"/>
                <w:numId w:val="9"/>
              </w:numPr>
              <w:spacing w:after="0" w:line="240" w:lineRule="auto"/>
              <w:ind w:left="482" w:hanging="357"/>
            </w:pPr>
            <w:r w:rsidRPr="002E3034">
              <w:t>Gradski ured za gospodarstvo, energetiku i zaštitu okoliša</w:t>
            </w:r>
          </w:p>
          <w:p w14:paraId="5AF94A9D" w14:textId="5E76A539" w:rsidR="00FA7738" w:rsidRDefault="00FA7738" w:rsidP="00FA7738">
            <w:pPr>
              <w:numPr>
                <w:ilvl w:val="0"/>
                <w:numId w:val="9"/>
              </w:numPr>
              <w:spacing w:after="0" w:line="240" w:lineRule="auto"/>
              <w:ind w:left="482" w:hanging="357"/>
            </w:pPr>
            <w:r>
              <w:t>Z</w:t>
            </w:r>
            <w:r w:rsidRPr="00447A00">
              <w:t xml:space="preserve">ET, d.o.o. </w:t>
            </w:r>
          </w:p>
          <w:p w14:paraId="28B05CF3" w14:textId="77777777" w:rsidR="00FA7738" w:rsidRPr="00447A00" w:rsidRDefault="00FA7738" w:rsidP="00FA7738">
            <w:pPr>
              <w:numPr>
                <w:ilvl w:val="0"/>
                <w:numId w:val="9"/>
              </w:numPr>
              <w:spacing w:after="0" w:line="240" w:lineRule="auto"/>
              <w:ind w:left="482" w:hanging="357"/>
            </w:pPr>
            <w:r w:rsidRPr="00447A00">
              <w:t>HŽ Infrastruktura, d.o.o.</w:t>
            </w:r>
          </w:p>
          <w:p w14:paraId="12897BB8" w14:textId="675EBAFD" w:rsidR="00EF5DA2" w:rsidRPr="00447A00" w:rsidDel="00436CBA" w:rsidRDefault="00FA7738" w:rsidP="00FA7738">
            <w:pPr>
              <w:numPr>
                <w:ilvl w:val="0"/>
                <w:numId w:val="9"/>
              </w:numPr>
              <w:spacing w:after="0" w:line="240" w:lineRule="auto"/>
              <w:ind w:left="482" w:hanging="357"/>
            </w:pPr>
            <w:r w:rsidRPr="00447A00">
              <w:t>HŽ Putnički prijevoz, d.o.o.</w:t>
            </w:r>
          </w:p>
        </w:tc>
      </w:tr>
      <w:tr w:rsidR="004320F6" w:rsidRPr="00447A00" w14:paraId="38D70CD9" w14:textId="77777777" w:rsidTr="005808FC">
        <w:trPr>
          <w:trHeight w:val="227"/>
        </w:trPr>
        <w:tc>
          <w:tcPr>
            <w:tcW w:w="3415" w:type="dxa"/>
            <w:shd w:val="clear" w:color="auto" w:fill="F2DBDB" w:themeFill="accent2" w:themeFillTint="33"/>
          </w:tcPr>
          <w:p w14:paraId="547FBC84" w14:textId="6CE34501" w:rsidR="004320F6" w:rsidRPr="005808FC" w:rsidRDefault="004320F6" w:rsidP="005808FC">
            <w:pPr>
              <w:spacing w:line="240" w:lineRule="auto"/>
              <w:rPr>
                <w:b/>
                <w:bCs/>
              </w:rPr>
            </w:pPr>
            <w:r w:rsidRPr="00291DF5">
              <w:rPr>
                <w:b/>
                <w:bCs/>
              </w:rPr>
              <w:t>Ostali uključeni dionici</w:t>
            </w:r>
            <w:r w:rsidRPr="005808FC">
              <w:rPr>
                <w:b/>
                <w:bCs/>
              </w:rPr>
              <w:t>:</w:t>
            </w:r>
          </w:p>
        </w:tc>
        <w:tc>
          <w:tcPr>
            <w:tcW w:w="5601" w:type="dxa"/>
          </w:tcPr>
          <w:p w14:paraId="4A49CD52" w14:textId="0DB3ADF3" w:rsidR="004320F6" w:rsidRPr="00447A00" w:rsidRDefault="004320F6" w:rsidP="7FF51287">
            <w:pPr>
              <w:numPr>
                <w:ilvl w:val="0"/>
                <w:numId w:val="9"/>
              </w:numPr>
              <w:spacing w:after="0" w:line="240" w:lineRule="auto"/>
              <w:ind w:left="482" w:hanging="357"/>
            </w:pPr>
            <w:r w:rsidRPr="00447A00">
              <w:t>Ministarstvo mora, prometa</w:t>
            </w:r>
            <w:r w:rsidR="000509A0">
              <w:t xml:space="preserve"> i </w:t>
            </w:r>
            <w:r w:rsidRPr="00447A00">
              <w:t>infrastrukture</w:t>
            </w:r>
          </w:p>
          <w:p w14:paraId="436FF356" w14:textId="34912932" w:rsidR="004320F6" w:rsidRPr="00447A00" w:rsidRDefault="004320F6" w:rsidP="7FF51287">
            <w:pPr>
              <w:numPr>
                <w:ilvl w:val="0"/>
                <w:numId w:val="9"/>
              </w:numPr>
              <w:spacing w:after="0" w:line="240" w:lineRule="auto"/>
              <w:ind w:left="482" w:hanging="357"/>
            </w:pPr>
          </w:p>
        </w:tc>
      </w:tr>
      <w:tr w:rsidR="00EF5DA2" w:rsidRPr="00447A00" w14:paraId="5BE9CBBB" w14:textId="77777777" w:rsidTr="005808FC">
        <w:trPr>
          <w:trHeight w:val="227"/>
        </w:trPr>
        <w:tc>
          <w:tcPr>
            <w:tcW w:w="3415" w:type="dxa"/>
            <w:shd w:val="clear" w:color="auto" w:fill="F2DBDB" w:themeFill="accent2" w:themeFillTint="33"/>
          </w:tcPr>
          <w:p w14:paraId="48D5FA52" w14:textId="77777777" w:rsidR="00EF5DA2" w:rsidRPr="005808FC" w:rsidRDefault="00EF5DA2" w:rsidP="005808FC">
            <w:pPr>
              <w:spacing w:line="240" w:lineRule="auto"/>
              <w:rPr>
                <w:b/>
                <w:bCs/>
              </w:rPr>
            </w:pPr>
            <w:r w:rsidRPr="00291DF5">
              <w:rPr>
                <w:b/>
                <w:bCs/>
              </w:rPr>
              <w:t>Početak/kraj provedbe (godine)</w:t>
            </w:r>
          </w:p>
        </w:tc>
        <w:tc>
          <w:tcPr>
            <w:tcW w:w="5601" w:type="dxa"/>
          </w:tcPr>
          <w:p w14:paraId="53F0E764" w14:textId="7EFD2BF6" w:rsidR="00EF5DA2" w:rsidRPr="005808FC" w:rsidRDefault="00EF5DA2" w:rsidP="005808FC">
            <w:pPr>
              <w:spacing w:after="0" w:line="240" w:lineRule="auto"/>
              <w:rPr>
                <w:rFonts w:eastAsia="Calibri"/>
                <w:b/>
                <w:sz w:val="18"/>
                <w:szCs w:val="18"/>
              </w:rPr>
            </w:pPr>
            <w:r w:rsidRPr="005808FC">
              <w:rPr>
                <w:rFonts w:eastAsia="Calibri"/>
                <w:b/>
              </w:rPr>
              <w:t>Do 2022</w:t>
            </w:r>
            <w:r w:rsidR="008B10C5">
              <w:rPr>
                <w:rFonts w:eastAsia="Calibri"/>
                <w:b/>
              </w:rPr>
              <w:t>.</w:t>
            </w:r>
          </w:p>
        </w:tc>
      </w:tr>
      <w:tr w:rsidR="00B25B9E" w:rsidRPr="00447A00" w14:paraId="7C5EAB38" w14:textId="77777777" w:rsidTr="005808FC">
        <w:trPr>
          <w:trHeight w:val="227"/>
        </w:trPr>
        <w:tc>
          <w:tcPr>
            <w:tcW w:w="3415" w:type="dxa"/>
            <w:shd w:val="clear" w:color="auto" w:fill="F2DBDB" w:themeFill="accent2" w:themeFillTint="33"/>
          </w:tcPr>
          <w:p w14:paraId="2059EED5" w14:textId="63496CDB" w:rsidR="00B25B9E" w:rsidRPr="005808FC" w:rsidRDefault="00B25B9E" w:rsidP="005808FC">
            <w:pPr>
              <w:spacing w:line="240" w:lineRule="auto"/>
              <w:rPr>
                <w:b/>
                <w:bCs/>
              </w:rPr>
            </w:pPr>
            <w:r w:rsidRPr="00291DF5">
              <w:rPr>
                <w:b/>
                <w:bCs/>
              </w:rPr>
              <w:t>Procjena uštede (MWh)</w:t>
            </w:r>
          </w:p>
        </w:tc>
        <w:tc>
          <w:tcPr>
            <w:tcW w:w="5601" w:type="dxa"/>
          </w:tcPr>
          <w:p w14:paraId="352C379F" w14:textId="1BD8C052" w:rsidR="00B25B9E" w:rsidRPr="005808FC" w:rsidRDefault="003028D1" w:rsidP="00B25B9E">
            <w:pPr>
              <w:spacing w:after="0" w:line="240" w:lineRule="auto"/>
              <w:rPr>
                <w:rFonts w:ascii="Century Gothic" w:eastAsia="Calibri" w:hAnsi="Century Gothic" w:cs="Times New Roman"/>
                <w:b/>
                <w:sz w:val="18"/>
                <w:szCs w:val="18"/>
              </w:rPr>
            </w:pPr>
            <w:r w:rsidRPr="00746AAC">
              <w:rPr>
                <w:b/>
              </w:rPr>
              <w:t>82.027,8</w:t>
            </w:r>
          </w:p>
        </w:tc>
      </w:tr>
      <w:tr w:rsidR="00B25B9E" w:rsidRPr="00447A00" w14:paraId="5A1EAD93" w14:textId="77777777" w:rsidTr="005808FC">
        <w:trPr>
          <w:trHeight w:val="227"/>
        </w:trPr>
        <w:tc>
          <w:tcPr>
            <w:tcW w:w="3415" w:type="dxa"/>
            <w:tcBorders>
              <w:bottom w:val="single" w:sz="4" w:space="0" w:color="000000"/>
            </w:tcBorders>
            <w:shd w:val="clear" w:color="auto" w:fill="F2DBDB" w:themeFill="accent2" w:themeFillTint="33"/>
          </w:tcPr>
          <w:p w14:paraId="56DB8917" w14:textId="77777777" w:rsidR="00B25B9E" w:rsidRPr="005808FC" w:rsidRDefault="00B25B9E" w:rsidP="005808FC">
            <w:pPr>
              <w:spacing w:line="240" w:lineRule="auto"/>
              <w:rPr>
                <w:b/>
                <w:bCs/>
              </w:rPr>
            </w:pPr>
            <w:r w:rsidRPr="00291DF5">
              <w:rPr>
                <w:b/>
                <w:bCs/>
              </w:rPr>
              <w:t>Procjena smanjenja emisije (t CO2)</w:t>
            </w:r>
          </w:p>
        </w:tc>
        <w:tc>
          <w:tcPr>
            <w:tcW w:w="5601" w:type="dxa"/>
            <w:tcBorders>
              <w:bottom w:val="single" w:sz="4" w:space="0" w:color="000000"/>
            </w:tcBorders>
          </w:tcPr>
          <w:p w14:paraId="3F271A09" w14:textId="05917970" w:rsidR="00B25B9E" w:rsidRPr="005808FC" w:rsidRDefault="008B10C5" w:rsidP="00B25B9E">
            <w:pPr>
              <w:spacing w:after="0" w:line="240" w:lineRule="auto"/>
              <w:rPr>
                <w:rFonts w:ascii="Century Gothic" w:eastAsia="Calibri" w:hAnsi="Century Gothic" w:cs="Times New Roman"/>
                <w:b/>
                <w:sz w:val="18"/>
                <w:szCs w:val="18"/>
              </w:rPr>
            </w:pPr>
            <w:r w:rsidRPr="008B10C5">
              <w:rPr>
                <w:b/>
              </w:rPr>
              <w:t>20.999,5</w:t>
            </w:r>
          </w:p>
        </w:tc>
      </w:tr>
      <w:tr w:rsidR="00EF5DA2" w:rsidRPr="00447A00" w14:paraId="551D4040" w14:textId="77777777" w:rsidTr="005808FC">
        <w:trPr>
          <w:trHeight w:val="227"/>
        </w:trPr>
        <w:tc>
          <w:tcPr>
            <w:tcW w:w="3415" w:type="dxa"/>
            <w:tcBorders>
              <w:bottom w:val="single" w:sz="4" w:space="0" w:color="auto"/>
            </w:tcBorders>
            <w:shd w:val="clear" w:color="auto" w:fill="F2DBDB" w:themeFill="accent2" w:themeFillTint="33"/>
          </w:tcPr>
          <w:p w14:paraId="46466F41" w14:textId="77777777" w:rsidR="00EF5DA2" w:rsidRPr="005808FC" w:rsidRDefault="00EF5DA2" w:rsidP="005808FC">
            <w:pPr>
              <w:spacing w:line="240" w:lineRule="auto"/>
              <w:rPr>
                <w:b/>
                <w:bCs/>
              </w:rPr>
            </w:pPr>
            <w:r w:rsidRPr="00291DF5">
              <w:rPr>
                <w:b/>
                <w:bCs/>
              </w:rPr>
              <w:t>Izvor sredstava za provedbu</w:t>
            </w:r>
          </w:p>
        </w:tc>
        <w:tc>
          <w:tcPr>
            <w:tcW w:w="5601" w:type="dxa"/>
            <w:tcBorders>
              <w:bottom w:val="single" w:sz="4" w:space="0" w:color="auto"/>
            </w:tcBorders>
          </w:tcPr>
          <w:p w14:paraId="1726E85B" w14:textId="77777777" w:rsidR="00EF5DA2" w:rsidRPr="00447A00" w:rsidRDefault="00EF5DA2" w:rsidP="00B26936">
            <w:pPr>
              <w:numPr>
                <w:ilvl w:val="0"/>
                <w:numId w:val="9"/>
              </w:numPr>
              <w:spacing w:after="0" w:line="240" w:lineRule="auto"/>
              <w:ind w:left="482" w:hanging="357"/>
            </w:pPr>
            <w:r w:rsidRPr="00447A00">
              <w:t>Gradski proračun</w:t>
            </w:r>
          </w:p>
          <w:p w14:paraId="4AACB96F" w14:textId="77777777" w:rsidR="00EF5DA2" w:rsidRPr="00447A00" w:rsidRDefault="00EF5DA2" w:rsidP="00B26936">
            <w:pPr>
              <w:numPr>
                <w:ilvl w:val="0"/>
                <w:numId w:val="9"/>
              </w:numPr>
              <w:spacing w:after="0" w:line="240" w:lineRule="auto"/>
              <w:ind w:left="482" w:hanging="357"/>
            </w:pPr>
            <w:r w:rsidRPr="00447A00">
              <w:t>Državni proračun</w:t>
            </w:r>
          </w:p>
          <w:p w14:paraId="5F133701" w14:textId="77777777" w:rsidR="000D58DB" w:rsidRPr="00447A00" w:rsidRDefault="000D58DB" w:rsidP="000D58DB">
            <w:pPr>
              <w:numPr>
                <w:ilvl w:val="0"/>
                <w:numId w:val="9"/>
              </w:numPr>
              <w:spacing w:after="0" w:line="240" w:lineRule="auto"/>
              <w:ind w:left="482" w:hanging="357"/>
            </w:pPr>
            <w:r w:rsidRPr="00447A00">
              <w:t>E</w:t>
            </w:r>
            <w:r>
              <w:t>uropski strukturni i investicijski fondovi</w:t>
            </w:r>
          </w:p>
          <w:p w14:paraId="025DAA31" w14:textId="77777777" w:rsidR="00EF5DA2" w:rsidRPr="00447A00" w:rsidRDefault="00EF5DA2" w:rsidP="00B26936">
            <w:pPr>
              <w:numPr>
                <w:ilvl w:val="0"/>
                <w:numId w:val="9"/>
              </w:numPr>
              <w:spacing w:after="0" w:line="240" w:lineRule="auto"/>
              <w:ind w:left="482" w:hanging="357"/>
            </w:pPr>
            <w:r w:rsidRPr="00447A00">
              <w:t>Proračun ZET, d.o.o.</w:t>
            </w:r>
          </w:p>
          <w:p w14:paraId="5E56D511" w14:textId="77777777" w:rsidR="00EF5DA2" w:rsidRPr="00447A00" w:rsidRDefault="00EF5DA2" w:rsidP="00B26936">
            <w:pPr>
              <w:numPr>
                <w:ilvl w:val="0"/>
                <w:numId w:val="9"/>
              </w:numPr>
              <w:spacing w:after="0" w:line="240" w:lineRule="auto"/>
              <w:ind w:left="482" w:hanging="357"/>
            </w:pPr>
            <w:r w:rsidRPr="00447A00">
              <w:t>EIB/EBRD/HBOR</w:t>
            </w:r>
          </w:p>
          <w:p w14:paraId="4438E104" w14:textId="77777777" w:rsidR="00EF5DA2" w:rsidRPr="00447A00" w:rsidRDefault="00EF5DA2" w:rsidP="00B26936">
            <w:pPr>
              <w:numPr>
                <w:ilvl w:val="0"/>
                <w:numId w:val="9"/>
              </w:numPr>
              <w:spacing w:after="0" w:line="240" w:lineRule="auto"/>
              <w:ind w:left="482" w:hanging="357"/>
            </w:pPr>
            <w:r w:rsidRPr="00447A00">
              <w:t>Komercijalne banke</w:t>
            </w:r>
          </w:p>
        </w:tc>
      </w:tr>
      <w:tr w:rsidR="00EF5DA2" w:rsidRPr="00447A00" w14:paraId="77137961" w14:textId="77777777" w:rsidTr="005808FC">
        <w:trPr>
          <w:trHeight w:val="5093"/>
        </w:trPr>
        <w:tc>
          <w:tcPr>
            <w:tcW w:w="3415" w:type="dxa"/>
            <w:tcBorders>
              <w:top w:val="single" w:sz="4" w:space="0" w:color="auto"/>
            </w:tcBorders>
            <w:shd w:val="clear" w:color="auto" w:fill="F2DBDB" w:themeFill="accent2" w:themeFillTint="33"/>
          </w:tcPr>
          <w:p w14:paraId="5E36C35F" w14:textId="77777777" w:rsidR="00EF5DA2" w:rsidRPr="005808FC" w:rsidRDefault="00EF5DA2" w:rsidP="005808FC">
            <w:pPr>
              <w:spacing w:line="240" w:lineRule="auto"/>
              <w:rPr>
                <w:b/>
                <w:bCs/>
              </w:rPr>
            </w:pPr>
            <w:r w:rsidRPr="00291DF5">
              <w:rPr>
                <w:b/>
                <w:bCs/>
              </w:rPr>
              <w:lastRenderedPageBreak/>
              <w:t>Kratki opis/komentar</w:t>
            </w:r>
          </w:p>
        </w:tc>
        <w:tc>
          <w:tcPr>
            <w:tcW w:w="5601" w:type="dxa"/>
            <w:tcBorders>
              <w:top w:val="single" w:sz="4" w:space="0" w:color="auto"/>
            </w:tcBorders>
          </w:tcPr>
          <w:p w14:paraId="2D27E3B6" w14:textId="38EC7416" w:rsidR="00765F07" w:rsidRDefault="00EF5DA2" w:rsidP="00B26936">
            <w:pPr>
              <w:spacing w:line="240" w:lineRule="auto"/>
              <w:rPr>
                <w:rFonts w:ascii="Calibri" w:hAnsi="Calibri"/>
              </w:rPr>
            </w:pPr>
            <w:r w:rsidRPr="00447A00">
              <w:rPr>
                <w:rFonts w:ascii="Calibri" w:hAnsi="Calibri"/>
              </w:rPr>
              <w:t>Sustav jedinstvene vozne karte omogućava korisniku kupovinu jedne vozne karte za usluge prijevoza od ishodišta do destinacije, pri čemu s tom kartom može koristiti usluge jednog ili više operatora javnog gradskog prijevoza. Sustav mora biti jednostavno proširiv na druge načine prijevoza, tako da se postojeći mehanizmi izdavanja karata, naplate</w:t>
            </w:r>
            <w:r w:rsidR="000509A0">
              <w:rPr>
                <w:rFonts w:ascii="Calibri" w:hAnsi="Calibri"/>
              </w:rPr>
              <w:t xml:space="preserve"> i </w:t>
            </w:r>
            <w:r w:rsidRPr="00447A00">
              <w:rPr>
                <w:rFonts w:ascii="Calibri" w:hAnsi="Calibri"/>
              </w:rPr>
              <w:t>korištenja karata mogu transparentno primijeniti na nove načine prijevoza.</w:t>
            </w:r>
          </w:p>
          <w:p w14:paraId="75F1F178" w14:textId="67A56760" w:rsidR="00EF5DA2" w:rsidRPr="00447A00" w:rsidRDefault="00EF5DA2" w:rsidP="00B26936">
            <w:pPr>
              <w:spacing w:line="240" w:lineRule="auto"/>
              <w:rPr>
                <w:rFonts w:ascii="Calibri" w:hAnsi="Calibri"/>
              </w:rPr>
            </w:pPr>
            <w:r w:rsidRPr="00447A00">
              <w:rPr>
                <w:rFonts w:ascii="Calibri" w:hAnsi="Calibri"/>
              </w:rPr>
              <w:t>Poseban naglasak potrebno je staviti na suvremene prodajne kanale koji obuhvaćaju prodaju voznih karata</w:t>
            </w:r>
            <w:r w:rsidR="000509A0">
              <w:rPr>
                <w:rFonts w:ascii="Calibri" w:hAnsi="Calibri"/>
              </w:rPr>
              <w:t xml:space="preserve"> i </w:t>
            </w:r>
            <w:r w:rsidRPr="00447A00">
              <w:rPr>
                <w:rFonts w:ascii="Calibri" w:hAnsi="Calibri"/>
              </w:rPr>
              <w:t>plaćanje usluga putem mobilnih aplikacija</w:t>
            </w:r>
            <w:r w:rsidR="000509A0">
              <w:rPr>
                <w:rFonts w:ascii="Calibri" w:hAnsi="Calibri"/>
              </w:rPr>
              <w:t xml:space="preserve"> i </w:t>
            </w:r>
            <w:r w:rsidRPr="00447A00">
              <w:rPr>
                <w:rFonts w:ascii="Calibri" w:hAnsi="Calibri"/>
              </w:rPr>
              <w:t>mrežno. Također, preporuka je da se u podršci implementacije ove usluge uvede</w:t>
            </w:r>
            <w:r w:rsidR="000509A0">
              <w:rPr>
                <w:rFonts w:ascii="Calibri" w:hAnsi="Calibri"/>
              </w:rPr>
              <w:t xml:space="preserve"> i </w:t>
            </w:r>
            <w:r w:rsidRPr="00447A00">
              <w:rPr>
                <w:rFonts w:ascii="Calibri" w:hAnsi="Calibri"/>
              </w:rPr>
              <w:t>sustav za brojanje putnika u vozilima javnog gradskog prijevoza, koji omogućava detaljnu analitiku iskorištenosti pojedinih linija javnog gradskog prijevoza, optimizaciju usluge, kao</w:t>
            </w:r>
            <w:r w:rsidR="000509A0">
              <w:rPr>
                <w:rFonts w:ascii="Calibri" w:hAnsi="Calibri"/>
              </w:rPr>
              <w:t xml:space="preserve"> i </w:t>
            </w:r>
            <w:r w:rsidRPr="00447A00">
              <w:rPr>
                <w:rFonts w:ascii="Calibri" w:hAnsi="Calibri"/>
              </w:rPr>
              <w:t xml:space="preserve">stvaranje osnove za razdiobu prihoda među pružateljima usluga u ovisnosti o stvarno prevezenom broju putnika. </w:t>
            </w:r>
          </w:p>
          <w:p w14:paraId="164A1A9A" w14:textId="7E038731" w:rsidR="00EF5DA2" w:rsidRPr="00765F07" w:rsidRDefault="00EF5DA2" w:rsidP="00765F07">
            <w:pPr>
              <w:spacing w:line="240" w:lineRule="auto"/>
              <w:rPr>
                <w:rFonts w:ascii="Calibri" w:hAnsi="Calibri"/>
              </w:rPr>
            </w:pPr>
            <w:r w:rsidRPr="00447A00">
              <w:rPr>
                <w:rFonts w:ascii="Calibri" w:hAnsi="Calibri"/>
              </w:rPr>
              <w:t>Ova mjera doprinosi ostvarivanju ciljeva Strategije prometnog razvoja RH (Cilj 4: Unapređenje pristupačnosti u putničkom prometu unutar</w:t>
            </w:r>
            <w:r w:rsidR="000509A0">
              <w:rPr>
                <w:rFonts w:ascii="Calibri" w:hAnsi="Calibri"/>
              </w:rPr>
              <w:t xml:space="preserve"> i </w:t>
            </w:r>
            <w:r w:rsidRPr="00447A00">
              <w:rPr>
                <w:rFonts w:ascii="Calibri" w:hAnsi="Calibri"/>
              </w:rPr>
              <w:t>prema glavnim urbanim</w:t>
            </w:r>
            <w:r w:rsidR="00B25B9E">
              <w:rPr>
                <w:rFonts w:ascii="Calibri" w:hAnsi="Calibri"/>
              </w:rPr>
              <w:t xml:space="preserve"> </w:t>
            </w:r>
            <w:r w:rsidRPr="00447A00">
              <w:rPr>
                <w:rFonts w:ascii="Calibri" w:hAnsi="Calibri"/>
              </w:rPr>
              <w:t>aglomeracijama – posebice 4a Unapređenje pristupačnosti u putničkom prometu – čvorište Zagreb;</w:t>
            </w:r>
            <w:r w:rsidR="00B25B9E">
              <w:rPr>
                <w:rFonts w:ascii="Calibri" w:hAnsi="Calibri"/>
              </w:rPr>
              <w:t xml:space="preserve"> </w:t>
            </w:r>
            <w:r w:rsidRPr="00447A00">
              <w:rPr>
                <w:rFonts w:ascii="Calibri" w:hAnsi="Calibri"/>
              </w:rPr>
              <w:t>Cilj 6: Unapređenje prometnog sustava u smislu organizacije</w:t>
            </w:r>
            <w:r w:rsidR="000509A0">
              <w:rPr>
                <w:rFonts w:ascii="Calibri" w:hAnsi="Calibri"/>
              </w:rPr>
              <w:t xml:space="preserve"> i </w:t>
            </w:r>
            <w:r w:rsidRPr="00447A00">
              <w:rPr>
                <w:rFonts w:ascii="Calibri" w:hAnsi="Calibri"/>
              </w:rPr>
              <w:t>operativnog ustrojstva, a posebice:</w:t>
            </w:r>
            <w:r w:rsidR="00B25B9E">
              <w:rPr>
                <w:rFonts w:ascii="Calibri" w:hAnsi="Calibri"/>
              </w:rPr>
              <w:t xml:space="preserve"> </w:t>
            </w:r>
            <w:r w:rsidRPr="00447A00">
              <w:rPr>
                <w:rFonts w:ascii="Calibri" w:hAnsi="Calibri"/>
              </w:rPr>
              <w:t>6c</w:t>
            </w:r>
            <w:r w:rsidR="00B25B9E">
              <w:rPr>
                <w:rFonts w:ascii="Calibri" w:hAnsi="Calibri"/>
              </w:rPr>
              <w:t xml:space="preserve"> </w:t>
            </w:r>
            <w:r w:rsidRPr="00447A00">
              <w:rPr>
                <w:rFonts w:ascii="Calibri" w:hAnsi="Calibri"/>
              </w:rPr>
              <w:t>Unapređenje operativnih postavki sustava, 6d</w:t>
            </w:r>
            <w:r w:rsidR="00B25B9E">
              <w:rPr>
                <w:rFonts w:ascii="Calibri" w:hAnsi="Calibri"/>
              </w:rPr>
              <w:t xml:space="preserve"> </w:t>
            </w:r>
            <w:r w:rsidRPr="00447A00">
              <w:rPr>
                <w:rFonts w:ascii="Calibri" w:hAnsi="Calibri"/>
              </w:rPr>
              <w:t>Unapređenje sigurnosti prometnog sustava,</w:t>
            </w:r>
            <w:r w:rsidR="00B25B9E">
              <w:rPr>
                <w:rFonts w:ascii="Calibri" w:hAnsi="Calibri"/>
              </w:rPr>
              <w:t xml:space="preserve"> </w:t>
            </w:r>
            <w:r w:rsidRPr="00447A00">
              <w:rPr>
                <w:rFonts w:ascii="Calibri" w:hAnsi="Calibri"/>
              </w:rPr>
              <w:t>6e</w:t>
            </w:r>
            <w:r w:rsidR="00B25B9E">
              <w:rPr>
                <w:rFonts w:ascii="Calibri" w:hAnsi="Calibri"/>
              </w:rPr>
              <w:t xml:space="preserve"> </w:t>
            </w:r>
            <w:r w:rsidRPr="00447A00">
              <w:rPr>
                <w:rFonts w:ascii="Calibri" w:hAnsi="Calibri"/>
              </w:rPr>
              <w:t>Smanjenje/ublažavanje utjecaja na okoliš,</w:t>
            </w:r>
            <w:r w:rsidR="00B25B9E">
              <w:rPr>
                <w:rFonts w:ascii="Calibri" w:hAnsi="Calibri"/>
              </w:rPr>
              <w:t xml:space="preserve"> </w:t>
            </w:r>
            <w:r w:rsidRPr="00447A00">
              <w:rPr>
                <w:rFonts w:ascii="Calibri" w:hAnsi="Calibri"/>
              </w:rPr>
              <w:t>6f</w:t>
            </w:r>
            <w:r w:rsidR="00B25B9E">
              <w:rPr>
                <w:rFonts w:ascii="Calibri" w:hAnsi="Calibri"/>
              </w:rPr>
              <w:t xml:space="preserve"> </w:t>
            </w:r>
            <w:r w:rsidRPr="00447A00">
              <w:rPr>
                <w:rFonts w:ascii="Calibri" w:hAnsi="Calibri"/>
              </w:rPr>
              <w:t>Unapređenje ekološke učinkovitosti, 6g</w:t>
            </w:r>
            <w:r w:rsidR="00B25B9E">
              <w:rPr>
                <w:rFonts w:ascii="Calibri" w:hAnsi="Calibri"/>
              </w:rPr>
              <w:t xml:space="preserve"> </w:t>
            </w:r>
            <w:r w:rsidRPr="00447A00">
              <w:rPr>
                <w:rFonts w:ascii="Calibri" w:hAnsi="Calibri"/>
              </w:rPr>
              <w:t>Financijska održivost prometnog sustava)</w:t>
            </w:r>
            <w:r w:rsidR="000509A0">
              <w:rPr>
                <w:rFonts w:ascii="Calibri" w:hAnsi="Calibri"/>
              </w:rPr>
              <w:t xml:space="preserve"> i </w:t>
            </w:r>
            <w:r w:rsidRPr="00447A00">
              <w:rPr>
                <w:rFonts w:ascii="Calibri" w:hAnsi="Calibri"/>
              </w:rPr>
              <w:t>OP konkurentnost</w:t>
            </w:r>
            <w:r w:rsidR="000509A0">
              <w:rPr>
                <w:rFonts w:ascii="Calibri" w:hAnsi="Calibri"/>
              </w:rPr>
              <w:t xml:space="preserve"> i </w:t>
            </w:r>
            <w:r w:rsidRPr="00447A00">
              <w:rPr>
                <w:rFonts w:ascii="Calibri" w:hAnsi="Calibri"/>
              </w:rPr>
              <w:t>kohezija, predloženi projekt je usklađen s mjerama navedenim u slijedećem strateškom dokumentu Grada Zagreba: ZAGREBPLAN 2020+ ( C4.P4‐M3 Unapređivanje javnog putničkog prometa, C4.P4‐M6 Unapređivanje biciklističkog prometa</w:t>
            </w:r>
            <w:r w:rsidR="000509A0">
              <w:rPr>
                <w:rFonts w:ascii="Calibri" w:hAnsi="Calibri"/>
              </w:rPr>
              <w:t xml:space="preserve"> i </w:t>
            </w:r>
            <w:r w:rsidRPr="00447A00">
              <w:rPr>
                <w:rFonts w:ascii="Calibri" w:hAnsi="Calibri"/>
              </w:rPr>
              <w:t>C4.P4‐M8 Povećanje sigurnosti sudionika u prometu).</w:t>
            </w:r>
          </w:p>
          <w:p w14:paraId="646AFA5C" w14:textId="484606E8" w:rsidR="00EF5DA2" w:rsidRPr="00447A00" w:rsidRDefault="00EF5DA2" w:rsidP="00B26936">
            <w:pPr>
              <w:spacing w:line="240" w:lineRule="auto"/>
              <w:rPr>
                <w:rFonts w:ascii="Century Gothic" w:hAnsi="Century Gothic"/>
                <w:sz w:val="18"/>
                <w:szCs w:val="18"/>
              </w:rPr>
            </w:pPr>
            <w:r w:rsidRPr="00447A00">
              <w:rPr>
                <w:rFonts w:ascii="Calibri" w:hAnsi="Calibri"/>
              </w:rPr>
              <w:t>Realizacija mjere</w:t>
            </w:r>
            <w:r w:rsidR="00B25B9E">
              <w:rPr>
                <w:rFonts w:ascii="Calibri" w:hAnsi="Calibri"/>
              </w:rPr>
              <w:t xml:space="preserve"> </w:t>
            </w:r>
            <w:r w:rsidRPr="00447A00">
              <w:rPr>
                <w:rFonts w:ascii="Calibri" w:hAnsi="Calibri"/>
              </w:rPr>
              <w:t>u skladu je s specifičnim ciljem OP Konkurentnost</w:t>
            </w:r>
            <w:r w:rsidR="000509A0">
              <w:rPr>
                <w:rFonts w:ascii="Calibri" w:hAnsi="Calibri"/>
              </w:rPr>
              <w:t xml:space="preserve"> i </w:t>
            </w:r>
            <w:r w:rsidRPr="00447A00">
              <w:rPr>
                <w:rFonts w:ascii="Calibri" w:hAnsi="Calibri"/>
              </w:rPr>
              <w:t>kohezija 7ii2 -Razvoj</w:t>
            </w:r>
            <w:r w:rsidR="000509A0">
              <w:rPr>
                <w:rFonts w:ascii="Calibri" w:hAnsi="Calibri"/>
              </w:rPr>
              <w:t xml:space="preserve"> i </w:t>
            </w:r>
            <w:r w:rsidRPr="00447A00">
              <w:rPr>
                <w:rFonts w:ascii="Calibri" w:hAnsi="Calibri"/>
              </w:rPr>
              <w:t>unapređenje prometnih sustava prihvatljivih za okoliš (uključujući one s niskom razinom buke)</w:t>
            </w:r>
            <w:r w:rsidR="000509A0">
              <w:rPr>
                <w:rFonts w:ascii="Calibri" w:hAnsi="Calibri"/>
              </w:rPr>
              <w:t xml:space="preserve"> i </w:t>
            </w:r>
            <w:r w:rsidRPr="00447A00">
              <w:rPr>
                <w:rFonts w:ascii="Calibri" w:hAnsi="Calibri"/>
              </w:rPr>
              <w:t>prometni sustavi sa niskim emisijama CO2,</w:t>
            </w:r>
            <w:r w:rsidR="000509A0">
              <w:rPr>
                <w:rFonts w:ascii="Calibri" w:hAnsi="Calibri"/>
              </w:rPr>
              <w:t xml:space="preserve"> i </w:t>
            </w:r>
            <w:r w:rsidRPr="00447A00">
              <w:rPr>
                <w:rFonts w:ascii="Calibri" w:hAnsi="Calibri"/>
              </w:rPr>
              <w:t>doprinijeti će povećanju učešća javnog prijevoza putnika uz smanjene učešća osobnih vozila u ukupnom broju ostvarenih putovanja na području grada Zagreba,</w:t>
            </w:r>
            <w:r w:rsidR="00B25B9E">
              <w:rPr>
                <w:rFonts w:ascii="Calibri" w:hAnsi="Calibri"/>
              </w:rPr>
              <w:t xml:space="preserve"> </w:t>
            </w:r>
            <w:r w:rsidRPr="00447A00">
              <w:rPr>
                <w:rFonts w:ascii="Calibri" w:hAnsi="Calibri"/>
              </w:rPr>
              <w:t>povećanju kvalitete javnog prijevoza općenito, povećanju sigurnosti</w:t>
            </w:r>
            <w:r w:rsidR="00B25B9E">
              <w:rPr>
                <w:rFonts w:ascii="Calibri" w:hAnsi="Calibri"/>
              </w:rPr>
              <w:t xml:space="preserve"> </w:t>
            </w:r>
            <w:r w:rsidRPr="00447A00">
              <w:rPr>
                <w:rFonts w:ascii="Calibri" w:hAnsi="Calibri"/>
              </w:rPr>
              <w:t>sudionika u prometu te u povećanju mobilnosti građana.</w:t>
            </w:r>
          </w:p>
        </w:tc>
      </w:tr>
    </w:tbl>
    <w:p w14:paraId="22F0A4B9" w14:textId="77777777" w:rsidR="000509A0" w:rsidRDefault="000509A0"/>
    <w:p w14:paraId="044CE49B" w14:textId="77777777" w:rsidR="000509A0" w:rsidRDefault="000509A0">
      <w:pPr>
        <w:jc w:val="left"/>
      </w:pPr>
      <w:r>
        <w:br w:type="page"/>
      </w:r>
    </w:p>
    <w:p w14:paraId="1F7986EB" w14:textId="77777777" w:rsidR="00117511" w:rsidRDefault="0011751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117511" w:rsidRPr="00447A00" w14:paraId="39DD446E" w14:textId="77777777" w:rsidTr="005808FC">
        <w:trPr>
          <w:trHeight w:val="359"/>
        </w:trPr>
        <w:tc>
          <w:tcPr>
            <w:tcW w:w="3415" w:type="dxa"/>
            <w:shd w:val="clear" w:color="auto" w:fill="C6D9F1" w:themeFill="text2" w:themeFillTint="33"/>
          </w:tcPr>
          <w:p w14:paraId="63DE237F" w14:textId="652CBEE7" w:rsidR="00117511" w:rsidRPr="005808FC" w:rsidRDefault="00117511" w:rsidP="005808FC">
            <w:pPr>
              <w:spacing w:after="0" w:line="240" w:lineRule="auto"/>
              <w:rPr>
                <w:rFonts w:eastAsia="Calibri" w:cs="Times New Roman"/>
                <w:b/>
                <w:bCs/>
              </w:rPr>
            </w:pPr>
            <w:bookmarkStart w:id="236" w:name="_Hlk514919723"/>
            <w:r w:rsidRPr="00291DF5">
              <w:rPr>
                <w:rFonts w:eastAsia="Calibri" w:cs="Times New Roman"/>
                <w:b/>
                <w:bCs/>
              </w:rPr>
              <w:t>Redni broj mjere</w:t>
            </w:r>
          </w:p>
        </w:tc>
        <w:tc>
          <w:tcPr>
            <w:tcW w:w="5601" w:type="dxa"/>
            <w:shd w:val="clear" w:color="auto" w:fill="C6D9F1" w:themeFill="text2" w:themeFillTint="33"/>
          </w:tcPr>
          <w:p w14:paraId="5C04A93C" w14:textId="00A49F7B" w:rsidR="00117511" w:rsidRPr="005808FC" w:rsidRDefault="00117511" w:rsidP="005808FC">
            <w:pPr>
              <w:spacing w:after="0" w:line="240" w:lineRule="auto"/>
              <w:rPr>
                <w:rFonts w:eastAsia="Calibri" w:cs="Times New Roman"/>
                <w:b/>
                <w:bCs/>
              </w:rPr>
            </w:pPr>
            <w:r w:rsidRPr="00291DF5">
              <w:rPr>
                <w:rFonts w:eastAsia="Calibri" w:cs="Times New Roman"/>
                <w:b/>
                <w:bCs/>
              </w:rPr>
              <w:t>14</w:t>
            </w:r>
          </w:p>
        </w:tc>
      </w:tr>
      <w:tr w:rsidR="00EF5DA2" w:rsidRPr="00447A00" w14:paraId="548D2A98" w14:textId="77777777" w:rsidTr="005808FC">
        <w:trPr>
          <w:trHeight w:val="227"/>
        </w:trPr>
        <w:tc>
          <w:tcPr>
            <w:tcW w:w="3415" w:type="dxa"/>
            <w:shd w:val="clear" w:color="auto" w:fill="C6D9F1" w:themeFill="text2" w:themeFillTint="33"/>
          </w:tcPr>
          <w:p w14:paraId="63E50BA7" w14:textId="77777777" w:rsidR="00EF5DA2" w:rsidRPr="005808FC" w:rsidRDefault="00EF5DA2" w:rsidP="005808FC">
            <w:pPr>
              <w:spacing w:after="0" w:line="240" w:lineRule="auto"/>
              <w:rPr>
                <w:rFonts w:eastAsia="Calibri" w:cs="Times New Roman"/>
                <w:b/>
                <w:bCs/>
              </w:rPr>
            </w:pPr>
            <w:r w:rsidRPr="00BF405C">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64FCE294"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Unaprjeđenje tramvajskog elektroenergetskog sustava u svrhu poboljšanja javne usluge</w:t>
            </w:r>
          </w:p>
        </w:tc>
      </w:tr>
      <w:tr w:rsidR="00EF5DA2" w:rsidRPr="00447A00" w14:paraId="14570F86" w14:textId="77777777" w:rsidTr="005808FC">
        <w:trPr>
          <w:trHeight w:val="227"/>
        </w:trPr>
        <w:tc>
          <w:tcPr>
            <w:tcW w:w="3415" w:type="dxa"/>
            <w:shd w:val="clear" w:color="auto" w:fill="F2DBDB" w:themeFill="accent2" w:themeFillTint="33"/>
          </w:tcPr>
          <w:p w14:paraId="46A7F976" w14:textId="77777777" w:rsidR="00EF5DA2" w:rsidRPr="005808FC" w:rsidRDefault="00EF5DA2" w:rsidP="005808FC">
            <w:pPr>
              <w:spacing w:line="240" w:lineRule="auto"/>
              <w:rPr>
                <w:b/>
                <w:bCs/>
              </w:rPr>
            </w:pPr>
            <w:r w:rsidRPr="00291DF5">
              <w:rPr>
                <w:b/>
                <w:bCs/>
              </w:rPr>
              <w:t>Nositelji aktivnosti :</w:t>
            </w:r>
          </w:p>
        </w:tc>
        <w:tc>
          <w:tcPr>
            <w:tcW w:w="5601" w:type="dxa"/>
          </w:tcPr>
          <w:p w14:paraId="41B693F6" w14:textId="4FF9B8A5" w:rsidR="00EF5DA2" w:rsidRPr="00447A00" w:rsidRDefault="00EF5DA2" w:rsidP="00F91582">
            <w:pPr>
              <w:numPr>
                <w:ilvl w:val="0"/>
                <w:numId w:val="9"/>
              </w:numPr>
              <w:spacing w:after="0" w:line="240" w:lineRule="auto"/>
              <w:ind w:left="482" w:hanging="357"/>
            </w:pPr>
            <w:r w:rsidRPr="00447A00">
              <w:t>ZET, d.o.o.</w:t>
            </w:r>
          </w:p>
        </w:tc>
      </w:tr>
      <w:tr w:rsidR="00EF5DA2" w:rsidRPr="00447A00" w14:paraId="0E994685" w14:textId="77777777" w:rsidTr="005808FC">
        <w:trPr>
          <w:trHeight w:val="227"/>
        </w:trPr>
        <w:tc>
          <w:tcPr>
            <w:tcW w:w="3415" w:type="dxa"/>
            <w:shd w:val="clear" w:color="auto" w:fill="F2DBDB" w:themeFill="accent2" w:themeFillTint="33"/>
          </w:tcPr>
          <w:p w14:paraId="6AFB4245"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442A52EB" w14:textId="77777777" w:rsidR="00EF5DA2" w:rsidRPr="00447A00" w:rsidRDefault="00EF5DA2" w:rsidP="00B26936">
            <w:pPr>
              <w:numPr>
                <w:ilvl w:val="0"/>
                <w:numId w:val="9"/>
              </w:numPr>
              <w:spacing w:after="0" w:line="240" w:lineRule="auto"/>
              <w:ind w:left="482" w:hanging="357"/>
            </w:pPr>
            <w:r w:rsidRPr="00447A00">
              <w:t>Integrirani promet zagrebačkog područja, d.o.o.</w:t>
            </w:r>
          </w:p>
          <w:p w14:paraId="3839EBCA" w14:textId="77777777" w:rsidR="00EF5DA2" w:rsidRDefault="00EF5DA2" w:rsidP="00B26936">
            <w:pPr>
              <w:numPr>
                <w:ilvl w:val="0"/>
                <w:numId w:val="9"/>
              </w:numPr>
              <w:spacing w:after="0" w:line="240" w:lineRule="auto"/>
              <w:ind w:left="482" w:hanging="357"/>
            </w:pPr>
            <w:r w:rsidRPr="00447A00">
              <w:t>Gradski ured za prostorno uređenje, komunalne poslove</w:t>
            </w:r>
            <w:r w:rsidR="000509A0">
              <w:t xml:space="preserve"> i </w:t>
            </w:r>
            <w:r w:rsidRPr="00447A00">
              <w:t>promet</w:t>
            </w:r>
          </w:p>
          <w:p w14:paraId="21177F7F" w14:textId="77777777" w:rsidR="00FA7738" w:rsidRPr="00C8327A" w:rsidRDefault="00FA7738" w:rsidP="00FA7738">
            <w:pPr>
              <w:numPr>
                <w:ilvl w:val="0"/>
                <w:numId w:val="9"/>
              </w:numPr>
              <w:spacing w:after="0" w:line="240" w:lineRule="auto"/>
              <w:ind w:left="482" w:hanging="357"/>
            </w:pPr>
            <w:r w:rsidRPr="00C8327A">
              <w:t>Gradski ured za gospodarstvo, energetiku i zaštitu okoliša</w:t>
            </w:r>
          </w:p>
          <w:p w14:paraId="26BBD2F8" w14:textId="32D88A2F" w:rsidR="00FA7738" w:rsidRPr="00447A00" w:rsidDel="00436CBA" w:rsidRDefault="00FA7738" w:rsidP="00FA7738">
            <w:pPr>
              <w:spacing w:after="0" w:line="240" w:lineRule="auto"/>
            </w:pPr>
          </w:p>
        </w:tc>
      </w:tr>
      <w:tr w:rsidR="00EF5DA2" w:rsidRPr="00447A00" w14:paraId="0D887533" w14:textId="77777777" w:rsidTr="005808FC">
        <w:trPr>
          <w:trHeight w:val="227"/>
        </w:trPr>
        <w:tc>
          <w:tcPr>
            <w:tcW w:w="3415" w:type="dxa"/>
            <w:shd w:val="clear" w:color="auto" w:fill="F2DBDB" w:themeFill="accent2" w:themeFillTint="33"/>
          </w:tcPr>
          <w:p w14:paraId="2933084D" w14:textId="77777777" w:rsidR="00EF5DA2" w:rsidRPr="005808FC" w:rsidRDefault="00EF5DA2" w:rsidP="005808FC">
            <w:pPr>
              <w:spacing w:line="240" w:lineRule="auto"/>
              <w:rPr>
                <w:b/>
                <w:bCs/>
              </w:rPr>
            </w:pPr>
            <w:r w:rsidRPr="005808FC">
              <w:rPr>
                <w:b/>
                <w:bCs/>
              </w:rPr>
              <w:t>Početak/kraj provedbe (godine)</w:t>
            </w:r>
          </w:p>
        </w:tc>
        <w:tc>
          <w:tcPr>
            <w:tcW w:w="5601" w:type="dxa"/>
          </w:tcPr>
          <w:p w14:paraId="25D23D5A" w14:textId="10B69671" w:rsidR="00EF5DA2" w:rsidRPr="005808FC" w:rsidRDefault="004320F6" w:rsidP="00B26936">
            <w:pPr>
              <w:spacing w:after="0" w:line="240" w:lineRule="auto"/>
              <w:rPr>
                <w:rFonts w:eastAsia="Calibri" w:cstheme="minorHAnsi"/>
                <w:b/>
              </w:rPr>
            </w:pPr>
            <w:r w:rsidRPr="005808FC">
              <w:rPr>
                <w:rFonts w:eastAsia="Calibri" w:cstheme="minorHAnsi"/>
                <w:b/>
              </w:rPr>
              <w:t>2021-2025</w:t>
            </w:r>
          </w:p>
        </w:tc>
      </w:tr>
      <w:tr w:rsidR="00EF5DA2" w:rsidRPr="00447A00" w14:paraId="7AC445AC" w14:textId="77777777" w:rsidTr="005808FC">
        <w:trPr>
          <w:trHeight w:val="227"/>
        </w:trPr>
        <w:tc>
          <w:tcPr>
            <w:tcW w:w="3415" w:type="dxa"/>
            <w:shd w:val="clear" w:color="auto" w:fill="F2DBDB" w:themeFill="accent2" w:themeFillTint="33"/>
          </w:tcPr>
          <w:p w14:paraId="130073A1" w14:textId="02D55EEF" w:rsidR="00EF5DA2" w:rsidRPr="005808FC" w:rsidRDefault="00EF5DA2" w:rsidP="005808FC">
            <w:pPr>
              <w:spacing w:line="240" w:lineRule="auto"/>
              <w:rPr>
                <w:b/>
                <w:bCs/>
              </w:rPr>
            </w:pPr>
            <w:r w:rsidRPr="00291DF5">
              <w:rPr>
                <w:b/>
                <w:bCs/>
              </w:rPr>
              <w:t>Procjena uštede (</w:t>
            </w:r>
            <w:r w:rsidR="00B25B9E" w:rsidRPr="005808FC">
              <w:rPr>
                <w:b/>
                <w:bCs/>
              </w:rPr>
              <w:t>MWh</w:t>
            </w:r>
            <w:r w:rsidRPr="005808FC">
              <w:rPr>
                <w:b/>
                <w:bCs/>
              </w:rPr>
              <w:t>)</w:t>
            </w:r>
          </w:p>
        </w:tc>
        <w:tc>
          <w:tcPr>
            <w:tcW w:w="5601" w:type="dxa"/>
          </w:tcPr>
          <w:p w14:paraId="136091C1" w14:textId="6C788AEA" w:rsidR="00EF5DA2" w:rsidRPr="005808FC" w:rsidRDefault="003028D1" w:rsidP="005808FC">
            <w:pPr>
              <w:spacing w:after="0" w:line="240" w:lineRule="auto"/>
              <w:rPr>
                <w:rFonts w:eastAsia="Calibri" w:cstheme="minorHAnsi"/>
                <w:b/>
                <w:color w:val="FF0000"/>
              </w:rPr>
            </w:pPr>
            <w:r w:rsidRPr="005808FC">
              <w:rPr>
                <w:rFonts w:eastAsia="Calibri" w:cstheme="minorHAnsi"/>
                <w:b/>
              </w:rPr>
              <w:t>2.500</w:t>
            </w:r>
          </w:p>
        </w:tc>
      </w:tr>
      <w:tr w:rsidR="00EF5DA2" w:rsidRPr="00447A00" w14:paraId="7C0E83CF" w14:textId="77777777" w:rsidTr="005808FC">
        <w:trPr>
          <w:trHeight w:val="227"/>
        </w:trPr>
        <w:tc>
          <w:tcPr>
            <w:tcW w:w="3415" w:type="dxa"/>
            <w:shd w:val="clear" w:color="auto" w:fill="F2DBDB" w:themeFill="accent2" w:themeFillTint="33"/>
          </w:tcPr>
          <w:p w14:paraId="56B1E275" w14:textId="77777777" w:rsidR="00EF5DA2" w:rsidRPr="005808FC" w:rsidRDefault="00EF5DA2" w:rsidP="005808FC">
            <w:pPr>
              <w:spacing w:line="240" w:lineRule="auto"/>
              <w:rPr>
                <w:b/>
                <w:bCs/>
              </w:rPr>
            </w:pPr>
            <w:r w:rsidRPr="00291DF5">
              <w:rPr>
                <w:b/>
                <w:bCs/>
              </w:rPr>
              <w:t>Procjena smanjenja emisije (t CO2)</w:t>
            </w:r>
          </w:p>
        </w:tc>
        <w:tc>
          <w:tcPr>
            <w:tcW w:w="5601" w:type="dxa"/>
          </w:tcPr>
          <w:p w14:paraId="0149820B" w14:textId="386740AE" w:rsidR="00EF5DA2" w:rsidRPr="005808FC" w:rsidRDefault="00F91582" w:rsidP="00B26936">
            <w:pPr>
              <w:spacing w:after="0" w:line="240" w:lineRule="auto"/>
              <w:rPr>
                <w:rFonts w:eastAsia="Calibri" w:cstheme="minorHAnsi"/>
                <w:b/>
              </w:rPr>
            </w:pPr>
            <w:r w:rsidRPr="005808FC">
              <w:rPr>
                <w:rFonts w:eastAsia="Calibri" w:cstheme="minorHAnsi"/>
                <w:b/>
              </w:rPr>
              <w:t>273</w:t>
            </w:r>
            <w:r w:rsidR="001A38F5">
              <w:rPr>
                <w:rFonts w:eastAsia="Calibri" w:cstheme="minorHAnsi"/>
                <w:b/>
              </w:rPr>
              <w:t>,7</w:t>
            </w:r>
          </w:p>
        </w:tc>
      </w:tr>
      <w:tr w:rsidR="00EF5DA2" w:rsidRPr="00447A00" w14:paraId="62C51AD8" w14:textId="77777777" w:rsidTr="005808FC">
        <w:trPr>
          <w:trHeight w:val="227"/>
        </w:trPr>
        <w:tc>
          <w:tcPr>
            <w:tcW w:w="3415" w:type="dxa"/>
            <w:shd w:val="clear" w:color="auto" w:fill="F2DBDB" w:themeFill="accent2" w:themeFillTint="33"/>
          </w:tcPr>
          <w:p w14:paraId="2482AC6B" w14:textId="1E2CB742" w:rsidR="00EF5DA2" w:rsidRPr="005808FC" w:rsidRDefault="00693B4B" w:rsidP="005808FC">
            <w:pPr>
              <w:spacing w:line="240" w:lineRule="auto"/>
              <w:rPr>
                <w:b/>
                <w:bCs/>
              </w:rPr>
            </w:pPr>
            <w:r>
              <w:rPr>
                <w:b/>
                <w:bCs/>
              </w:rPr>
              <w:t>de</w:t>
            </w:r>
            <w:r w:rsidR="00EF5DA2" w:rsidRPr="00291DF5">
              <w:rPr>
                <w:b/>
                <w:bCs/>
              </w:rPr>
              <w:t>Izvor sredstava za provedbu</w:t>
            </w:r>
          </w:p>
        </w:tc>
        <w:tc>
          <w:tcPr>
            <w:tcW w:w="5601" w:type="dxa"/>
          </w:tcPr>
          <w:p w14:paraId="441D4802" w14:textId="77777777" w:rsidR="00EF5DA2" w:rsidRPr="00447A00" w:rsidRDefault="00EF5DA2" w:rsidP="00B26936">
            <w:pPr>
              <w:numPr>
                <w:ilvl w:val="0"/>
                <w:numId w:val="9"/>
              </w:numPr>
              <w:spacing w:after="0" w:line="240" w:lineRule="auto"/>
              <w:ind w:left="482" w:hanging="357"/>
            </w:pPr>
            <w:r w:rsidRPr="00447A00">
              <w:t>Gradski proračun</w:t>
            </w:r>
          </w:p>
          <w:p w14:paraId="326044FA" w14:textId="77777777" w:rsidR="00EF5DA2" w:rsidRPr="00447A00" w:rsidRDefault="00EF5DA2" w:rsidP="00B26936">
            <w:pPr>
              <w:numPr>
                <w:ilvl w:val="0"/>
                <w:numId w:val="9"/>
              </w:numPr>
              <w:spacing w:after="0" w:line="240" w:lineRule="auto"/>
              <w:ind w:left="482" w:hanging="357"/>
            </w:pPr>
            <w:r w:rsidRPr="00447A00">
              <w:t>Državni proračun</w:t>
            </w:r>
          </w:p>
          <w:p w14:paraId="7F32040A" w14:textId="77777777" w:rsidR="000D58DB" w:rsidRPr="00447A00" w:rsidRDefault="000D58DB" w:rsidP="000D58DB">
            <w:pPr>
              <w:numPr>
                <w:ilvl w:val="0"/>
                <w:numId w:val="9"/>
              </w:numPr>
              <w:spacing w:after="0" w:line="240" w:lineRule="auto"/>
              <w:ind w:left="482" w:hanging="357"/>
            </w:pPr>
            <w:r w:rsidRPr="00447A00">
              <w:t>E</w:t>
            </w:r>
            <w:r>
              <w:t>uropski strukturni i investicijski fondovi</w:t>
            </w:r>
          </w:p>
          <w:p w14:paraId="4D6D57B7" w14:textId="77777777" w:rsidR="00EF5DA2" w:rsidRPr="00447A00" w:rsidRDefault="00EF5DA2" w:rsidP="00B26936">
            <w:pPr>
              <w:numPr>
                <w:ilvl w:val="0"/>
                <w:numId w:val="9"/>
              </w:numPr>
              <w:spacing w:after="0" w:line="240" w:lineRule="auto"/>
              <w:ind w:left="482" w:hanging="357"/>
            </w:pPr>
            <w:r w:rsidRPr="00447A00">
              <w:t>Programi unije</w:t>
            </w:r>
          </w:p>
          <w:p w14:paraId="76CAF27A" w14:textId="77777777" w:rsidR="00EF5DA2" w:rsidRPr="00447A00" w:rsidRDefault="00EF5DA2" w:rsidP="00B26936">
            <w:pPr>
              <w:numPr>
                <w:ilvl w:val="0"/>
                <w:numId w:val="9"/>
              </w:numPr>
              <w:spacing w:after="0" w:line="240" w:lineRule="auto"/>
              <w:ind w:left="482" w:hanging="357"/>
            </w:pPr>
            <w:r w:rsidRPr="00447A00">
              <w:t>FZOEU</w:t>
            </w:r>
          </w:p>
        </w:tc>
      </w:tr>
      <w:tr w:rsidR="00EF5DA2" w:rsidRPr="00447A00" w14:paraId="074874E8" w14:textId="77777777" w:rsidTr="005808FC">
        <w:trPr>
          <w:trHeight w:val="983"/>
        </w:trPr>
        <w:tc>
          <w:tcPr>
            <w:tcW w:w="3415" w:type="dxa"/>
            <w:shd w:val="clear" w:color="auto" w:fill="F2DBDB" w:themeFill="accent2" w:themeFillTint="33"/>
          </w:tcPr>
          <w:p w14:paraId="3EA3B94B" w14:textId="77777777" w:rsidR="00EF5DA2" w:rsidRPr="005808FC" w:rsidRDefault="00EF5DA2" w:rsidP="005808FC">
            <w:pPr>
              <w:spacing w:line="240" w:lineRule="auto"/>
              <w:rPr>
                <w:b/>
                <w:bCs/>
              </w:rPr>
            </w:pPr>
            <w:r w:rsidRPr="00291DF5">
              <w:rPr>
                <w:b/>
                <w:bCs/>
              </w:rPr>
              <w:t>Kratki opis/komentar</w:t>
            </w:r>
          </w:p>
        </w:tc>
        <w:tc>
          <w:tcPr>
            <w:tcW w:w="5601" w:type="dxa"/>
          </w:tcPr>
          <w:p w14:paraId="2A085082" w14:textId="0BECB60C" w:rsidR="00EF5DA2" w:rsidRPr="00447A00" w:rsidRDefault="00EF5DA2" w:rsidP="00B26936">
            <w:pPr>
              <w:spacing w:after="0" w:line="240" w:lineRule="auto"/>
              <w:contextualSpacing/>
            </w:pPr>
            <w:r w:rsidRPr="00447A00">
              <w:t>Efikasno odvijanje tramvajskog prometa iziskuje dostatnu energiju vuče. Da bi se nastavila dugogodišnja tradicija kvalitetne usluge tramvajskog prijevoza u Gradu Zagrebu potrebno je unaprjeđenje elektroenergetskog sustava.</w:t>
            </w:r>
            <w:r w:rsidR="00B25B9E">
              <w:t xml:space="preserve"> </w:t>
            </w:r>
          </w:p>
          <w:p w14:paraId="1C055209" w14:textId="77777777" w:rsidR="00EF5DA2" w:rsidRPr="00447A00" w:rsidRDefault="00EF5DA2" w:rsidP="00B26936">
            <w:pPr>
              <w:spacing w:after="0" w:line="240" w:lineRule="auto"/>
              <w:contextualSpacing/>
            </w:pPr>
            <w:r w:rsidRPr="00447A00">
              <w:t>Analizom je utvrđeno da je nužno unaprjeđenje slijedećih dijelova sustava:</w:t>
            </w:r>
          </w:p>
          <w:p w14:paraId="1328EFB3" w14:textId="7F5C63CD" w:rsidR="00EF5DA2" w:rsidRPr="00447A00" w:rsidRDefault="00EF5DA2" w:rsidP="00B26936">
            <w:pPr>
              <w:numPr>
                <w:ilvl w:val="0"/>
                <w:numId w:val="53"/>
              </w:numPr>
              <w:spacing w:after="0" w:line="240" w:lineRule="auto"/>
              <w:contextualSpacing/>
            </w:pPr>
            <w:r w:rsidRPr="00447A00">
              <w:t>Ispravljačkih</w:t>
            </w:r>
            <w:r w:rsidR="000509A0">
              <w:t xml:space="preserve"> i </w:t>
            </w:r>
            <w:r w:rsidRPr="00447A00">
              <w:t>transformatorskih stanica (IS/TS) s pripadajućom opremom</w:t>
            </w:r>
            <w:r w:rsidR="00B06748">
              <w:t>;</w:t>
            </w:r>
          </w:p>
          <w:p w14:paraId="248063FF" w14:textId="166DABA2" w:rsidR="00EF5DA2" w:rsidRPr="00447A00" w:rsidRDefault="00EF5DA2" w:rsidP="0DFBE047">
            <w:pPr>
              <w:numPr>
                <w:ilvl w:val="0"/>
                <w:numId w:val="53"/>
              </w:numPr>
              <w:spacing w:after="0" w:line="240" w:lineRule="auto"/>
              <w:contextualSpacing/>
            </w:pPr>
            <w:r w:rsidRPr="00447A00">
              <w:t>Mreže pojnih (+)</w:t>
            </w:r>
            <w:r w:rsidR="000509A0">
              <w:t xml:space="preserve"> i </w:t>
            </w:r>
            <w:r w:rsidRPr="00447A00">
              <w:t xml:space="preserve">povratnih (-) energetskih kabela </w:t>
            </w:r>
          </w:p>
          <w:p w14:paraId="6C88E96D" w14:textId="330E3837" w:rsidR="00EF5DA2" w:rsidRPr="00447A00" w:rsidRDefault="00EF5DA2" w:rsidP="0DFBE047">
            <w:pPr>
              <w:numPr>
                <w:ilvl w:val="0"/>
                <w:numId w:val="53"/>
              </w:numPr>
              <w:spacing w:after="0" w:line="240" w:lineRule="auto"/>
              <w:contextualSpacing/>
            </w:pPr>
            <w:r w:rsidRPr="00447A00">
              <w:t>Tramvajske kontaktne mreže (sektori tramvajske kontaktne mreže, pripadajući stupovi</w:t>
            </w:r>
            <w:r w:rsidR="000509A0">
              <w:t xml:space="preserve"> i </w:t>
            </w:r>
            <w:r w:rsidRPr="00447A00">
              <w:t>konzole kontaktne mreže, katodni odvodnici prednapona</w:t>
            </w:r>
            <w:r w:rsidR="000509A0">
              <w:t xml:space="preserve"> i </w:t>
            </w:r>
            <w:r w:rsidRPr="00447A00">
              <w:t>pojne točke, ovjesni pribor, rasklopci</w:t>
            </w:r>
            <w:r w:rsidR="000509A0">
              <w:t xml:space="preserve"> i </w:t>
            </w:r>
            <w:r w:rsidRPr="00447A00">
              <w:t>skretnička signalizacija na mreži)</w:t>
            </w:r>
            <w:r w:rsidR="00B06748">
              <w:t>;</w:t>
            </w:r>
          </w:p>
          <w:p w14:paraId="5B6FF8DA" w14:textId="6E2C7AB4" w:rsidR="00EF5DA2" w:rsidRPr="00447A00" w:rsidRDefault="00EF5DA2" w:rsidP="0DFBE047">
            <w:pPr>
              <w:numPr>
                <w:ilvl w:val="0"/>
                <w:numId w:val="53"/>
              </w:numPr>
              <w:spacing w:after="0" w:line="240" w:lineRule="auto"/>
              <w:contextualSpacing/>
            </w:pPr>
            <w:r w:rsidRPr="00447A00">
              <w:t>Tramvajskih skretnica (uređaji za automatsko upravljanje skretnicama, skretničke postavne sprave s pogonom, uređaji za regulaciju grijanja skretnica</w:t>
            </w:r>
            <w:r w:rsidR="000509A0">
              <w:t xml:space="preserve"> i </w:t>
            </w:r>
            <w:r w:rsidRPr="00447A00">
              <w:t>grijači skretnica, signalni uređaji</w:t>
            </w:r>
            <w:r w:rsidR="000509A0">
              <w:t xml:space="preserve"> i </w:t>
            </w:r>
            <w:r w:rsidRPr="00447A00">
              <w:t>najava nailaska tramvajskih vozila na kontaktnoj mreži).</w:t>
            </w:r>
          </w:p>
          <w:p w14:paraId="71AA9F94" w14:textId="77777777" w:rsidR="00EF5DA2" w:rsidRPr="00447A00" w:rsidRDefault="00EF5DA2" w:rsidP="00B26936">
            <w:pPr>
              <w:spacing w:after="0" w:line="240" w:lineRule="auto"/>
              <w:ind w:left="720"/>
              <w:contextualSpacing/>
            </w:pPr>
          </w:p>
          <w:p w14:paraId="39B8EF8C" w14:textId="3B6C3FE8" w:rsidR="00EF5DA2" w:rsidRPr="00447A00" w:rsidRDefault="00EF5DA2" w:rsidP="00B26936">
            <w:pPr>
              <w:spacing w:line="240" w:lineRule="auto"/>
            </w:pPr>
            <w:r w:rsidRPr="00447A00">
              <w:t>Uz unaprjeđenje sustava</w:t>
            </w:r>
            <w:r w:rsidR="00B25B9E">
              <w:t xml:space="preserve"> </w:t>
            </w:r>
            <w:r w:rsidRPr="00447A00">
              <w:t>nužna je implementacija sustava nadzora</w:t>
            </w:r>
            <w:r w:rsidR="000509A0">
              <w:t xml:space="preserve"> i </w:t>
            </w:r>
            <w:r w:rsidRPr="00447A00">
              <w:t>upravljanja energetikom (SCADA).</w:t>
            </w:r>
          </w:p>
          <w:p w14:paraId="06CA8E3A" w14:textId="77777777" w:rsidR="00EF5DA2" w:rsidRPr="00447A00" w:rsidRDefault="00EF5DA2" w:rsidP="00B26936">
            <w:pPr>
              <w:spacing w:line="240" w:lineRule="auto"/>
            </w:pPr>
            <w:r w:rsidRPr="00447A00">
              <w:t>Implementacijom mjere ostvariti će se slijedeći pozitivni učinci:</w:t>
            </w:r>
          </w:p>
          <w:p w14:paraId="23BEFBAC" w14:textId="42DC6C24" w:rsidR="00EF5DA2" w:rsidRPr="00447A00" w:rsidRDefault="00EF5DA2" w:rsidP="00B26936">
            <w:pPr>
              <w:numPr>
                <w:ilvl w:val="0"/>
                <w:numId w:val="54"/>
              </w:numPr>
              <w:spacing w:line="240" w:lineRule="auto"/>
              <w:ind w:left="316" w:hanging="270"/>
              <w:contextualSpacing/>
            </w:pPr>
            <w:r w:rsidRPr="00447A00">
              <w:t xml:space="preserve"> Smanjenje potrošnje energije</w:t>
            </w:r>
            <w:r w:rsidR="000509A0">
              <w:t xml:space="preserve"> i </w:t>
            </w:r>
            <w:r w:rsidRPr="00447A00">
              <w:t>smanjenje emisija CO2;</w:t>
            </w:r>
          </w:p>
          <w:p w14:paraId="70C9BC97" w14:textId="1D2D7826" w:rsidR="00EF5DA2" w:rsidRPr="00447A00" w:rsidRDefault="00EF5DA2" w:rsidP="00B26936">
            <w:pPr>
              <w:numPr>
                <w:ilvl w:val="0"/>
                <w:numId w:val="15"/>
              </w:numPr>
              <w:spacing w:line="240" w:lineRule="auto"/>
              <w:ind w:left="346" w:hanging="314"/>
              <w:contextualSpacing/>
            </w:pPr>
            <w:r w:rsidRPr="00447A00">
              <w:lastRenderedPageBreak/>
              <w:t>Povećanje prometnog kapaciteta</w:t>
            </w:r>
            <w:r w:rsidR="000509A0">
              <w:t xml:space="preserve"> i </w:t>
            </w:r>
            <w:r w:rsidRPr="00447A00">
              <w:t>prosječne brzine vožnje tramvaja;</w:t>
            </w:r>
          </w:p>
          <w:p w14:paraId="0654D529" w14:textId="7466FFD3" w:rsidR="00EF5DA2" w:rsidRPr="00447A00" w:rsidRDefault="00EF5DA2" w:rsidP="00B26936">
            <w:pPr>
              <w:numPr>
                <w:ilvl w:val="0"/>
                <w:numId w:val="15"/>
              </w:numPr>
              <w:spacing w:after="0" w:line="240" w:lineRule="auto"/>
              <w:ind w:left="346" w:hanging="314"/>
              <w:contextualSpacing/>
            </w:pPr>
            <w:r w:rsidRPr="00447A00">
              <w:t>Smanjenje troškova vezane za energiju vuče</w:t>
            </w:r>
            <w:r w:rsidR="000509A0">
              <w:t xml:space="preserve"> i </w:t>
            </w:r>
            <w:r w:rsidRPr="00447A00">
              <w:t>smanjenje troškova održavanja;</w:t>
            </w:r>
          </w:p>
          <w:p w14:paraId="7F82335F" w14:textId="2E71406F" w:rsidR="00EF5DA2" w:rsidRPr="00447A00" w:rsidRDefault="00EF5DA2" w:rsidP="00B26936">
            <w:pPr>
              <w:numPr>
                <w:ilvl w:val="0"/>
                <w:numId w:val="15"/>
              </w:numPr>
              <w:spacing w:after="0" w:line="240" w:lineRule="auto"/>
              <w:ind w:left="346" w:hanging="314"/>
              <w:contextualSpacing/>
            </w:pPr>
            <w:r w:rsidRPr="00447A00">
              <w:t>Povećanje atraktivnosti tramvajskog prometa</w:t>
            </w:r>
            <w:r w:rsidR="000509A0">
              <w:t xml:space="preserve"> i </w:t>
            </w:r>
            <w:r w:rsidRPr="00447A00">
              <w:t>povećanje broja prevezenih putnika po km.</w:t>
            </w:r>
          </w:p>
          <w:p w14:paraId="40F9CD88" w14:textId="77777777" w:rsidR="00EF5DA2" w:rsidRPr="00447A00" w:rsidRDefault="00EF5DA2" w:rsidP="00B26936">
            <w:pPr>
              <w:spacing w:after="0" w:line="240" w:lineRule="auto"/>
              <w:ind w:left="32"/>
            </w:pPr>
          </w:p>
          <w:p w14:paraId="0F428DD9" w14:textId="3D406A36" w:rsidR="00EF5DA2" w:rsidRPr="00BF405C" w:rsidRDefault="00EF5DA2" w:rsidP="00B26936">
            <w:pPr>
              <w:spacing w:after="0" w:line="240" w:lineRule="auto"/>
              <w:ind w:left="32"/>
              <w:rPr>
                <w:rFonts w:ascii="Calibri" w:hAnsi="Calibri"/>
              </w:rPr>
            </w:pPr>
            <w:r w:rsidRPr="00447A00">
              <w:t>Mjera je u skladu s razvojnom strategijom Grada Zagreba - ZAGREBPLAN, Prioritet C4.P3 - Unaprjeđenje infrastrukture prometnih sustava, Mjerom C4.P3.M3 - Unaprjeđivanje javnog putničkog prijevoza, a realizacijom</w:t>
            </w:r>
            <w:r w:rsidRPr="00447A00">
              <w:rPr>
                <w:rFonts w:ascii="Calibri" w:hAnsi="Calibri"/>
              </w:rPr>
              <w:t xml:space="preserve"> konkretnih aktivnosti doprinijeti će se povećanju učešća javnog prijevoza putnika uz smanjene učešća osobnih vozila u ukupnom broju ostvarenih putovanja na području grada Zagreba,</w:t>
            </w:r>
            <w:r w:rsidR="00B25B9E">
              <w:rPr>
                <w:rFonts w:ascii="Calibri" w:hAnsi="Calibri"/>
              </w:rPr>
              <w:t xml:space="preserve"> </w:t>
            </w:r>
            <w:r w:rsidRPr="00447A00">
              <w:rPr>
                <w:rFonts w:ascii="Calibri" w:hAnsi="Calibri"/>
              </w:rPr>
              <w:t>povećanju kvalitete javnog prijevoza općenito, povećanju sigurnosti</w:t>
            </w:r>
            <w:r w:rsidR="00B25B9E">
              <w:rPr>
                <w:rFonts w:ascii="Calibri" w:hAnsi="Calibri"/>
              </w:rPr>
              <w:t xml:space="preserve"> </w:t>
            </w:r>
            <w:r w:rsidRPr="00447A00">
              <w:rPr>
                <w:rFonts w:ascii="Calibri" w:hAnsi="Calibri"/>
              </w:rPr>
              <w:t>sudionika u prometu te u povećanju mobilnosti građana.</w:t>
            </w:r>
          </w:p>
        </w:tc>
      </w:tr>
      <w:bookmarkEnd w:id="236"/>
    </w:tbl>
    <w:p w14:paraId="01B9AF2B" w14:textId="77777777" w:rsidR="00EF5DA2" w:rsidRPr="00447A00" w:rsidRDefault="00EF5DA2" w:rsidP="00EF5D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2F9811E9" w14:textId="77777777" w:rsidTr="005808FC">
        <w:trPr>
          <w:trHeight w:val="227"/>
        </w:trPr>
        <w:tc>
          <w:tcPr>
            <w:tcW w:w="3415" w:type="dxa"/>
            <w:shd w:val="clear" w:color="auto" w:fill="C6D9F1" w:themeFill="text2" w:themeFillTint="33"/>
          </w:tcPr>
          <w:p w14:paraId="4B81B1A7"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498933E1"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15</w:t>
            </w:r>
          </w:p>
        </w:tc>
      </w:tr>
      <w:tr w:rsidR="00EF5DA2" w:rsidRPr="00447A00" w14:paraId="23CD7472" w14:textId="77777777" w:rsidTr="005808FC">
        <w:trPr>
          <w:trHeight w:val="603"/>
        </w:trPr>
        <w:tc>
          <w:tcPr>
            <w:tcW w:w="3415" w:type="dxa"/>
            <w:shd w:val="clear" w:color="auto" w:fill="C6D9F1" w:themeFill="text2" w:themeFillTint="33"/>
          </w:tcPr>
          <w:p w14:paraId="77F3E2F2" w14:textId="77777777" w:rsidR="00EF5DA2" w:rsidRPr="005808FC" w:rsidRDefault="00EF5DA2" w:rsidP="005808FC">
            <w:pPr>
              <w:spacing w:after="0" w:line="240" w:lineRule="auto"/>
              <w:rPr>
                <w:rFonts w:eastAsia="Calibri" w:cs="Times New Roman"/>
                <w:b/>
                <w:bCs/>
              </w:rPr>
            </w:pPr>
            <w:r w:rsidRPr="00BF405C">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62564CCE" w14:textId="77D53A79" w:rsidR="00EF5DA2" w:rsidRPr="005808FC" w:rsidRDefault="00EF5DA2" w:rsidP="005808FC">
            <w:pPr>
              <w:spacing w:after="0" w:line="240" w:lineRule="auto"/>
              <w:rPr>
                <w:rFonts w:eastAsia="Calibri" w:cs="Times New Roman"/>
                <w:b/>
                <w:bCs/>
              </w:rPr>
            </w:pPr>
            <w:r w:rsidRPr="00291DF5">
              <w:rPr>
                <w:rFonts w:eastAsia="Calibri" w:cs="Times New Roman"/>
                <w:b/>
                <w:bCs/>
              </w:rPr>
              <w:t>Korištenje inovativnih pogonskih sustava u javnom gradskom prijevozu</w:t>
            </w:r>
          </w:p>
        </w:tc>
      </w:tr>
      <w:tr w:rsidR="00EF5DA2" w:rsidRPr="00447A00" w14:paraId="168CBF65" w14:textId="77777777" w:rsidTr="005808FC">
        <w:trPr>
          <w:trHeight w:val="227"/>
        </w:trPr>
        <w:tc>
          <w:tcPr>
            <w:tcW w:w="3415" w:type="dxa"/>
            <w:shd w:val="clear" w:color="auto" w:fill="F2DBDB" w:themeFill="accent2" w:themeFillTint="33"/>
          </w:tcPr>
          <w:p w14:paraId="1BF90BB0" w14:textId="77777777" w:rsidR="00EF5DA2" w:rsidRPr="005808FC" w:rsidRDefault="00EF5DA2" w:rsidP="005808FC">
            <w:pPr>
              <w:spacing w:line="240" w:lineRule="auto"/>
              <w:rPr>
                <w:b/>
                <w:bCs/>
              </w:rPr>
            </w:pPr>
            <w:r w:rsidRPr="00291DF5">
              <w:rPr>
                <w:b/>
                <w:bCs/>
              </w:rPr>
              <w:t>Nositelji aktivnosti :</w:t>
            </w:r>
          </w:p>
        </w:tc>
        <w:tc>
          <w:tcPr>
            <w:tcW w:w="5601" w:type="dxa"/>
          </w:tcPr>
          <w:p w14:paraId="5052E0F4" w14:textId="499A6C7C" w:rsidR="00EF5DA2" w:rsidRPr="00447A00" w:rsidRDefault="00EF5DA2" w:rsidP="00F91582">
            <w:pPr>
              <w:numPr>
                <w:ilvl w:val="0"/>
                <w:numId w:val="9"/>
              </w:numPr>
              <w:spacing w:after="0" w:line="240" w:lineRule="auto"/>
              <w:ind w:left="482" w:hanging="357"/>
            </w:pPr>
            <w:r w:rsidRPr="00447A00">
              <w:t>ZET, d.o.o.</w:t>
            </w:r>
          </w:p>
        </w:tc>
      </w:tr>
      <w:tr w:rsidR="00EF5DA2" w:rsidRPr="00447A00" w14:paraId="21E10EBA" w14:textId="77777777" w:rsidTr="005808FC">
        <w:trPr>
          <w:trHeight w:val="227"/>
        </w:trPr>
        <w:tc>
          <w:tcPr>
            <w:tcW w:w="3415" w:type="dxa"/>
            <w:shd w:val="clear" w:color="auto" w:fill="F2DBDB" w:themeFill="accent2" w:themeFillTint="33"/>
          </w:tcPr>
          <w:p w14:paraId="3097357F"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33EC1EA2" w14:textId="77777777" w:rsidR="00EF5DA2" w:rsidRPr="00447A00" w:rsidRDefault="00EF5DA2" w:rsidP="00B26936">
            <w:pPr>
              <w:numPr>
                <w:ilvl w:val="0"/>
                <w:numId w:val="9"/>
              </w:numPr>
              <w:spacing w:after="0" w:line="240" w:lineRule="auto"/>
              <w:ind w:left="482" w:hanging="357"/>
            </w:pPr>
            <w:r w:rsidRPr="00447A00">
              <w:t>Integrirani promet zagrebačkog područja, d.o.o.</w:t>
            </w:r>
          </w:p>
          <w:p w14:paraId="045FE9FF" w14:textId="49C1A2B0" w:rsidR="00EF5DA2" w:rsidRPr="00447A00" w:rsidRDefault="00EF5DA2" w:rsidP="00B26936">
            <w:pPr>
              <w:numPr>
                <w:ilvl w:val="0"/>
                <w:numId w:val="9"/>
              </w:numPr>
              <w:spacing w:after="0" w:line="240" w:lineRule="auto"/>
              <w:ind w:left="482" w:hanging="357"/>
            </w:pPr>
            <w:r w:rsidRPr="00447A00">
              <w:t>Gradski ured za prostorno uređenje, komunalne poslove</w:t>
            </w:r>
            <w:r w:rsidR="000509A0">
              <w:t xml:space="preserve"> i </w:t>
            </w:r>
            <w:r w:rsidRPr="00447A00">
              <w:t>promet</w:t>
            </w:r>
          </w:p>
          <w:p w14:paraId="6EA09780" w14:textId="248B14E7" w:rsidR="00EF5DA2" w:rsidRPr="00447A00" w:rsidDel="00436CBA" w:rsidRDefault="00EF5DA2" w:rsidP="00B26936">
            <w:pPr>
              <w:numPr>
                <w:ilvl w:val="0"/>
                <w:numId w:val="9"/>
              </w:numPr>
              <w:spacing w:after="0" w:line="240" w:lineRule="auto"/>
              <w:ind w:left="482" w:hanging="357"/>
            </w:pPr>
            <w:r w:rsidRPr="00447A00">
              <w:t>Gradski ured za gospodarstvo, energetiku</w:t>
            </w:r>
            <w:r w:rsidR="000509A0">
              <w:t xml:space="preserve"> i </w:t>
            </w:r>
            <w:r w:rsidRPr="00447A00">
              <w:t>zaštitu okoliša</w:t>
            </w:r>
          </w:p>
        </w:tc>
      </w:tr>
      <w:tr w:rsidR="00EF5DA2" w:rsidRPr="00447A00" w14:paraId="7808DD7B" w14:textId="77777777" w:rsidTr="005808FC">
        <w:trPr>
          <w:trHeight w:val="227"/>
        </w:trPr>
        <w:tc>
          <w:tcPr>
            <w:tcW w:w="3415" w:type="dxa"/>
            <w:shd w:val="clear" w:color="auto" w:fill="F2DBDB" w:themeFill="accent2" w:themeFillTint="33"/>
          </w:tcPr>
          <w:p w14:paraId="51FEA78C" w14:textId="77777777" w:rsidR="00EF5DA2" w:rsidRPr="005808FC" w:rsidRDefault="00EF5DA2" w:rsidP="005808FC">
            <w:pPr>
              <w:spacing w:line="240" w:lineRule="auto"/>
              <w:rPr>
                <w:b/>
                <w:bCs/>
              </w:rPr>
            </w:pPr>
            <w:r w:rsidRPr="00291DF5">
              <w:rPr>
                <w:b/>
                <w:bCs/>
              </w:rPr>
              <w:t>Početak/kraj provedbe (godine)</w:t>
            </w:r>
          </w:p>
        </w:tc>
        <w:tc>
          <w:tcPr>
            <w:tcW w:w="5601" w:type="dxa"/>
          </w:tcPr>
          <w:p w14:paraId="316E859E" w14:textId="06ADA907" w:rsidR="00EF5DA2" w:rsidRPr="005808FC" w:rsidRDefault="00EF5DA2" w:rsidP="005808FC">
            <w:pPr>
              <w:spacing w:after="0" w:line="240" w:lineRule="auto"/>
              <w:rPr>
                <w:rFonts w:eastAsia="Calibri"/>
                <w:b/>
              </w:rPr>
            </w:pPr>
            <w:r w:rsidRPr="005808FC">
              <w:rPr>
                <w:rFonts w:eastAsia="Calibri"/>
                <w:b/>
              </w:rPr>
              <w:t>2021-2030</w:t>
            </w:r>
          </w:p>
        </w:tc>
      </w:tr>
      <w:tr w:rsidR="00F91582" w:rsidRPr="00447A00" w14:paraId="572E0607" w14:textId="77777777" w:rsidTr="005808FC">
        <w:trPr>
          <w:trHeight w:val="227"/>
        </w:trPr>
        <w:tc>
          <w:tcPr>
            <w:tcW w:w="3415" w:type="dxa"/>
            <w:shd w:val="clear" w:color="auto" w:fill="F2DBDB" w:themeFill="accent2" w:themeFillTint="33"/>
          </w:tcPr>
          <w:p w14:paraId="3EC53CEE" w14:textId="470AF6AA" w:rsidR="00F91582" w:rsidRPr="005808FC" w:rsidRDefault="00F91582" w:rsidP="005808FC">
            <w:pPr>
              <w:spacing w:line="240" w:lineRule="auto"/>
              <w:rPr>
                <w:b/>
                <w:bCs/>
              </w:rPr>
            </w:pPr>
            <w:r w:rsidRPr="00291DF5">
              <w:rPr>
                <w:b/>
                <w:bCs/>
              </w:rPr>
              <w:t>Procjena uštede (MWh)</w:t>
            </w:r>
          </w:p>
        </w:tc>
        <w:tc>
          <w:tcPr>
            <w:tcW w:w="5601" w:type="dxa"/>
          </w:tcPr>
          <w:p w14:paraId="2FBF4104" w14:textId="06D5C988" w:rsidR="00F91582" w:rsidRPr="005808FC" w:rsidRDefault="00C671A8" w:rsidP="00F91582">
            <w:pPr>
              <w:spacing w:after="0" w:line="240" w:lineRule="auto"/>
              <w:rPr>
                <w:rFonts w:ascii="Century Gothic" w:eastAsia="Calibri" w:hAnsi="Century Gothic" w:cs="Times New Roman"/>
                <w:b/>
                <w:sz w:val="18"/>
                <w:szCs w:val="18"/>
              </w:rPr>
            </w:pPr>
            <w:r w:rsidRPr="005808FC">
              <w:rPr>
                <w:b/>
              </w:rPr>
              <w:t>22.861,1</w:t>
            </w:r>
          </w:p>
        </w:tc>
      </w:tr>
      <w:tr w:rsidR="00F91582" w:rsidRPr="00447A00" w14:paraId="34C83949" w14:textId="77777777" w:rsidTr="005808FC">
        <w:trPr>
          <w:trHeight w:val="227"/>
        </w:trPr>
        <w:tc>
          <w:tcPr>
            <w:tcW w:w="3415" w:type="dxa"/>
            <w:shd w:val="clear" w:color="auto" w:fill="F2DBDB" w:themeFill="accent2" w:themeFillTint="33"/>
          </w:tcPr>
          <w:p w14:paraId="1BAA10A3" w14:textId="77777777" w:rsidR="00F91582" w:rsidRPr="005808FC" w:rsidRDefault="00F91582" w:rsidP="005808FC">
            <w:pPr>
              <w:spacing w:line="240" w:lineRule="auto"/>
              <w:rPr>
                <w:b/>
                <w:bCs/>
              </w:rPr>
            </w:pPr>
            <w:r w:rsidRPr="00291DF5">
              <w:rPr>
                <w:b/>
                <w:bCs/>
              </w:rPr>
              <w:t>Procjena smanjenja emisije (t CO2)</w:t>
            </w:r>
          </w:p>
        </w:tc>
        <w:tc>
          <w:tcPr>
            <w:tcW w:w="5601" w:type="dxa"/>
          </w:tcPr>
          <w:p w14:paraId="664D0BBD" w14:textId="6CDE5793" w:rsidR="00F91582" w:rsidRPr="005808FC" w:rsidRDefault="00455211" w:rsidP="00F91582">
            <w:pPr>
              <w:spacing w:after="0" w:line="240" w:lineRule="auto"/>
              <w:rPr>
                <w:rFonts w:ascii="Century Gothic" w:eastAsia="Calibri" w:hAnsi="Century Gothic" w:cs="Times New Roman"/>
                <w:b/>
                <w:sz w:val="18"/>
                <w:szCs w:val="18"/>
              </w:rPr>
            </w:pPr>
            <w:r w:rsidRPr="00291DF5">
              <w:rPr>
                <w:b/>
              </w:rPr>
              <w:t>5.746,3</w:t>
            </w:r>
          </w:p>
        </w:tc>
      </w:tr>
      <w:tr w:rsidR="00EF5DA2" w:rsidRPr="00447A00" w14:paraId="1CE5FC08" w14:textId="77777777" w:rsidTr="005808FC">
        <w:trPr>
          <w:trHeight w:val="227"/>
        </w:trPr>
        <w:tc>
          <w:tcPr>
            <w:tcW w:w="3415" w:type="dxa"/>
            <w:shd w:val="clear" w:color="auto" w:fill="F2DBDB" w:themeFill="accent2" w:themeFillTint="33"/>
          </w:tcPr>
          <w:p w14:paraId="34DB2C7B" w14:textId="77777777" w:rsidR="00EF5DA2" w:rsidRPr="005808FC" w:rsidRDefault="00EF5DA2" w:rsidP="005808FC">
            <w:pPr>
              <w:spacing w:line="240" w:lineRule="auto"/>
              <w:rPr>
                <w:b/>
                <w:bCs/>
              </w:rPr>
            </w:pPr>
            <w:r w:rsidRPr="00291DF5">
              <w:rPr>
                <w:b/>
                <w:bCs/>
              </w:rPr>
              <w:t xml:space="preserve">Izvor sredstava za </w:t>
            </w:r>
            <w:r w:rsidRPr="005808FC">
              <w:rPr>
                <w:b/>
                <w:bCs/>
              </w:rPr>
              <w:t>provedbu</w:t>
            </w:r>
          </w:p>
        </w:tc>
        <w:tc>
          <w:tcPr>
            <w:tcW w:w="5601" w:type="dxa"/>
          </w:tcPr>
          <w:p w14:paraId="57463888" w14:textId="77777777" w:rsidR="00EF5DA2" w:rsidRPr="00447A00" w:rsidRDefault="00EF5DA2" w:rsidP="00B26936">
            <w:pPr>
              <w:numPr>
                <w:ilvl w:val="0"/>
                <w:numId w:val="9"/>
              </w:numPr>
              <w:spacing w:after="0" w:line="240" w:lineRule="auto"/>
              <w:ind w:left="482" w:hanging="357"/>
            </w:pPr>
            <w:r w:rsidRPr="00447A00">
              <w:t>Gradski proračun</w:t>
            </w:r>
          </w:p>
          <w:p w14:paraId="3BF3AF0B" w14:textId="77777777" w:rsidR="00EF5DA2" w:rsidRPr="00447A00" w:rsidRDefault="00EF5DA2" w:rsidP="00B26936">
            <w:pPr>
              <w:numPr>
                <w:ilvl w:val="0"/>
                <w:numId w:val="9"/>
              </w:numPr>
              <w:spacing w:after="0" w:line="240" w:lineRule="auto"/>
              <w:ind w:left="482" w:hanging="357"/>
            </w:pPr>
            <w:r w:rsidRPr="00447A00">
              <w:t>Državni proračun</w:t>
            </w:r>
          </w:p>
          <w:p w14:paraId="3CD1FC4D" w14:textId="77777777" w:rsidR="000D58DB" w:rsidRPr="00447A00" w:rsidRDefault="000D58DB" w:rsidP="000D58DB">
            <w:pPr>
              <w:numPr>
                <w:ilvl w:val="0"/>
                <w:numId w:val="9"/>
              </w:numPr>
              <w:spacing w:after="0" w:line="240" w:lineRule="auto"/>
              <w:ind w:left="482" w:hanging="357"/>
            </w:pPr>
            <w:r w:rsidRPr="00447A00">
              <w:t>E</w:t>
            </w:r>
            <w:r>
              <w:t>uropski strukturni i investicijski fondovi</w:t>
            </w:r>
          </w:p>
          <w:p w14:paraId="22D521C7" w14:textId="77777777" w:rsidR="00EF5DA2" w:rsidRPr="00447A00" w:rsidRDefault="00EF5DA2" w:rsidP="00B26936">
            <w:pPr>
              <w:numPr>
                <w:ilvl w:val="0"/>
                <w:numId w:val="9"/>
              </w:numPr>
              <w:spacing w:after="0" w:line="240" w:lineRule="auto"/>
              <w:ind w:left="482" w:hanging="357"/>
            </w:pPr>
            <w:r w:rsidRPr="00447A00">
              <w:t>Programi unije</w:t>
            </w:r>
          </w:p>
          <w:p w14:paraId="657D8F0E" w14:textId="77777777" w:rsidR="00EF5DA2" w:rsidRPr="00447A00" w:rsidRDefault="00EF5DA2" w:rsidP="00B26936">
            <w:pPr>
              <w:numPr>
                <w:ilvl w:val="0"/>
                <w:numId w:val="9"/>
              </w:numPr>
              <w:spacing w:after="0" w:line="240" w:lineRule="auto"/>
              <w:ind w:left="482" w:hanging="357"/>
            </w:pPr>
            <w:r w:rsidRPr="00447A00">
              <w:t>FZOEU</w:t>
            </w:r>
          </w:p>
        </w:tc>
      </w:tr>
      <w:tr w:rsidR="00EF5DA2" w:rsidRPr="00447A00" w14:paraId="45FA6423" w14:textId="77777777" w:rsidTr="5886DDC2">
        <w:trPr>
          <w:trHeight w:val="983"/>
        </w:trPr>
        <w:tc>
          <w:tcPr>
            <w:tcW w:w="3415" w:type="dxa"/>
            <w:shd w:val="clear" w:color="auto" w:fill="F2DBDB" w:themeFill="accent2" w:themeFillTint="33"/>
          </w:tcPr>
          <w:p w14:paraId="3E02809E" w14:textId="78C3EE89" w:rsidR="00EF5DA2" w:rsidRPr="005808FC" w:rsidRDefault="00F91582" w:rsidP="005808FC">
            <w:pPr>
              <w:spacing w:line="240" w:lineRule="auto"/>
              <w:rPr>
                <w:b/>
                <w:bCs/>
                <w:shd w:val="clear" w:color="auto" w:fill="FFFFFF"/>
              </w:rPr>
            </w:pPr>
            <w:r w:rsidRPr="005808FC">
              <w:rPr>
                <w:b/>
                <w:bCs/>
              </w:rPr>
              <w:t>Kratki opis/komentar</w:t>
            </w:r>
          </w:p>
        </w:tc>
        <w:tc>
          <w:tcPr>
            <w:tcW w:w="5601" w:type="dxa"/>
          </w:tcPr>
          <w:p w14:paraId="010D12B5" w14:textId="0E491CB0" w:rsidR="00EF5DA2" w:rsidRPr="005808FC" w:rsidRDefault="00EF5DA2" w:rsidP="005808FC">
            <w:pPr>
              <w:spacing w:after="0" w:line="240" w:lineRule="auto"/>
              <w:rPr>
                <w:shd w:val="clear" w:color="auto" w:fill="FFFFFF"/>
              </w:rPr>
            </w:pPr>
            <w:r w:rsidRPr="00291DF5">
              <w:rPr>
                <w:shd w:val="clear" w:color="auto" w:fill="FFFFFF"/>
              </w:rPr>
              <w:t>U fokusu ove mjere su svi tipovi mobilnosti koji mogu ostvariti prijelaz s korištenja goriva fosilnog porijekla na nove tipove dostupnih pogona, kao što je np</w:t>
            </w:r>
            <w:r w:rsidRPr="005808FC">
              <w:rPr>
                <w:shd w:val="clear" w:color="auto" w:fill="FFFFFF"/>
              </w:rPr>
              <w:t>r. električni pogon</w:t>
            </w:r>
            <w:r w:rsidR="00F33D17">
              <w:rPr>
                <w:shd w:val="clear" w:color="auto" w:fill="FFFFFF"/>
              </w:rPr>
              <w:t xml:space="preserve"> ili pogon na vodik</w:t>
            </w:r>
            <w:r w:rsidRPr="005808FC">
              <w:rPr>
                <w:shd w:val="clear" w:color="auto" w:fill="FFFFFF"/>
              </w:rPr>
              <w:t>, a odnosi se sustav javnog gradskog prijevoza.</w:t>
            </w:r>
            <w:r w:rsidR="003F0783">
              <w:rPr>
                <w:shd w:val="clear" w:color="auto" w:fill="FFFFFF"/>
              </w:rPr>
              <w:t xml:space="preserve"> Tranzicijskim gorivom za pogon autobusa smatra se ukapljeni naftni plin. </w:t>
            </w:r>
            <w:r w:rsidRPr="005808FC">
              <w:rPr>
                <w:shd w:val="clear" w:color="auto" w:fill="FFFFFF"/>
              </w:rPr>
              <w:t>Prijelaz s klasičnih pogonskih sustava na npr. električni pogon ima izravan učinak na smanjenje emisija onečišćujućih tvari u zrak (CO, NOx), smanjenje emisija CO2</w:t>
            </w:r>
            <w:r w:rsidR="000509A0">
              <w:rPr>
                <w:shd w:val="clear" w:color="auto" w:fill="FFFFFF"/>
              </w:rPr>
              <w:t xml:space="preserve"> i </w:t>
            </w:r>
            <w:r w:rsidRPr="00291DF5">
              <w:rPr>
                <w:shd w:val="clear" w:color="auto" w:fill="FFFFFF"/>
              </w:rPr>
              <w:t>smanjenje razina buk</w:t>
            </w:r>
            <w:r w:rsidRPr="005808FC">
              <w:rPr>
                <w:shd w:val="clear" w:color="auto" w:fill="FFFFFF"/>
              </w:rPr>
              <w:t>e. Trenutne, a svakako</w:t>
            </w:r>
            <w:r w:rsidR="000509A0">
              <w:rPr>
                <w:shd w:val="clear" w:color="auto" w:fill="FFFFFF"/>
              </w:rPr>
              <w:t xml:space="preserve"> i </w:t>
            </w:r>
            <w:r w:rsidRPr="00291DF5">
              <w:rPr>
                <w:shd w:val="clear" w:color="auto" w:fill="FFFFFF"/>
              </w:rPr>
              <w:t xml:space="preserve">buduće dostupne pogonske tehnologije imaju značajan </w:t>
            </w:r>
            <w:r w:rsidRPr="00291DF5">
              <w:rPr>
                <w:shd w:val="clear" w:color="auto" w:fill="FFFFFF"/>
              </w:rPr>
              <w:lastRenderedPageBreak/>
              <w:t>potencijal radikalno promijeniti</w:t>
            </w:r>
            <w:r w:rsidR="000509A0">
              <w:rPr>
                <w:shd w:val="clear" w:color="auto" w:fill="FFFFFF"/>
              </w:rPr>
              <w:t xml:space="preserve"> i </w:t>
            </w:r>
            <w:r w:rsidRPr="00291DF5">
              <w:rPr>
                <w:shd w:val="clear" w:color="auto" w:fill="FFFFFF"/>
              </w:rPr>
              <w:t>unaprijediti javni gradski prijevoz koji</w:t>
            </w:r>
            <w:r w:rsidR="000509A0">
              <w:rPr>
                <w:shd w:val="clear" w:color="auto" w:fill="FFFFFF"/>
              </w:rPr>
              <w:t xml:space="preserve"> i </w:t>
            </w:r>
            <w:r w:rsidRPr="00291DF5">
              <w:rPr>
                <w:shd w:val="clear" w:color="auto" w:fill="FFFFFF"/>
              </w:rPr>
              <w:t xml:space="preserve">dalje predstavlja vrlo velik udio u ukupnoj transportnoj shemi grada Zagreba, u </w:t>
            </w:r>
            <w:r w:rsidRPr="005808FC">
              <w:rPr>
                <w:shd w:val="clear" w:color="auto" w:fill="FFFFFF"/>
              </w:rPr>
              <w:t>holističkom pristupu održivom prometnom sustavu. U sklopu rješenja potrebno je planirati</w:t>
            </w:r>
            <w:r w:rsidR="000509A0">
              <w:rPr>
                <w:shd w:val="clear" w:color="auto" w:fill="FFFFFF"/>
              </w:rPr>
              <w:t xml:space="preserve"> i </w:t>
            </w:r>
            <w:r w:rsidRPr="00291DF5">
              <w:rPr>
                <w:shd w:val="clear" w:color="auto" w:fill="FFFFFF"/>
              </w:rPr>
              <w:t>mapiranje potreba za punionicama</w:t>
            </w:r>
            <w:r w:rsidR="000509A0">
              <w:rPr>
                <w:shd w:val="clear" w:color="auto" w:fill="FFFFFF"/>
              </w:rPr>
              <w:t xml:space="preserve"> i </w:t>
            </w:r>
            <w:r w:rsidRPr="00291DF5">
              <w:rPr>
                <w:shd w:val="clear" w:color="auto" w:fill="FFFFFF"/>
              </w:rPr>
              <w:t>integraciju s elektroenergetskim sustavom pri čemu će se mapirati postojeće</w:t>
            </w:r>
            <w:r w:rsidR="000509A0">
              <w:rPr>
                <w:shd w:val="clear" w:color="auto" w:fill="FFFFFF"/>
              </w:rPr>
              <w:t xml:space="preserve"> i </w:t>
            </w:r>
            <w:r w:rsidRPr="00291DF5">
              <w:rPr>
                <w:shd w:val="clear" w:color="auto" w:fill="FFFFFF"/>
              </w:rPr>
              <w:t>buduće potrebe za infrastrukturom punionica</w:t>
            </w:r>
            <w:r w:rsidRPr="005808FC">
              <w:rPr>
                <w:shd w:val="clear" w:color="auto" w:fill="FFFFFF"/>
              </w:rPr>
              <w:t>.</w:t>
            </w:r>
            <w:r w:rsidR="003F0783">
              <w:rPr>
                <w:shd w:val="clear" w:color="auto" w:fill="FFFFFF"/>
              </w:rPr>
              <w:t xml:space="preserve"> Dinamika ove mjera je izravno ovisna o napretku tehnologije i imati će izravan učinak na konkretne aktivnosti.</w:t>
            </w:r>
          </w:p>
          <w:p w14:paraId="6D934D0B" w14:textId="77777777" w:rsidR="00EF5DA2" w:rsidRPr="005808FC" w:rsidRDefault="00EF5DA2" w:rsidP="005808FC">
            <w:pPr>
              <w:spacing w:after="0" w:line="240" w:lineRule="auto"/>
              <w:rPr>
                <w:shd w:val="clear" w:color="auto" w:fill="FFFFFF"/>
              </w:rPr>
            </w:pPr>
            <w:r w:rsidRPr="00291DF5">
              <w:rPr>
                <w:shd w:val="clear" w:color="auto" w:fill="FFFFFF"/>
              </w:rPr>
              <w:t>Konkretne aktivnosti podrazumijevaju:</w:t>
            </w:r>
          </w:p>
          <w:p w14:paraId="46FF8E0A" w14:textId="74E8EAF3" w:rsidR="00EF5DA2" w:rsidRPr="00700549" w:rsidRDefault="00EF5DA2" w:rsidP="005808FC">
            <w:pPr>
              <w:numPr>
                <w:ilvl w:val="0"/>
                <w:numId w:val="56"/>
              </w:numPr>
              <w:spacing w:after="0" w:line="240" w:lineRule="auto"/>
              <w:contextualSpacing/>
            </w:pPr>
            <w:r w:rsidRPr="00291DF5">
              <w:rPr>
                <w:shd w:val="clear" w:color="auto" w:fill="FFFFFF"/>
              </w:rPr>
              <w:t xml:space="preserve">Provedbu pilot projekta uvođenja </w:t>
            </w:r>
            <w:r w:rsidR="0051709B">
              <w:rPr>
                <w:shd w:val="clear" w:color="auto" w:fill="FFFFFF"/>
              </w:rPr>
              <w:t>autobusa na alternativni pogon (elektro, vodik…)</w:t>
            </w:r>
            <w:r w:rsidRPr="005808FC">
              <w:rPr>
                <w:shd w:val="clear" w:color="auto" w:fill="FFFFFF"/>
              </w:rPr>
              <w:t xml:space="preserve"> na tipskim linijama u svrhu dobivanja ključnih pokazatelja za pripremu sveobuhvatnijeg projekta;</w:t>
            </w:r>
          </w:p>
          <w:p w14:paraId="54F9025A" w14:textId="69659DB5" w:rsidR="00EF5DA2" w:rsidRPr="00700549" w:rsidRDefault="00EF5DA2" w:rsidP="005808FC">
            <w:pPr>
              <w:numPr>
                <w:ilvl w:val="0"/>
                <w:numId w:val="56"/>
              </w:numPr>
              <w:spacing w:after="0" w:line="240" w:lineRule="auto"/>
              <w:contextualSpacing/>
            </w:pPr>
            <w:r w:rsidRPr="00291DF5">
              <w:rPr>
                <w:shd w:val="clear" w:color="auto" w:fill="FFFFFF"/>
              </w:rPr>
              <w:t>Analizu mogućnosti uvođenja autobusa</w:t>
            </w:r>
            <w:r w:rsidR="0051709B">
              <w:rPr>
                <w:shd w:val="clear" w:color="auto" w:fill="FFFFFF"/>
              </w:rPr>
              <w:t xml:space="preserve"> </w:t>
            </w:r>
            <w:r w:rsidRPr="00291DF5">
              <w:rPr>
                <w:shd w:val="clear" w:color="auto" w:fill="FFFFFF"/>
              </w:rPr>
              <w:t xml:space="preserve">na </w:t>
            </w:r>
            <w:r w:rsidR="0051709B">
              <w:rPr>
                <w:shd w:val="clear" w:color="auto" w:fill="FFFFFF"/>
              </w:rPr>
              <w:t>alternativni</w:t>
            </w:r>
            <w:r w:rsidRPr="00291DF5">
              <w:rPr>
                <w:shd w:val="clear" w:color="auto" w:fill="FFFFFF"/>
              </w:rPr>
              <w:t xml:space="preserve"> pogon </w:t>
            </w:r>
            <w:r w:rsidR="0051709B">
              <w:rPr>
                <w:shd w:val="clear" w:color="auto" w:fill="FFFFFF"/>
              </w:rPr>
              <w:t>(elektro, vodik…)</w:t>
            </w:r>
            <w:r w:rsidRPr="00291DF5">
              <w:rPr>
                <w:shd w:val="clear" w:color="auto" w:fill="FFFFFF"/>
              </w:rPr>
              <w:t xml:space="preserve"> </w:t>
            </w:r>
            <w:r w:rsidR="006D6646">
              <w:rPr>
                <w:shd w:val="clear" w:color="auto" w:fill="FFFFFF"/>
              </w:rPr>
              <w:t>u</w:t>
            </w:r>
            <w:r w:rsidR="0051709B" w:rsidRPr="005808FC">
              <w:rPr>
                <w:shd w:val="clear" w:color="auto" w:fill="FFFFFF"/>
              </w:rPr>
              <w:t xml:space="preserve"> </w:t>
            </w:r>
            <w:r w:rsidRPr="00291DF5">
              <w:rPr>
                <w:shd w:val="clear" w:color="auto" w:fill="FFFFFF"/>
              </w:rPr>
              <w:t>autobusnu mrežu grada Zagreba, koja podrazumijeva određivanje tipa autobusa</w:t>
            </w:r>
            <w:r w:rsidR="000509A0">
              <w:rPr>
                <w:shd w:val="clear" w:color="auto" w:fill="FFFFFF"/>
              </w:rPr>
              <w:t xml:space="preserve"> i </w:t>
            </w:r>
            <w:r w:rsidRPr="00291DF5">
              <w:rPr>
                <w:shd w:val="clear" w:color="auto" w:fill="FFFFFF"/>
              </w:rPr>
              <w:t xml:space="preserve">potrebu izgradnje </w:t>
            </w:r>
            <w:r w:rsidRPr="005808FC">
              <w:rPr>
                <w:shd w:val="clear" w:color="auto" w:fill="FFFFFF"/>
              </w:rPr>
              <w:t>prateće infrastrukture (mreže punionica,</w:t>
            </w:r>
            <w:r w:rsidR="000509A0">
              <w:rPr>
                <w:shd w:val="clear" w:color="auto" w:fill="FFFFFF"/>
              </w:rPr>
              <w:t xml:space="preserve"> </w:t>
            </w:r>
            <w:r w:rsidRPr="00291DF5">
              <w:rPr>
                <w:shd w:val="clear" w:color="auto" w:fill="FFFFFF"/>
              </w:rPr>
              <w:t>unaprjeđenje elektro-infrastrukture, itd.);</w:t>
            </w:r>
          </w:p>
          <w:p w14:paraId="6FDC2609" w14:textId="748EF196" w:rsidR="00EF5DA2" w:rsidRPr="00700549" w:rsidRDefault="00EF5DA2" w:rsidP="005808FC">
            <w:pPr>
              <w:numPr>
                <w:ilvl w:val="0"/>
                <w:numId w:val="56"/>
              </w:numPr>
              <w:spacing w:after="0" w:line="240" w:lineRule="auto"/>
              <w:contextualSpacing/>
            </w:pPr>
            <w:r w:rsidRPr="00291DF5">
              <w:rPr>
                <w:shd w:val="clear" w:color="auto" w:fill="FFFFFF"/>
              </w:rPr>
              <w:t>Planiranje</w:t>
            </w:r>
            <w:r w:rsidR="000509A0">
              <w:rPr>
                <w:shd w:val="clear" w:color="auto" w:fill="FFFFFF"/>
              </w:rPr>
              <w:t xml:space="preserve"> i </w:t>
            </w:r>
            <w:r w:rsidRPr="00291DF5">
              <w:rPr>
                <w:shd w:val="clear" w:color="auto" w:fill="FFFFFF"/>
              </w:rPr>
              <w:t xml:space="preserve">sukcesivno uvođenje </w:t>
            </w:r>
            <w:r w:rsidR="006D6646">
              <w:rPr>
                <w:shd w:val="clear" w:color="auto" w:fill="FFFFFF"/>
              </w:rPr>
              <w:t>autobusa na alternativni pogon</w:t>
            </w:r>
            <w:r w:rsidR="000509A0">
              <w:rPr>
                <w:shd w:val="clear" w:color="auto" w:fill="FFFFFF"/>
              </w:rPr>
              <w:t xml:space="preserve"> i </w:t>
            </w:r>
            <w:r w:rsidRPr="00291DF5">
              <w:rPr>
                <w:shd w:val="clear" w:color="auto" w:fill="FFFFFF"/>
              </w:rPr>
              <w:t>prateće infrastrukture u autobusnu mrežu grada Zagreba;</w:t>
            </w:r>
          </w:p>
          <w:p w14:paraId="6BAC2453" w14:textId="2FFF7FC3" w:rsidR="00EF5DA2" w:rsidRPr="00700549" w:rsidRDefault="00EF5DA2" w:rsidP="005808FC">
            <w:pPr>
              <w:numPr>
                <w:ilvl w:val="0"/>
                <w:numId w:val="56"/>
              </w:numPr>
              <w:spacing w:after="0" w:line="240" w:lineRule="auto"/>
              <w:contextualSpacing/>
            </w:pPr>
            <w:r w:rsidRPr="00291DF5">
              <w:rPr>
                <w:shd w:val="clear" w:color="auto" w:fill="FFFFFF"/>
              </w:rPr>
              <w:t>Praćenje</w:t>
            </w:r>
            <w:r w:rsidR="000509A0">
              <w:rPr>
                <w:shd w:val="clear" w:color="auto" w:fill="FFFFFF"/>
              </w:rPr>
              <w:t xml:space="preserve"> i </w:t>
            </w:r>
            <w:r w:rsidRPr="00291DF5">
              <w:rPr>
                <w:shd w:val="clear" w:color="auto" w:fill="FFFFFF"/>
              </w:rPr>
              <w:t xml:space="preserve">optimiranje rada voznog parka na </w:t>
            </w:r>
            <w:r w:rsidR="006D6646">
              <w:rPr>
                <w:shd w:val="clear" w:color="auto" w:fill="FFFFFF"/>
              </w:rPr>
              <w:t>alternativni</w:t>
            </w:r>
            <w:r w:rsidRPr="00291DF5">
              <w:rPr>
                <w:shd w:val="clear" w:color="auto" w:fill="FFFFFF"/>
              </w:rPr>
              <w:t xml:space="preserve"> pog</w:t>
            </w:r>
            <w:r w:rsidRPr="005808FC">
              <w:rPr>
                <w:shd w:val="clear" w:color="auto" w:fill="FFFFFF"/>
              </w:rPr>
              <w:t>on</w:t>
            </w:r>
            <w:r w:rsidR="000509A0">
              <w:rPr>
                <w:shd w:val="clear" w:color="auto" w:fill="FFFFFF"/>
              </w:rPr>
              <w:t>.</w:t>
            </w:r>
          </w:p>
        </w:tc>
      </w:tr>
    </w:tbl>
    <w:p w14:paraId="072B29D5" w14:textId="77777777" w:rsidR="00FA7738" w:rsidRDefault="00FA7738">
      <w:pPr>
        <w:jc w:val="left"/>
      </w:pPr>
    </w:p>
    <w:p w14:paraId="07DFAA36" w14:textId="77777777" w:rsidR="00EF5DA2" w:rsidRPr="00447A00" w:rsidRDefault="00EF5DA2" w:rsidP="00544C30">
      <w:pPr>
        <w:pStyle w:val="Heading3"/>
        <w:ind w:left="851" w:hanging="851"/>
      </w:pPr>
      <w:bookmarkStart w:id="237" w:name="_Toc4156102"/>
      <w:r w:rsidRPr="00447A00">
        <w:t>Vozni park u vlasništvu Grada</w:t>
      </w:r>
      <w:bookmarkEnd w:id="2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5FA6659F" w14:textId="77777777" w:rsidTr="005808FC">
        <w:trPr>
          <w:trHeight w:val="227"/>
        </w:trPr>
        <w:tc>
          <w:tcPr>
            <w:tcW w:w="3415" w:type="dxa"/>
            <w:shd w:val="clear" w:color="auto" w:fill="C6D9F1" w:themeFill="text2" w:themeFillTint="33"/>
          </w:tcPr>
          <w:p w14:paraId="2F1D8987"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1B31C6DA" w14:textId="77777777" w:rsidR="00EF5DA2" w:rsidRPr="005808FC" w:rsidRDefault="00EF5DA2" w:rsidP="005808FC">
            <w:pPr>
              <w:spacing w:after="0" w:line="240" w:lineRule="auto"/>
              <w:rPr>
                <w:rFonts w:eastAsia="Calibri" w:cs="Times New Roman"/>
                <w:b/>
                <w:bCs/>
              </w:rPr>
            </w:pPr>
            <w:r w:rsidRPr="00291DF5">
              <w:rPr>
                <w:rFonts w:eastAsia="Calibri" w:cs="Times New Roman"/>
                <w:b/>
                <w:bCs/>
                <w:color w:val="000000" w:themeColor="text1"/>
              </w:rPr>
              <w:t>16</w:t>
            </w:r>
          </w:p>
        </w:tc>
      </w:tr>
      <w:tr w:rsidR="00EF5DA2" w:rsidRPr="00447A00" w14:paraId="2C5B6E7B" w14:textId="77777777" w:rsidTr="005808FC">
        <w:trPr>
          <w:trHeight w:val="227"/>
        </w:trPr>
        <w:tc>
          <w:tcPr>
            <w:tcW w:w="3415" w:type="dxa"/>
            <w:shd w:val="clear" w:color="auto" w:fill="C6D9F1" w:themeFill="text2" w:themeFillTint="33"/>
          </w:tcPr>
          <w:p w14:paraId="0D956918" w14:textId="77777777" w:rsidR="00EF5DA2" w:rsidRPr="005808FC" w:rsidRDefault="00EF5DA2" w:rsidP="005808FC">
            <w:pPr>
              <w:spacing w:after="0" w:line="240" w:lineRule="auto"/>
              <w:rPr>
                <w:rFonts w:eastAsia="Calibri" w:cs="Times New Roman"/>
                <w:b/>
                <w:bCs/>
              </w:rPr>
            </w:pPr>
            <w:r w:rsidRPr="008C05F3">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37ED7983" w14:textId="65972E5A" w:rsidR="00EF5DA2" w:rsidRPr="008C05F3" w:rsidRDefault="00EF5DA2" w:rsidP="008C05F3">
            <w:pPr>
              <w:spacing w:line="240" w:lineRule="auto"/>
              <w:rPr>
                <w:rFonts w:cs="Calibri"/>
                <w:color w:val="00B050"/>
              </w:rPr>
            </w:pPr>
            <w:r w:rsidRPr="00291DF5">
              <w:rPr>
                <w:rFonts w:eastAsia="Calibri" w:cs="Times New Roman"/>
                <w:b/>
                <w:bCs/>
              </w:rPr>
              <w:t>Trening eko vožnje za vozače voznog parka u vlasništvu grada Zagreba</w:t>
            </w:r>
            <w:r w:rsidR="000509A0">
              <w:rPr>
                <w:rFonts w:eastAsia="Calibri" w:cs="Times New Roman"/>
                <w:b/>
                <w:bCs/>
              </w:rPr>
              <w:t xml:space="preserve"> i </w:t>
            </w:r>
            <w:r w:rsidRPr="00291DF5">
              <w:rPr>
                <w:rFonts w:eastAsia="Calibri" w:cs="Times New Roman"/>
                <w:b/>
                <w:bCs/>
              </w:rPr>
              <w:t xml:space="preserve">podružnica Zagrebačkog holdinga </w:t>
            </w:r>
          </w:p>
        </w:tc>
      </w:tr>
      <w:tr w:rsidR="00EF5DA2" w:rsidRPr="00447A00" w14:paraId="12F512C7" w14:textId="77777777" w:rsidTr="005808FC">
        <w:trPr>
          <w:trHeight w:val="227"/>
        </w:trPr>
        <w:tc>
          <w:tcPr>
            <w:tcW w:w="3415" w:type="dxa"/>
            <w:shd w:val="clear" w:color="auto" w:fill="F2DBDB" w:themeFill="accent2" w:themeFillTint="33"/>
          </w:tcPr>
          <w:p w14:paraId="4AAA40FF" w14:textId="77777777" w:rsidR="00EF5DA2" w:rsidRPr="005808FC" w:rsidRDefault="00EF5DA2" w:rsidP="005808FC">
            <w:pPr>
              <w:spacing w:line="240" w:lineRule="auto"/>
              <w:rPr>
                <w:b/>
                <w:bCs/>
              </w:rPr>
            </w:pPr>
            <w:r w:rsidRPr="00291DF5">
              <w:rPr>
                <w:b/>
                <w:bCs/>
              </w:rPr>
              <w:t>Nositelji aktivnosti :</w:t>
            </w:r>
          </w:p>
        </w:tc>
        <w:tc>
          <w:tcPr>
            <w:tcW w:w="5601" w:type="dxa"/>
          </w:tcPr>
          <w:p w14:paraId="008C4817" w14:textId="77777777" w:rsidR="00EF5DA2" w:rsidRPr="00447A00" w:rsidRDefault="00EF5DA2" w:rsidP="008C05F3">
            <w:pPr>
              <w:numPr>
                <w:ilvl w:val="0"/>
                <w:numId w:val="9"/>
              </w:numPr>
              <w:spacing w:after="0" w:line="240" w:lineRule="auto"/>
              <w:ind w:left="482" w:hanging="357"/>
            </w:pPr>
            <w:r w:rsidRPr="00447A00">
              <w:t>Ured gradonačelnika</w:t>
            </w:r>
          </w:p>
          <w:p w14:paraId="09A17AEA" w14:textId="6D1824B5" w:rsidR="00EF5DA2" w:rsidRPr="00447A00" w:rsidRDefault="00EF5DA2" w:rsidP="008C05F3">
            <w:pPr>
              <w:numPr>
                <w:ilvl w:val="0"/>
                <w:numId w:val="9"/>
              </w:numPr>
              <w:spacing w:after="0" w:line="240" w:lineRule="auto"/>
              <w:ind w:left="482" w:hanging="357"/>
            </w:pPr>
            <w:r w:rsidRPr="00447A00">
              <w:t>Zagrebački holding, d.o.o.</w:t>
            </w:r>
          </w:p>
        </w:tc>
      </w:tr>
      <w:tr w:rsidR="00EF5DA2" w:rsidRPr="00447A00" w14:paraId="1BDC793C" w14:textId="77777777" w:rsidTr="005808FC">
        <w:trPr>
          <w:trHeight w:val="227"/>
        </w:trPr>
        <w:tc>
          <w:tcPr>
            <w:tcW w:w="3415" w:type="dxa"/>
            <w:shd w:val="clear" w:color="auto" w:fill="F2DBDB" w:themeFill="accent2" w:themeFillTint="33"/>
          </w:tcPr>
          <w:p w14:paraId="5EDE1B1E"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09C346A6" w14:textId="73DA2C87" w:rsidR="00EF5DA2" w:rsidRPr="00447A00" w:rsidRDefault="00EF5DA2" w:rsidP="008C05F3">
            <w:pPr>
              <w:numPr>
                <w:ilvl w:val="0"/>
                <w:numId w:val="9"/>
              </w:numPr>
              <w:spacing w:after="0" w:line="240" w:lineRule="auto"/>
              <w:ind w:left="482" w:hanging="357"/>
            </w:pPr>
            <w:r w:rsidRPr="00447A00">
              <w:t>Gradski ured za gospodarstvo, energetiku</w:t>
            </w:r>
            <w:r w:rsidR="000509A0">
              <w:t xml:space="preserve"> i </w:t>
            </w:r>
            <w:r w:rsidRPr="00447A00">
              <w:t>zaštitu okoliša</w:t>
            </w:r>
          </w:p>
          <w:p w14:paraId="237A09F3" w14:textId="13EB1E39" w:rsidR="00EF5DA2" w:rsidRPr="00447A00" w:rsidDel="00436CBA" w:rsidRDefault="00EF5DA2" w:rsidP="005808FC">
            <w:pPr>
              <w:spacing w:after="0" w:line="240" w:lineRule="auto"/>
              <w:ind w:left="125"/>
            </w:pPr>
          </w:p>
        </w:tc>
      </w:tr>
      <w:tr w:rsidR="004320F6" w:rsidRPr="00447A00" w14:paraId="4716C05D" w14:textId="77777777" w:rsidTr="005808FC">
        <w:trPr>
          <w:trHeight w:val="227"/>
        </w:trPr>
        <w:tc>
          <w:tcPr>
            <w:tcW w:w="3415" w:type="dxa"/>
            <w:shd w:val="clear" w:color="auto" w:fill="F2DBDB" w:themeFill="accent2" w:themeFillTint="33"/>
          </w:tcPr>
          <w:p w14:paraId="40F2B041" w14:textId="6623D041" w:rsidR="004320F6" w:rsidRPr="005808FC" w:rsidRDefault="004320F6" w:rsidP="005808FC">
            <w:pPr>
              <w:spacing w:line="240" w:lineRule="auto"/>
              <w:rPr>
                <w:b/>
                <w:bCs/>
              </w:rPr>
            </w:pPr>
            <w:r w:rsidRPr="00291DF5">
              <w:rPr>
                <w:b/>
                <w:bCs/>
              </w:rPr>
              <w:t>Ostali uključeni dionic:</w:t>
            </w:r>
          </w:p>
        </w:tc>
        <w:tc>
          <w:tcPr>
            <w:tcW w:w="5601" w:type="dxa"/>
          </w:tcPr>
          <w:p w14:paraId="3960868E" w14:textId="03E72E80" w:rsidR="004320F6" w:rsidRPr="00447A00" w:rsidRDefault="004320F6" w:rsidP="7FF51287">
            <w:pPr>
              <w:numPr>
                <w:ilvl w:val="0"/>
                <w:numId w:val="9"/>
              </w:numPr>
              <w:spacing w:after="0" w:line="240" w:lineRule="auto"/>
              <w:ind w:left="482" w:hanging="357"/>
            </w:pPr>
            <w:r w:rsidRPr="00447A00">
              <w:t>Tvrtke koje se bave edukcijom u području treninga eko vožnje</w:t>
            </w:r>
          </w:p>
        </w:tc>
      </w:tr>
      <w:tr w:rsidR="00EF5DA2" w:rsidRPr="00447A00" w14:paraId="5D22EE46" w14:textId="77777777" w:rsidTr="005808FC">
        <w:trPr>
          <w:trHeight w:val="227"/>
        </w:trPr>
        <w:tc>
          <w:tcPr>
            <w:tcW w:w="3415" w:type="dxa"/>
            <w:shd w:val="clear" w:color="auto" w:fill="F2DBDB" w:themeFill="accent2" w:themeFillTint="33"/>
          </w:tcPr>
          <w:p w14:paraId="7423B0FC" w14:textId="77777777" w:rsidR="00EF5DA2" w:rsidRPr="005808FC" w:rsidRDefault="00EF5DA2" w:rsidP="005808FC">
            <w:pPr>
              <w:spacing w:line="240" w:lineRule="auto"/>
              <w:rPr>
                <w:b/>
                <w:bCs/>
              </w:rPr>
            </w:pPr>
            <w:r w:rsidRPr="00291DF5">
              <w:rPr>
                <w:b/>
                <w:bCs/>
              </w:rPr>
              <w:t>Početak/kraj provedbe (godine)</w:t>
            </w:r>
          </w:p>
        </w:tc>
        <w:tc>
          <w:tcPr>
            <w:tcW w:w="5601" w:type="dxa"/>
          </w:tcPr>
          <w:p w14:paraId="1849AA9C" w14:textId="3DF328D4" w:rsidR="00EF5DA2" w:rsidRPr="005808FC" w:rsidRDefault="000509A0" w:rsidP="005808FC">
            <w:pPr>
              <w:spacing w:after="0" w:line="240" w:lineRule="auto"/>
              <w:rPr>
                <w:rFonts w:eastAsia="Calibri"/>
                <w:b/>
                <w:sz w:val="18"/>
                <w:szCs w:val="18"/>
              </w:rPr>
            </w:pPr>
            <w:r>
              <w:rPr>
                <w:rFonts w:eastAsia="Calibri"/>
                <w:b/>
              </w:rPr>
              <w:t>K</w:t>
            </w:r>
            <w:r w:rsidR="00EF5DA2" w:rsidRPr="005808FC">
              <w:rPr>
                <w:rFonts w:eastAsia="Calibri"/>
                <w:b/>
              </w:rPr>
              <w:t>ontinuirano</w:t>
            </w:r>
          </w:p>
        </w:tc>
      </w:tr>
      <w:tr w:rsidR="00F91582" w:rsidRPr="00447A00" w14:paraId="6C1083B0" w14:textId="77777777" w:rsidTr="005808FC">
        <w:trPr>
          <w:trHeight w:val="227"/>
        </w:trPr>
        <w:tc>
          <w:tcPr>
            <w:tcW w:w="3415" w:type="dxa"/>
            <w:shd w:val="clear" w:color="auto" w:fill="F2DBDB" w:themeFill="accent2" w:themeFillTint="33"/>
          </w:tcPr>
          <w:p w14:paraId="6BFD5289" w14:textId="10C375F5" w:rsidR="00F91582" w:rsidRPr="005808FC" w:rsidRDefault="00F91582" w:rsidP="005808FC">
            <w:pPr>
              <w:spacing w:line="240" w:lineRule="auto"/>
              <w:rPr>
                <w:b/>
                <w:bCs/>
              </w:rPr>
            </w:pPr>
            <w:r w:rsidRPr="00291DF5">
              <w:rPr>
                <w:b/>
                <w:bCs/>
              </w:rPr>
              <w:t>Procjena uštede (MWh)</w:t>
            </w:r>
          </w:p>
        </w:tc>
        <w:tc>
          <w:tcPr>
            <w:tcW w:w="5601" w:type="dxa"/>
          </w:tcPr>
          <w:p w14:paraId="7054460E" w14:textId="1A914E00" w:rsidR="00F91582" w:rsidRPr="005808FC" w:rsidRDefault="00C671A8" w:rsidP="00F91582">
            <w:pPr>
              <w:spacing w:after="0" w:line="240" w:lineRule="auto"/>
              <w:rPr>
                <w:rFonts w:ascii="Century Gothic" w:eastAsia="Calibri" w:hAnsi="Century Gothic" w:cs="Times New Roman"/>
                <w:b/>
                <w:sz w:val="18"/>
                <w:szCs w:val="18"/>
              </w:rPr>
            </w:pPr>
            <w:r w:rsidRPr="005808FC">
              <w:rPr>
                <w:b/>
              </w:rPr>
              <w:t>6.058,3</w:t>
            </w:r>
          </w:p>
        </w:tc>
      </w:tr>
      <w:tr w:rsidR="00F91582" w:rsidRPr="00447A00" w14:paraId="2629F013" w14:textId="77777777" w:rsidTr="005808FC">
        <w:trPr>
          <w:trHeight w:val="227"/>
        </w:trPr>
        <w:tc>
          <w:tcPr>
            <w:tcW w:w="3415" w:type="dxa"/>
            <w:shd w:val="clear" w:color="auto" w:fill="F2DBDB" w:themeFill="accent2" w:themeFillTint="33"/>
          </w:tcPr>
          <w:p w14:paraId="5098F9D6" w14:textId="77777777" w:rsidR="00F91582" w:rsidRPr="005808FC" w:rsidRDefault="00F91582" w:rsidP="005808FC">
            <w:pPr>
              <w:spacing w:line="240" w:lineRule="auto"/>
              <w:rPr>
                <w:b/>
                <w:bCs/>
              </w:rPr>
            </w:pPr>
            <w:r w:rsidRPr="00291DF5">
              <w:rPr>
                <w:b/>
                <w:bCs/>
              </w:rPr>
              <w:t>Procjena smanjenja emisije (t CO2)</w:t>
            </w:r>
          </w:p>
        </w:tc>
        <w:tc>
          <w:tcPr>
            <w:tcW w:w="5601" w:type="dxa"/>
          </w:tcPr>
          <w:p w14:paraId="17B56D2C" w14:textId="55BD2CB7" w:rsidR="00F91582" w:rsidRPr="005808FC" w:rsidRDefault="00103342" w:rsidP="00F91582">
            <w:pPr>
              <w:spacing w:after="0" w:line="240" w:lineRule="auto"/>
              <w:rPr>
                <w:rFonts w:ascii="Century Gothic" w:eastAsia="Calibri" w:hAnsi="Century Gothic" w:cs="Times New Roman"/>
                <w:b/>
                <w:sz w:val="18"/>
                <w:szCs w:val="18"/>
              </w:rPr>
            </w:pPr>
            <w:r w:rsidRPr="00103342">
              <w:rPr>
                <w:b/>
              </w:rPr>
              <w:t>1.541,1</w:t>
            </w:r>
          </w:p>
        </w:tc>
      </w:tr>
      <w:tr w:rsidR="00EF5DA2" w:rsidRPr="00447A00" w14:paraId="7C5E13AA" w14:textId="77777777" w:rsidTr="005808FC">
        <w:trPr>
          <w:trHeight w:val="227"/>
        </w:trPr>
        <w:tc>
          <w:tcPr>
            <w:tcW w:w="3415" w:type="dxa"/>
            <w:shd w:val="clear" w:color="auto" w:fill="F2DBDB" w:themeFill="accent2" w:themeFillTint="33"/>
          </w:tcPr>
          <w:p w14:paraId="0095B33B" w14:textId="77777777" w:rsidR="00EF5DA2" w:rsidRPr="005808FC" w:rsidRDefault="00EF5DA2" w:rsidP="005808FC">
            <w:pPr>
              <w:spacing w:line="240" w:lineRule="auto"/>
              <w:rPr>
                <w:b/>
                <w:bCs/>
              </w:rPr>
            </w:pPr>
            <w:r w:rsidRPr="00291DF5">
              <w:rPr>
                <w:b/>
                <w:bCs/>
              </w:rPr>
              <w:t>Izvor sredstava za provedbu</w:t>
            </w:r>
          </w:p>
        </w:tc>
        <w:tc>
          <w:tcPr>
            <w:tcW w:w="5601" w:type="dxa"/>
          </w:tcPr>
          <w:p w14:paraId="0A09A0C0" w14:textId="77777777" w:rsidR="00EF5DA2" w:rsidRPr="00447A00" w:rsidRDefault="00EF5DA2" w:rsidP="008C05F3">
            <w:pPr>
              <w:numPr>
                <w:ilvl w:val="0"/>
                <w:numId w:val="9"/>
              </w:numPr>
              <w:spacing w:after="0" w:line="240" w:lineRule="auto"/>
              <w:ind w:left="482" w:hanging="357"/>
            </w:pPr>
            <w:r w:rsidRPr="00447A00">
              <w:t>Gradski proračun</w:t>
            </w:r>
          </w:p>
          <w:p w14:paraId="2E688FB6" w14:textId="77777777" w:rsidR="00EF5DA2" w:rsidRPr="00447A00" w:rsidRDefault="00EF5DA2" w:rsidP="008C05F3">
            <w:pPr>
              <w:numPr>
                <w:ilvl w:val="0"/>
                <w:numId w:val="9"/>
              </w:numPr>
              <w:spacing w:after="0" w:line="240" w:lineRule="auto"/>
              <w:ind w:left="482" w:hanging="357"/>
            </w:pPr>
            <w:r w:rsidRPr="00447A00">
              <w:t>FZOEU</w:t>
            </w:r>
          </w:p>
        </w:tc>
      </w:tr>
      <w:tr w:rsidR="00EF5DA2" w:rsidRPr="00447A00" w14:paraId="46D5531B" w14:textId="77777777" w:rsidTr="005808FC">
        <w:trPr>
          <w:trHeight w:val="983"/>
        </w:trPr>
        <w:tc>
          <w:tcPr>
            <w:tcW w:w="3415" w:type="dxa"/>
            <w:shd w:val="clear" w:color="auto" w:fill="F2DBDB" w:themeFill="accent2" w:themeFillTint="33"/>
          </w:tcPr>
          <w:p w14:paraId="40256173" w14:textId="77777777" w:rsidR="00EF5DA2" w:rsidRPr="005808FC" w:rsidRDefault="00EF5DA2" w:rsidP="005808FC">
            <w:pPr>
              <w:spacing w:line="240" w:lineRule="auto"/>
              <w:rPr>
                <w:b/>
                <w:bCs/>
              </w:rPr>
            </w:pPr>
            <w:r w:rsidRPr="00291DF5">
              <w:rPr>
                <w:b/>
                <w:bCs/>
              </w:rPr>
              <w:lastRenderedPageBreak/>
              <w:t>Kratki opis/komentar</w:t>
            </w:r>
          </w:p>
        </w:tc>
        <w:tc>
          <w:tcPr>
            <w:tcW w:w="5601" w:type="dxa"/>
          </w:tcPr>
          <w:p w14:paraId="75183E3C" w14:textId="22D36D1A" w:rsidR="00EF5DA2" w:rsidRPr="00447A00" w:rsidRDefault="00EF5DA2" w:rsidP="008C05F3">
            <w:pPr>
              <w:spacing w:after="0" w:line="240" w:lineRule="auto"/>
              <w:rPr>
                <w:rFonts w:ascii="Century Gothic" w:hAnsi="Century Gothic"/>
                <w:sz w:val="18"/>
                <w:szCs w:val="18"/>
              </w:rPr>
            </w:pPr>
            <w:r w:rsidRPr="00447A00">
              <w:t>Eko vožnja prepoznata je kao jedna od najučinkovitijih mjera za poticanje energetske učinkovitosti na razini Europske unije. Istraživanja pokazuju da se potrošnja goriva dugoročno može smanjiti od 5-15%. Pokretanjem kampanje eko</w:t>
            </w:r>
            <w:r w:rsidR="00F86403">
              <w:t>-</w:t>
            </w:r>
            <w:r w:rsidRPr="00447A00">
              <w:t>vožnje za vozače voznog parka u vlasništvu grada Zagreba</w:t>
            </w:r>
            <w:r w:rsidR="000509A0">
              <w:t xml:space="preserve"> i </w:t>
            </w:r>
            <w:r w:rsidRPr="00447A00">
              <w:t>zagrebačkog holdinga mogla bi se postići maksimalna razina osviještenosti vozača o prednostima ovog modernog, inteligentnog</w:t>
            </w:r>
            <w:r w:rsidR="000509A0">
              <w:t xml:space="preserve"> i </w:t>
            </w:r>
            <w:r w:rsidRPr="00447A00">
              <w:t>ekološki prihvatljivog stila vožnje. Konkretne aktivnosti podrazumijevaju aktivno provođenje treninga eko vožnje licenciranim (postojećim) vozačima posebnih vozila</w:t>
            </w:r>
            <w:r w:rsidR="000509A0">
              <w:t xml:space="preserve"> i </w:t>
            </w:r>
            <w:r w:rsidRPr="00447A00">
              <w:t>vozače osobnih vozila koja su u službi grada Zagreba</w:t>
            </w:r>
            <w:r w:rsidR="000509A0">
              <w:t xml:space="preserve"> i </w:t>
            </w:r>
            <w:r w:rsidRPr="00447A00">
              <w:t>Zagrebačkog holdinga. Posebni elementi trebaju biti posvećeni edukaciji o eko</w:t>
            </w:r>
            <w:r w:rsidR="00F86403">
              <w:t>-</w:t>
            </w:r>
            <w:r w:rsidRPr="00447A00">
              <w:t xml:space="preserve">vožnji za: </w:t>
            </w:r>
          </w:p>
          <w:p w14:paraId="3E186C3F" w14:textId="2D62CCD1" w:rsidR="00EF5DA2" w:rsidRPr="00447A00" w:rsidRDefault="00EF5DA2" w:rsidP="005808FC">
            <w:pPr>
              <w:pStyle w:val="ListParagraph"/>
              <w:numPr>
                <w:ilvl w:val="0"/>
                <w:numId w:val="93"/>
              </w:numPr>
              <w:spacing w:after="0" w:line="240" w:lineRule="auto"/>
            </w:pPr>
            <w:r w:rsidRPr="00447A00">
              <w:t>vozače osobnih automobila</w:t>
            </w:r>
            <w:r w:rsidR="000509A0">
              <w:t>;</w:t>
            </w:r>
          </w:p>
          <w:p w14:paraId="49FD8ED1" w14:textId="4CA6DFD4" w:rsidR="00EF5DA2" w:rsidRPr="00447A00" w:rsidRDefault="00EF5DA2" w:rsidP="005808FC">
            <w:pPr>
              <w:pStyle w:val="ListParagraph"/>
              <w:numPr>
                <w:ilvl w:val="0"/>
                <w:numId w:val="93"/>
              </w:numPr>
              <w:spacing w:after="0" w:line="240" w:lineRule="auto"/>
            </w:pPr>
            <w:r w:rsidRPr="00447A00">
              <w:t>autobusa</w:t>
            </w:r>
            <w:r w:rsidR="000509A0">
              <w:t>;</w:t>
            </w:r>
          </w:p>
          <w:p w14:paraId="1F5CD147" w14:textId="5BA4AA0F" w:rsidR="00EF5DA2" w:rsidRPr="00447A00" w:rsidRDefault="00EF5DA2" w:rsidP="005808FC">
            <w:pPr>
              <w:pStyle w:val="ListParagraph"/>
              <w:numPr>
                <w:ilvl w:val="0"/>
                <w:numId w:val="93"/>
              </w:numPr>
              <w:spacing w:after="0" w:line="240" w:lineRule="auto"/>
            </w:pPr>
            <w:r w:rsidRPr="00447A00">
              <w:t>teretnih vozila &gt; 3,5 tone</w:t>
            </w:r>
            <w:r w:rsidR="000509A0">
              <w:t>.</w:t>
            </w:r>
          </w:p>
        </w:tc>
      </w:tr>
    </w:tbl>
    <w:p w14:paraId="71182C68" w14:textId="77777777" w:rsidR="00EF5DA2" w:rsidRPr="00447A00" w:rsidRDefault="00EF5DA2" w:rsidP="00EF5D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066F6CA2" w14:textId="77777777" w:rsidTr="005808FC">
        <w:trPr>
          <w:trHeight w:val="395"/>
        </w:trPr>
        <w:tc>
          <w:tcPr>
            <w:tcW w:w="3415" w:type="dxa"/>
            <w:shd w:val="clear" w:color="auto" w:fill="C6D9F1" w:themeFill="text2" w:themeFillTint="33"/>
          </w:tcPr>
          <w:p w14:paraId="799EFE66"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63928118"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17</w:t>
            </w:r>
          </w:p>
        </w:tc>
      </w:tr>
      <w:tr w:rsidR="00EF5DA2" w:rsidRPr="00447A00" w14:paraId="33081024" w14:textId="77777777" w:rsidTr="005808FC">
        <w:trPr>
          <w:trHeight w:val="227"/>
        </w:trPr>
        <w:tc>
          <w:tcPr>
            <w:tcW w:w="3415" w:type="dxa"/>
            <w:shd w:val="clear" w:color="auto" w:fill="C6D9F1" w:themeFill="text2" w:themeFillTint="33"/>
          </w:tcPr>
          <w:p w14:paraId="7BA74070" w14:textId="77777777" w:rsidR="00EF5DA2" w:rsidRPr="005808FC" w:rsidRDefault="00EF5DA2" w:rsidP="005808FC">
            <w:pPr>
              <w:spacing w:after="0" w:line="240" w:lineRule="auto"/>
              <w:rPr>
                <w:rFonts w:eastAsia="Calibri" w:cs="Times New Roman"/>
                <w:b/>
                <w:bCs/>
              </w:rPr>
            </w:pPr>
            <w:r w:rsidRPr="008C05F3">
              <w:rPr>
                <w:rFonts w:eastAsia="Calibri" w:cs="Times New Roman"/>
              </w:rPr>
              <w:br w:type="page"/>
            </w:r>
            <w:r w:rsidRPr="00291DF5">
              <w:rPr>
                <w:rFonts w:eastAsia="Calibri" w:cs="Times New Roman"/>
                <w:b/>
                <w:bCs/>
              </w:rPr>
              <w:t>Ime mjere/aktivnost</w:t>
            </w:r>
          </w:p>
        </w:tc>
        <w:tc>
          <w:tcPr>
            <w:tcW w:w="5601" w:type="dxa"/>
            <w:shd w:val="clear" w:color="auto" w:fill="C6D9F1" w:themeFill="text2" w:themeFillTint="33"/>
          </w:tcPr>
          <w:p w14:paraId="5A6014BA" w14:textId="571CE122" w:rsidR="00EF5DA2" w:rsidRPr="008C05F3" w:rsidRDefault="00EF5DA2" w:rsidP="00EF5DA2">
            <w:pPr>
              <w:spacing w:after="0" w:line="240" w:lineRule="auto"/>
              <w:rPr>
                <w:rFonts w:cs="Calibri"/>
                <w:color w:val="00B050"/>
              </w:rPr>
            </w:pPr>
            <w:r w:rsidRPr="00291DF5">
              <w:rPr>
                <w:rFonts w:eastAsia="Calibri" w:cs="Times New Roman"/>
                <w:b/>
                <w:bCs/>
              </w:rPr>
              <w:t>Postupna zamjena postojećeg voznog parka u vlasništvu Grada Zagreba</w:t>
            </w:r>
            <w:r w:rsidR="000509A0">
              <w:rPr>
                <w:rFonts w:eastAsia="Calibri" w:cs="Times New Roman"/>
                <w:b/>
                <w:bCs/>
              </w:rPr>
              <w:t xml:space="preserve"> i </w:t>
            </w:r>
            <w:r w:rsidRPr="00291DF5">
              <w:rPr>
                <w:rFonts w:eastAsia="Calibri" w:cs="Times New Roman"/>
                <w:b/>
                <w:bCs/>
              </w:rPr>
              <w:t>Zagrebačkog holdinga vozilima na hibridni /ili električni pogon</w:t>
            </w:r>
          </w:p>
        </w:tc>
      </w:tr>
      <w:tr w:rsidR="00EF5DA2" w:rsidRPr="00447A00" w14:paraId="141601D3" w14:textId="77777777" w:rsidTr="005808FC">
        <w:trPr>
          <w:trHeight w:val="227"/>
        </w:trPr>
        <w:tc>
          <w:tcPr>
            <w:tcW w:w="3415" w:type="dxa"/>
            <w:shd w:val="clear" w:color="auto" w:fill="F2DBDB" w:themeFill="accent2" w:themeFillTint="33"/>
          </w:tcPr>
          <w:p w14:paraId="5760167C" w14:textId="77777777" w:rsidR="00EF5DA2" w:rsidRPr="005808FC" w:rsidRDefault="00EF5DA2">
            <w:pPr>
              <w:rPr>
                <w:b/>
                <w:bCs/>
              </w:rPr>
            </w:pPr>
            <w:r w:rsidRPr="00291DF5">
              <w:rPr>
                <w:b/>
                <w:bCs/>
              </w:rPr>
              <w:t>Nositelji aktivnosti :</w:t>
            </w:r>
          </w:p>
        </w:tc>
        <w:tc>
          <w:tcPr>
            <w:tcW w:w="5601" w:type="dxa"/>
          </w:tcPr>
          <w:p w14:paraId="3381C2AC" w14:textId="1991B338" w:rsidR="00EF5DA2" w:rsidRPr="00447A00" w:rsidRDefault="00EF5DA2">
            <w:pPr>
              <w:numPr>
                <w:ilvl w:val="0"/>
                <w:numId w:val="9"/>
              </w:numPr>
              <w:spacing w:after="0"/>
              <w:ind w:left="482" w:hanging="357"/>
            </w:pPr>
            <w:r w:rsidRPr="00447A00">
              <w:t>Ured gradonačelnika</w:t>
            </w:r>
          </w:p>
        </w:tc>
      </w:tr>
      <w:tr w:rsidR="00EF5DA2" w:rsidRPr="00447A00" w14:paraId="5F1B24EA" w14:textId="77777777" w:rsidTr="005808FC">
        <w:trPr>
          <w:trHeight w:val="227"/>
        </w:trPr>
        <w:tc>
          <w:tcPr>
            <w:tcW w:w="3415" w:type="dxa"/>
            <w:shd w:val="clear" w:color="auto" w:fill="F2DBDB" w:themeFill="accent2" w:themeFillTint="33"/>
          </w:tcPr>
          <w:p w14:paraId="2B50BE1E" w14:textId="77777777" w:rsidR="00EF5DA2" w:rsidRPr="005808FC" w:rsidRDefault="00EF5DA2">
            <w:pPr>
              <w:rPr>
                <w:b/>
                <w:bCs/>
              </w:rPr>
            </w:pPr>
            <w:r w:rsidRPr="005808FC">
              <w:rPr>
                <w:b/>
                <w:bCs/>
              </w:rPr>
              <w:t>Partneri u provođenju aktivnosti:</w:t>
            </w:r>
          </w:p>
        </w:tc>
        <w:tc>
          <w:tcPr>
            <w:tcW w:w="5601" w:type="dxa"/>
          </w:tcPr>
          <w:p w14:paraId="3A94C14E" w14:textId="76349B03" w:rsidR="00EF5DA2" w:rsidRPr="00447A00" w:rsidDel="00436CBA" w:rsidRDefault="00F86403" w:rsidP="3116459D">
            <w:pPr>
              <w:numPr>
                <w:ilvl w:val="0"/>
                <w:numId w:val="9"/>
              </w:numPr>
              <w:spacing w:after="0"/>
              <w:ind w:left="482" w:hanging="357"/>
            </w:pPr>
            <w:r w:rsidRPr="00447A00">
              <w:t>Zagrebački holding, d.o.o.</w:t>
            </w:r>
          </w:p>
          <w:p w14:paraId="539A3CCB" w14:textId="4E919C6F" w:rsidR="00EF5DA2" w:rsidRPr="00447A00" w:rsidDel="00436CBA" w:rsidRDefault="3116459D">
            <w:pPr>
              <w:numPr>
                <w:ilvl w:val="0"/>
                <w:numId w:val="9"/>
              </w:numPr>
              <w:spacing w:after="0"/>
              <w:ind w:left="482" w:hanging="357"/>
            </w:pPr>
            <w:r w:rsidRPr="00447A00">
              <w:t xml:space="preserve">Tvrtke u vlasništvu Grada Zagreba </w:t>
            </w:r>
          </w:p>
        </w:tc>
      </w:tr>
      <w:tr w:rsidR="00EF5DA2" w:rsidRPr="00447A00" w14:paraId="30FC97D8" w14:textId="77777777" w:rsidTr="005808FC">
        <w:trPr>
          <w:trHeight w:val="227"/>
        </w:trPr>
        <w:tc>
          <w:tcPr>
            <w:tcW w:w="3415" w:type="dxa"/>
            <w:shd w:val="clear" w:color="auto" w:fill="F2DBDB" w:themeFill="accent2" w:themeFillTint="33"/>
          </w:tcPr>
          <w:p w14:paraId="2F6417CD" w14:textId="77777777" w:rsidR="00EF5DA2" w:rsidRPr="005808FC" w:rsidRDefault="00EF5DA2">
            <w:pPr>
              <w:rPr>
                <w:b/>
                <w:bCs/>
              </w:rPr>
            </w:pPr>
            <w:r w:rsidRPr="00291DF5">
              <w:rPr>
                <w:b/>
                <w:bCs/>
              </w:rPr>
              <w:t>Početak/kraj provedbe (godine)</w:t>
            </w:r>
          </w:p>
        </w:tc>
        <w:tc>
          <w:tcPr>
            <w:tcW w:w="5601" w:type="dxa"/>
          </w:tcPr>
          <w:p w14:paraId="2DF1D171" w14:textId="77777777" w:rsidR="00EF5DA2" w:rsidRPr="005808FC" w:rsidRDefault="00EF5DA2" w:rsidP="005808FC">
            <w:pPr>
              <w:spacing w:after="0" w:line="240" w:lineRule="auto"/>
              <w:rPr>
                <w:rFonts w:eastAsia="Calibri"/>
                <w:b/>
              </w:rPr>
            </w:pPr>
            <w:r w:rsidRPr="005808FC">
              <w:rPr>
                <w:rFonts w:eastAsia="Calibri"/>
                <w:b/>
              </w:rPr>
              <w:t>2020-2030</w:t>
            </w:r>
          </w:p>
        </w:tc>
      </w:tr>
      <w:tr w:rsidR="00DF59AD" w:rsidRPr="00447A00" w14:paraId="2C3D0DA6" w14:textId="77777777" w:rsidTr="005808FC">
        <w:trPr>
          <w:trHeight w:val="227"/>
        </w:trPr>
        <w:tc>
          <w:tcPr>
            <w:tcW w:w="3415" w:type="dxa"/>
            <w:shd w:val="clear" w:color="auto" w:fill="F2DBDB" w:themeFill="accent2" w:themeFillTint="33"/>
          </w:tcPr>
          <w:p w14:paraId="78622EDE" w14:textId="13E8BC62" w:rsidR="00DF59AD" w:rsidRPr="005808FC" w:rsidRDefault="00DF59AD">
            <w:pPr>
              <w:rPr>
                <w:b/>
                <w:bCs/>
              </w:rPr>
            </w:pPr>
            <w:r w:rsidRPr="00291DF5">
              <w:rPr>
                <w:b/>
                <w:bCs/>
              </w:rPr>
              <w:t>Procjena uštede (MWh)</w:t>
            </w:r>
          </w:p>
        </w:tc>
        <w:tc>
          <w:tcPr>
            <w:tcW w:w="5601" w:type="dxa"/>
          </w:tcPr>
          <w:p w14:paraId="69ACFB99" w14:textId="44C0B07A" w:rsidR="00DF59AD" w:rsidRPr="005808FC" w:rsidRDefault="00996E2A" w:rsidP="00DF59AD">
            <w:pPr>
              <w:spacing w:after="0" w:line="240" w:lineRule="auto"/>
              <w:rPr>
                <w:rFonts w:ascii="Century Gothic" w:eastAsia="Calibri" w:hAnsi="Century Gothic" w:cs="Times New Roman"/>
                <w:b/>
                <w:sz w:val="18"/>
                <w:szCs w:val="18"/>
              </w:rPr>
            </w:pPr>
            <w:r w:rsidRPr="005808FC">
              <w:rPr>
                <w:b/>
              </w:rPr>
              <w:t>6.469,4</w:t>
            </w:r>
          </w:p>
        </w:tc>
      </w:tr>
      <w:tr w:rsidR="00DF59AD" w:rsidRPr="00447A00" w14:paraId="7D4F8A90" w14:textId="77777777" w:rsidTr="005808FC">
        <w:trPr>
          <w:trHeight w:val="227"/>
        </w:trPr>
        <w:tc>
          <w:tcPr>
            <w:tcW w:w="3415" w:type="dxa"/>
            <w:shd w:val="clear" w:color="auto" w:fill="F2DBDB" w:themeFill="accent2" w:themeFillTint="33"/>
          </w:tcPr>
          <w:p w14:paraId="3D4176D1" w14:textId="77777777" w:rsidR="00DF59AD" w:rsidRPr="005808FC" w:rsidRDefault="00DF59AD">
            <w:pPr>
              <w:rPr>
                <w:b/>
                <w:bCs/>
              </w:rPr>
            </w:pPr>
            <w:r w:rsidRPr="00291DF5">
              <w:rPr>
                <w:b/>
                <w:bCs/>
              </w:rPr>
              <w:t>Procjena smanjenja emisije (t CO2)</w:t>
            </w:r>
          </w:p>
        </w:tc>
        <w:tc>
          <w:tcPr>
            <w:tcW w:w="5601" w:type="dxa"/>
          </w:tcPr>
          <w:p w14:paraId="1377FDC8" w14:textId="240FA4E5" w:rsidR="00DF59AD" w:rsidRPr="005808FC" w:rsidRDefault="00B5622E" w:rsidP="00DF59AD">
            <w:pPr>
              <w:spacing w:after="0" w:line="240" w:lineRule="auto"/>
              <w:rPr>
                <w:rFonts w:ascii="Century Gothic" w:eastAsia="Calibri" w:hAnsi="Century Gothic" w:cs="Times New Roman"/>
                <w:b/>
                <w:sz w:val="18"/>
                <w:szCs w:val="18"/>
              </w:rPr>
            </w:pPr>
            <w:r w:rsidRPr="00B5622E">
              <w:rPr>
                <w:b/>
              </w:rPr>
              <w:t>1.714,2</w:t>
            </w:r>
          </w:p>
        </w:tc>
      </w:tr>
      <w:tr w:rsidR="00EF5DA2" w:rsidRPr="00447A00" w14:paraId="2AE1C350" w14:textId="77777777" w:rsidTr="005808FC">
        <w:trPr>
          <w:trHeight w:val="227"/>
        </w:trPr>
        <w:tc>
          <w:tcPr>
            <w:tcW w:w="3415" w:type="dxa"/>
            <w:shd w:val="clear" w:color="auto" w:fill="F2DBDB" w:themeFill="accent2" w:themeFillTint="33"/>
          </w:tcPr>
          <w:p w14:paraId="20406831" w14:textId="77777777" w:rsidR="00EF5DA2" w:rsidRPr="005808FC" w:rsidRDefault="00EF5DA2">
            <w:pPr>
              <w:rPr>
                <w:b/>
                <w:bCs/>
              </w:rPr>
            </w:pPr>
            <w:r w:rsidRPr="00291DF5">
              <w:rPr>
                <w:b/>
                <w:bCs/>
              </w:rPr>
              <w:t>Izvor sredstava za provedbu</w:t>
            </w:r>
          </w:p>
        </w:tc>
        <w:tc>
          <w:tcPr>
            <w:tcW w:w="5601" w:type="dxa"/>
          </w:tcPr>
          <w:p w14:paraId="61E9DDC4" w14:textId="77777777" w:rsidR="00EF5DA2" w:rsidRPr="00447A00" w:rsidRDefault="00EF5DA2" w:rsidP="00AE5E1A">
            <w:pPr>
              <w:numPr>
                <w:ilvl w:val="0"/>
                <w:numId w:val="9"/>
              </w:numPr>
              <w:spacing w:after="0"/>
              <w:ind w:left="482" w:hanging="357"/>
            </w:pPr>
            <w:r w:rsidRPr="00447A00">
              <w:t>Gradski proračun</w:t>
            </w:r>
          </w:p>
          <w:p w14:paraId="63ED8A5B" w14:textId="77777777" w:rsidR="00EF5DA2" w:rsidRPr="00447A00" w:rsidRDefault="00EF5DA2" w:rsidP="00AE5E1A">
            <w:pPr>
              <w:numPr>
                <w:ilvl w:val="0"/>
                <w:numId w:val="9"/>
              </w:numPr>
              <w:spacing w:after="0"/>
              <w:ind w:left="482" w:hanging="357"/>
            </w:pPr>
            <w:r w:rsidRPr="00447A00">
              <w:t>FZOEU</w:t>
            </w:r>
          </w:p>
        </w:tc>
      </w:tr>
      <w:tr w:rsidR="00EF5DA2" w:rsidRPr="00447A00" w14:paraId="099C8560" w14:textId="77777777" w:rsidTr="005808FC">
        <w:trPr>
          <w:trHeight w:val="983"/>
        </w:trPr>
        <w:tc>
          <w:tcPr>
            <w:tcW w:w="3415" w:type="dxa"/>
            <w:shd w:val="clear" w:color="auto" w:fill="F2DBDB" w:themeFill="accent2" w:themeFillTint="33"/>
          </w:tcPr>
          <w:p w14:paraId="320EB060" w14:textId="77777777" w:rsidR="00EF5DA2" w:rsidRPr="005808FC" w:rsidRDefault="00EF5DA2">
            <w:pPr>
              <w:rPr>
                <w:b/>
                <w:bCs/>
              </w:rPr>
            </w:pPr>
            <w:r w:rsidRPr="00291DF5">
              <w:rPr>
                <w:b/>
                <w:bCs/>
              </w:rPr>
              <w:t>Kratki opis/komentar</w:t>
            </w:r>
          </w:p>
        </w:tc>
        <w:tc>
          <w:tcPr>
            <w:tcW w:w="5601" w:type="dxa"/>
          </w:tcPr>
          <w:p w14:paraId="78912452" w14:textId="4F2CA644" w:rsidR="00EF5DA2" w:rsidRPr="00447A00" w:rsidRDefault="00EF5DA2" w:rsidP="00EF5DA2">
            <w:pPr>
              <w:spacing w:after="0" w:line="100" w:lineRule="atLeast"/>
              <w:ind w:left="60"/>
              <w:contextualSpacing/>
            </w:pPr>
            <w:r w:rsidRPr="00447A00">
              <w:t>Hibridna</w:t>
            </w:r>
            <w:r w:rsidR="000509A0">
              <w:t xml:space="preserve"> i </w:t>
            </w:r>
            <w:r w:rsidRPr="00447A00">
              <w:t>električna vozila dokazano su energetski manje intenzivna, manji su onečišćivači</w:t>
            </w:r>
            <w:r w:rsidR="000509A0">
              <w:t xml:space="preserve"> i </w:t>
            </w:r>
            <w:r w:rsidRPr="00447A00">
              <w:t>pri nabavi vozila za potrebe funkcioniranja gradskih ureda, zavoda, službi</w:t>
            </w:r>
            <w:r w:rsidR="000509A0">
              <w:t xml:space="preserve"> i </w:t>
            </w:r>
            <w:r w:rsidRPr="00447A00">
              <w:t>proračunskih korisnika, te Zagrebačkog holdinga postupno treba prednost davati takvim vozilima.</w:t>
            </w:r>
          </w:p>
          <w:p w14:paraId="732B48A2" w14:textId="77777777" w:rsidR="00EF5DA2" w:rsidRPr="00447A00" w:rsidRDefault="00EF5DA2" w:rsidP="00EF5DA2">
            <w:pPr>
              <w:spacing w:after="0" w:line="100" w:lineRule="atLeast"/>
              <w:ind w:left="60"/>
              <w:contextualSpacing/>
            </w:pPr>
          </w:p>
          <w:p w14:paraId="5E8E6FF4" w14:textId="61B7565F" w:rsidR="00EF5DA2" w:rsidRPr="00447A00" w:rsidRDefault="00EF5DA2" w:rsidP="00EF5DA2">
            <w:pPr>
              <w:spacing w:after="0" w:line="100" w:lineRule="atLeast"/>
              <w:ind w:left="60"/>
              <w:contextualSpacing/>
            </w:pPr>
            <w:r w:rsidRPr="00447A00">
              <w:t>Neposredna potrošnja energije je</w:t>
            </w:r>
            <w:r w:rsidR="00B25B9E">
              <w:t xml:space="preserve"> </w:t>
            </w:r>
            <w:r w:rsidRPr="00447A00">
              <w:t>15 kWh/100km za električne automobile, 44 kWh/100km za hibridne te 67 kWh/100km za konvencionalna vozila.</w:t>
            </w:r>
          </w:p>
          <w:p w14:paraId="1969BC49" w14:textId="77777777" w:rsidR="00EF5DA2" w:rsidRPr="00447A00" w:rsidRDefault="00EF5DA2" w:rsidP="00EF5DA2">
            <w:pPr>
              <w:spacing w:after="0" w:line="100" w:lineRule="atLeast"/>
              <w:ind w:left="60"/>
              <w:contextualSpacing/>
            </w:pPr>
            <w:r w:rsidRPr="00447A00">
              <w:t>Konkretne aktivnosti podrazumijevaju:</w:t>
            </w:r>
          </w:p>
          <w:p w14:paraId="0868EB6E" w14:textId="77777777" w:rsidR="00EF5DA2" w:rsidRPr="00447A00" w:rsidRDefault="00EF5DA2" w:rsidP="002E3C28">
            <w:pPr>
              <w:numPr>
                <w:ilvl w:val="0"/>
                <w:numId w:val="58"/>
              </w:numPr>
              <w:spacing w:after="0" w:line="100" w:lineRule="atLeast"/>
              <w:contextualSpacing/>
            </w:pPr>
            <w:r w:rsidRPr="00447A00">
              <w:t>Analizu postojećeg voznog parka;</w:t>
            </w:r>
          </w:p>
          <w:p w14:paraId="3C1C8333" w14:textId="77777777" w:rsidR="00EF5DA2" w:rsidRPr="00447A00" w:rsidRDefault="00EF5DA2" w:rsidP="002E3C28">
            <w:pPr>
              <w:numPr>
                <w:ilvl w:val="0"/>
                <w:numId w:val="58"/>
              </w:numPr>
              <w:spacing w:after="0" w:line="100" w:lineRule="atLeast"/>
              <w:contextualSpacing/>
            </w:pPr>
            <w:r w:rsidRPr="00447A00">
              <w:t>Analizu mogućnosti korištenja vozila s alternativnim pogonima u pojedinim organizacijskim cjelinama s projekcijama ušteda;</w:t>
            </w:r>
          </w:p>
          <w:p w14:paraId="2CE203C2" w14:textId="77777777" w:rsidR="00EF5DA2" w:rsidRPr="00447A00" w:rsidRDefault="00EF5DA2" w:rsidP="002E3C28">
            <w:pPr>
              <w:numPr>
                <w:ilvl w:val="0"/>
                <w:numId w:val="58"/>
              </w:numPr>
              <w:spacing w:after="0" w:line="100" w:lineRule="atLeast"/>
              <w:contextualSpacing/>
            </w:pPr>
            <w:r w:rsidRPr="00447A00">
              <w:lastRenderedPageBreak/>
              <w:t>Postupnu zamjenu postojećeg voznog parka vozilima na alternativne pogone;</w:t>
            </w:r>
          </w:p>
          <w:p w14:paraId="75B70735" w14:textId="1551DF51" w:rsidR="00EF5DA2" w:rsidRPr="00447A00" w:rsidRDefault="00EF5DA2" w:rsidP="002E3C28">
            <w:pPr>
              <w:numPr>
                <w:ilvl w:val="0"/>
                <w:numId w:val="58"/>
              </w:numPr>
              <w:spacing w:after="0" w:line="100" w:lineRule="atLeast"/>
              <w:contextualSpacing/>
              <w:rPr>
                <w:rFonts w:ascii="Century Gothic" w:hAnsi="Century Gothic"/>
                <w:sz w:val="18"/>
                <w:szCs w:val="18"/>
              </w:rPr>
            </w:pPr>
            <w:r w:rsidRPr="00447A00">
              <w:t>Kontinuirano praćenje</w:t>
            </w:r>
            <w:r w:rsidR="000509A0">
              <w:t xml:space="preserve"> i </w:t>
            </w:r>
            <w:r w:rsidRPr="00447A00">
              <w:t>optimiranje voznog parka</w:t>
            </w:r>
            <w:r w:rsidR="000509A0">
              <w:t xml:space="preserve"> i </w:t>
            </w:r>
            <w:r w:rsidRPr="00447A00">
              <w:t>predlaganje dodatnih mogućnosti.</w:t>
            </w:r>
          </w:p>
        </w:tc>
      </w:tr>
    </w:tbl>
    <w:p w14:paraId="695C7A33" w14:textId="77777777" w:rsidR="00765F07" w:rsidRDefault="00765F07">
      <w:pPr>
        <w:jc w:val="left"/>
      </w:pPr>
      <w:r>
        <w:lastRenderedPageBreak/>
        <w:br w:type="page"/>
      </w:r>
    </w:p>
    <w:p w14:paraId="3CEC2DCC" w14:textId="78030FF7" w:rsidR="00EF5DA2" w:rsidRPr="00AD50CA" w:rsidRDefault="00EF5DA2" w:rsidP="00544C30">
      <w:pPr>
        <w:pStyle w:val="Heading3"/>
        <w:ind w:left="709" w:hanging="709"/>
      </w:pPr>
      <w:bookmarkStart w:id="238" w:name="_Toc523742853"/>
      <w:bookmarkStart w:id="239" w:name="_Toc4156103"/>
      <w:bookmarkEnd w:id="238"/>
      <w:r w:rsidRPr="00AD50CA">
        <w:lastRenderedPageBreak/>
        <w:t>Osobna</w:t>
      </w:r>
      <w:r w:rsidR="000509A0">
        <w:t xml:space="preserve"> i </w:t>
      </w:r>
      <w:r w:rsidRPr="00AD50CA">
        <w:t>komercijalna vozila</w:t>
      </w:r>
      <w:bookmarkEnd w:id="2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29CBFAFD" w14:textId="77777777" w:rsidTr="005808FC">
        <w:trPr>
          <w:trHeight w:val="227"/>
        </w:trPr>
        <w:tc>
          <w:tcPr>
            <w:tcW w:w="3415" w:type="dxa"/>
            <w:shd w:val="clear" w:color="auto" w:fill="C6D9F1" w:themeFill="text2" w:themeFillTint="33"/>
          </w:tcPr>
          <w:p w14:paraId="094B69B4"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2D22C428"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18</w:t>
            </w:r>
          </w:p>
        </w:tc>
      </w:tr>
      <w:tr w:rsidR="00EF5DA2" w:rsidRPr="00447A00" w14:paraId="39F8026A" w14:textId="77777777" w:rsidTr="005808FC">
        <w:trPr>
          <w:trHeight w:val="227"/>
        </w:trPr>
        <w:tc>
          <w:tcPr>
            <w:tcW w:w="3415" w:type="dxa"/>
            <w:shd w:val="clear" w:color="auto" w:fill="C6D9F1" w:themeFill="text2" w:themeFillTint="33"/>
          </w:tcPr>
          <w:p w14:paraId="11688831"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br w:type="page"/>
            </w:r>
            <w:r w:rsidRPr="005808FC">
              <w:rPr>
                <w:rFonts w:eastAsia="Calibri" w:cs="Times New Roman"/>
                <w:b/>
                <w:bCs/>
              </w:rPr>
              <w:t>Ime mjere/aktivnost</w:t>
            </w:r>
          </w:p>
        </w:tc>
        <w:tc>
          <w:tcPr>
            <w:tcW w:w="5601" w:type="dxa"/>
            <w:shd w:val="clear" w:color="auto" w:fill="C6D9F1" w:themeFill="text2" w:themeFillTint="33"/>
          </w:tcPr>
          <w:p w14:paraId="723D6FD4" w14:textId="77777777" w:rsidR="00EF5DA2" w:rsidRPr="005808FC" w:rsidRDefault="00EF5DA2">
            <w:pPr>
              <w:rPr>
                <w:rFonts w:cs="Calibri"/>
                <w:b/>
                <w:bCs/>
                <w:color w:val="00B050"/>
              </w:rPr>
            </w:pPr>
            <w:r w:rsidRPr="00291DF5">
              <w:rPr>
                <w:b/>
                <w:bCs/>
              </w:rPr>
              <w:t>Razvoj infrastrukture za korištenje alternativnih, energetski učinkovitijih goriva za osobna vozila</w:t>
            </w:r>
          </w:p>
        </w:tc>
      </w:tr>
      <w:tr w:rsidR="00EF5DA2" w:rsidRPr="00447A00" w14:paraId="215A49D7" w14:textId="77777777" w:rsidTr="005808FC">
        <w:trPr>
          <w:trHeight w:val="227"/>
        </w:trPr>
        <w:tc>
          <w:tcPr>
            <w:tcW w:w="3415" w:type="dxa"/>
            <w:shd w:val="clear" w:color="auto" w:fill="F2DBDB" w:themeFill="accent2" w:themeFillTint="33"/>
          </w:tcPr>
          <w:p w14:paraId="7A8173A5" w14:textId="77777777" w:rsidR="00EF5DA2" w:rsidRPr="005808FC" w:rsidRDefault="00EF5DA2">
            <w:pPr>
              <w:rPr>
                <w:b/>
                <w:bCs/>
              </w:rPr>
            </w:pPr>
            <w:r w:rsidRPr="00291DF5">
              <w:rPr>
                <w:b/>
                <w:bCs/>
              </w:rPr>
              <w:t>Nositelji aktivnosti :</w:t>
            </w:r>
          </w:p>
        </w:tc>
        <w:tc>
          <w:tcPr>
            <w:tcW w:w="5601" w:type="dxa"/>
          </w:tcPr>
          <w:p w14:paraId="533E8AA9" w14:textId="77777777" w:rsidR="00EF5DA2" w:rsidRPr="00447A00" w:rsidRDefault="00EF5DA2" w:rsidP="0DFBE047">
            <w:pPr>
              <w:numPr>
                <w:ilvl w:val="0"/>
                <w:numId w:val="9"/>
              </w:numPr>
              <w:spacing w:after="0"/>
              <w:ind w:left="482" w:hanging="357"/>
            </w:pPr>
            <w:r w:rsidRPr="00447A00">
              <w:t>Zagrebparking, d.o.o.</w:t>
            </w:r>
          </w:p>
        </w:tc>
      </w:tr>
      <w:tr w:rsidR="00EF5DA2" w:rsidRPr="00447A00" w14:paraId="2A5B7A23" w14:textId="77777777" w:rsidTr="005808FC">
        <w:trPr>
          <w:trHeight w:val="227"/>
        </w:trPr>
        <w:tc>
          <w:tcPr>
            <w:tcW w:w="3415" w:type="dxa"/>
            <w:shd w:val="clear" w:color="auto" w:fill="F2DBDB" w:themeFill="accent2" w:themeFillTint="33"/>
          </w:tcPr>
          <w:p w14:paraId="1FCF8BC8" w14:textId="77777777" w:rsidR="00EF5DA2" w:rsidRPr="005808FC" w:rsidRDefault="00EF5DA2">
            <w:pPr>
              <w:rPr>
                <w:b/>
                <w:bCs/>
              </w:rPr>
            </w:pPr>
            <w:r w:rsidRPr="00291DF5">
              <w:rPr>
                <w:b/>
                <w:bCs/>
              </w:rPr>
              <w:t>Partneri u provođenju aktivnosti:</w:t>
            </w:r>
          </w:p>
        </w:tc>
        <w:tc>
          <w:tcPr>
            <w:tcW w:w="5601" w:type="dxa"/>
          </w:tcPr>
          <w:p w14:paraId="783246DA" w14:textId="288873AD" w:rsidR="00EF5DA2" w:rsidRPr="00447A00" w:rsidRDefault="00EF5DA2" w:rsidP="00AE5E1A">
            <w:pPr>
              <w:numPr>
                <w:ilvl w:val="0"/>
                <w:numId w:val="9"/>
              </w:numPr>
              <w:spacing w:after="0"/>
              <w:ind w:left="482" w:hanging="357"/>
            </w:pPr>
            <w:r w:rsidRPr="00447A00">
              <w:t>Gradski ured za gospodarstvo, energetiku</w:t>
            </w:r>
            <w:r w:rsidR="000509A0">
              <w:t xml:space="preserve"> i </w:t>
            </w:r>
            <w:r w:rsidRPr="00447A00">
              <w:t>zaštitu okoliša</w:t>
            </w:r>
          </w:p>
          <w:p w14:paraId="3BD5192C" w14:textId="15CA7629" w:rsidR="00EF5DA2" w:rsidRPr="00447A00" w:rsidRDefault="00EF5DA2" w:rsidP="00AE5E1A">
            <w:pPr>
              <w:numPr>
                <w:ilvl w:val="0"/>
                <w:numId w:val="9"/>
              </w:numPr>
              <w:spacing w:after="0"/>
              <w:ind w:left="482" w:hanging="357"/>
            </w:pPr>
            <w:r w:rsidRPr="00447A00">
              <w:t>Gradski ured za prostorno uređenje, izgradnju Grada, graditeljstvo, komunalne poslove</w:t>
            </w:r>
            <w:r w:rsidR="000509A0">
              <w:t xml:space="preserve"> i </w:t>
            </w:r>
            <w:r w:rsidRPr="00447A00">
              <w:t>promet</w:t>
            </w:r>
          </w:p>
          <w:p w14:paraId="4A2C8E4A" w14:textId="27E1FF60" w:rsidR="00EF5DA2" w:rsidRPr="00447A00" w:rsidDel="00436CBA" w:rsidRDefault="00EF5DA2" w:rsidP="00DF59AD">
            <w:pPr>
              <w:numPr>
                <w:ilvl w:val="0"/>
                <w:numId w:val="9"/>
              </w:numPr>
              <w:spacing w:after="0"/>
              <w:ind w:left="482" w:hanging="357"/>
            </w:pPr>
            <w:r w:rsidRPr="00447A00">
              <w:t>Gradski ured za mjesnu samoupravu</w:t>
            </w:r>
          </w:p>
        </w:tc>
      </w:tr>
      <w:tr w:rsidR="00EF5DA2" w:rsidRPr="00447A00" w14:paraId="379DC326" w14:textId="77777777" w:rsidTr="005808FC">
        <w:trPr>
          <w:trHeight w:val="227"/>
        </w:trPr>
        <w:tc>
          <w:tcPr>
            <w:tcW w:w="3415" w:type="dxa"/>
            <w:shd w:val="clear" w:color="auto" w:fill="F2DBDB" w:themeFill="accent2" w:themeFillTint="33"/>
          </w:tcPr>
          <w:p w14:paraId="12694E9C" w14:textId="77777777" w:rsidR="00EF5DA2" w:rsidRPr="005808FC" w:rsidRDefault="00EF5DA2">
            <w:pPr>
              <w:rPr>
                <w:b/>
                <w:bCs/>
              </w:rPr>
            </w:pPr>
            <w:r w:rsidRPr="00291DF5">
              <w:rPr>
                <w:b/>
                <w:bCs/>
              </w:rPr>
              <w:t>Početak/kraj provedbe (godine)</w:t>
            </w:r>
          </w:p>
        </w:tc>
        <w:tc>
          <w:tcPr>
            <w:tcW w:w="5601" w:type="dxa"/>
          </w:tcPr>
          <w:p w14:paraId="6CF96B7E" w14:textId="77777777" w:rsidR="00EF5DA2" w:rsidRPr="005808FC" w:rsidRDefault="00EF5DA2" w:rsidP="005808FC">
            <w:pPr>
              <w:spacing w:after="0" w:line="240" w:lineRule="auto"/>
              <w:rPr>
                <w:rFonts w:eastAsia="Calibri"/>
                <w:b/>
              </w:rPr>
            </w:pPr>
            <w:r w:rsidRPr="005808FC">
              <w:rPr>
                <w:rFonts w:eastAsia="Calibri"/>
                <w:b/>
              </w:rPr>
              <w:t>2021-2030</w:t>
            </w:r>
          </w:p>
        </w:tc>
      </w:tr>
      <w:tr w:rsidR="00DF59AD" w:rsidRPr="00447A00" w14:paraId="3241C524" w14:textId="77777777" w:rsidTr="005808FC">
        <w:trPr>
          <w:trHeight w:val="227"/>
        </w:trPr>
        <w:tc>
          <w:tcPr>
            <w:tcW w:w="3415" w:type="dxa"/>
            <w:shd w:val="clear" w:color="auto" w:fill="F2DBDB" w:themeFill="accent2" w:themeFillTint="33"/>
          </w:tcPr>
          <w:p w14:paraId="4D3BD680" w14:textId="403621AB" w:rsidR="00DF59AD" w:rsidRPr="005808FC" w:rsidRDefault="00DF59AD">
            <w:pPr>
              <w:rPr>
                <w:b/>
                <w:bCs/>
              </w:rPr>
            </w:pPr>
            <w:r w:rsidRPr="00291DF5">
              <w:rPr>
                <w:b/>
                <w:bCs/>
              </w:rPr>
              <w:t>Procjena uštede (MWh)</w:t>
            </w:r>
          </w:p>
        </w:tc>
        <w:tc>
          <w:tcPr>
            <w:tcW w:w="5601" w:type="dxa"/>
          </w:tcPr>
          <w:p w14:paraId="0BA0C8BE" w14:textId="606ADA64" w:rsidR="00DF59AD" w:rsidRPr="005808FC" w:rsidRDefault="00A92735" w:rsidP="00DF59AD">
            <w:pPr>
              <w:spacing w:after="0" w:line="240" w:lineRule="auto"/>
              <w:rPr>
                <w:rFonts w:ascii="Century Gothic" w:eastAsia="Calibri" w:hAnsi="Century Gothic" w:cs="Times New Roman"/>
                <w:b/>
                <w:sz w:val="18"/>
                <w:szCs w:val="18"/>
              </w:rPr>
            </w:pPr>
            <w:r w:rsidRPr="000C7E3A">
              <w:rPr>
                <w:b/>
              </w:rPr>
              <w:t>158</w:t>
            </w:r>
            <w:r>
              <w:rPr>
                <w:b/>
              </w:rPr>
              <w:t>.</w:t>
            </w:r>
            <w:r w:rsidRPr="000C7E3A">
              <w:rPr>
                <w:b/>
              </w:rPr>
              <w:t>527,8</w:t>
            </w:r>
          </w:p>
        </w:tc>
      </w:tr>
      <w:tr w:rsidR="00DF59AD" w:rsidRPr="00447A00" w14:paraId="40DE2889" w14:textId="77777777" w:rsidTr="005808FC">
        <w:trPr>
          <w:trHeight w:val="227"/>
        </w:trPr>
        <w:tc>
          <w:tcPr>
            <w:tcW w:w="3415" w:type="dxa"/>
            <w:shd w:val="clear" w:color="auto" w:fill="F2DBDB" w:themeFill="accent2" w:themeFillTint="33"/>
          </w:tcPr>
          <w:p w14:paraId="2034BEB0" w14:textId="77777777" w:rsidR="00DF59AD" w:rsidRPr="005808FC" w:rsidRDefault="00DF59AD">
            <w:pPr>
              <w:rPr>
                <w:b/>
                <w:bCs/>
              </w:rPr>
            </w:pPr>
            <w:r w:rsidRPr="00291DF5">
              <w:rPr>
                <w:b/>
                <w:bCs/>
              </w:rPr>
              <w:t>Procjena smanjenja emisije (t CO2)</w:t>
            </w:r>
          </w:p>
        </w:tc>
        <w:tc>
          <w:tcPr>
            <w:tcW w:w="5601" w:type="dxa"/>
          </w:tcPr>
          <w:p w14:paraId="228419CA" w14:textId="7A205064" w:rsidR="00DF59AD" w:rsidRPr="005808FC" w:rsidRDefault="00847056" w:rsidP="00DF59AD">
            <w:pPr>
              <w:spacing w:after="0" w:line="240" w:lineRule="auto"/>
              <w:rPr>
                <w:rFonts w:ascii="Century Gothic" w:eastAsia="Calibri" w:hAnsi="Century Gothic" w:cs="Times New Roman"/>
                <w:b/>
                <w:sz w:val="18"/>
                <w:szCs w:val="18"/>
              </w:rPr>
            </w:pPr>
            <w:r w:rsidRPr="00847056">
              <w:rPr>
                <w:b/>
              </w:rPr>
              <w:t>44.550,1</w:t>
            </w:r>
          </w:p>
        </w:tc>
      </w:tr>
      <w:tr w:rsidR="00EF5DA2" w:rsidRPr="00447A00" w14:paraId="6AC2D1DC" w14:textId="77777777" w:rsidTr="005808FC">
        <w:trPr>
          <w:trHeight w:val="227"/>
        </w:trPr>
        <w:tc>
          <w:tcPr>
            <w:tcW w:w="3415" w:type="dxa"/>
            <w:shd w:val="clear" w:color="auto" w:fill="F2DBDB" w:themeFill="accent2" w:themeFillTint="33"/>
          </w:tcPr>
          <w:p w14:paraId="6E5CA2AB" w14:textId="77777777" w:rsidR="00EF5DA2" w:rsidRPr="005808FC" w:rsidRDefault="00EF5DA2">
            <w:pPr>
              <w:rPr>
                <w:b/>
                <w:bCs/>
              </w:rPr>
            </w:pPr>
            <w:r w:rsidRPr="00291DF5">
              <w:rPr>
                <w:b/>
                <w:bCs/>
              </w:rPr>
              <w:t>Izvor sredstava za provedbu</w:t>
            </w:r>
          </w:p>
        </w:tc>
        <w:tc>
          <w:tcPr>
            <w:tcW w:w="5601" w:type="dxa"/>
          </w:tcPr>
          <w:p w14:paraId="72D9645E" w14:textId="77777777" w:rsidR="00EF5DA2" w:rsidRPr="00447A00" w:rsidRDefault="00EF5DA2" w:rsidP="00AE5E1A">
            <w:pPr>
              <w:numPr>
                <w:ilvl w:val="0"/>
                <w:numId w:val="9"/>
              </w:numPr>
              <w:spacing w:after="0"/>
              <w:ind w:left="482" w:hanging="357"/>
            </w:pPr>
            <w:r w:rsidRPr="00447A00">
              <w:t>Gradski proračun</w:t>
            </w:r>
          </w:p>
          <w:p w14:paraId="18EC59DF" w14:textId="77777777" w:rsidR="00EF5DA2" w:rsidRPr="00447A00" w:rsidRDefault="00EF5DA2" w:rsidP="00AE5E1A">
            <w:pPr>
              <w:numPr>
                <w:ilvl w:val="0"/>
                <w:numId w:val="9"/>
              </w:numPr>
              <w:spacing w:after="0"/>
              <w:ind w:left="482" w:hanging="357"/>
            </w:pPr>
            <w:r w:rsidRPr="00447A00">
              <w:t>Državni proračun (MPPI)</w:t>
            </w:r>
          </w:p>
          <w:p w14:paraId="3E406CE5" w14:textId="5928FD87" w:rsidR="00EF5DA2" w:rsidRPr="00447A00" w:rsidRDefault="00EF5DA2" w:rsidP="0DFBE047">
            <w:pPr>
              <w:numPr>
                <w:ilvl w:val="0"/>
                <w:numId w:val="9"/>
              </w:numPr>
              <w:spacing w:after="0"/>
              <w:ind w:left="482" w:hanging="357"/>
            </w:pPr>
            <w:r w:rsidRPr="00447A00">
              <w:t>Connecting Europe Facil</w:t>
            </w:r>
            <w:r w:rsidR="002B1678">
              <w:t>i</w:t>
            </w:r>
            <w:r w:rsidRPr="00447A00">
              <w:t>ty</w:t>
            </w:r>
          </w:p>
          <w:p w14:paraId="489E5F76" w14:textId="77777777" w:rsidR="00EF5DA2" w:rsidRPr="00447A00" w:rsidRDefault="00EF5DA2" w:rsidP="0DFBE047">
            <w:pPr>
              <w:numPr>
                <w:ilvl w:val="0"/>
                <w:numId w:val="9"/>
              </w:numPr>
              <w:spacing w:after="0"/>
              <w:ind w:left="482" w:hanging="357"/>
            </w:pPr>
            <w:r w:rsidRPr="00447A00">
              <w:t>Horizon 2020</w:t>
            </w:r>
          </w:p>
          <w:p w14:paraId="5EC8FBCC" w14:textId="77777777" w:rsidR="000D58DB" w:rsidRPr="00447A00" w:rsidRDefault="000D58DB" w:rsidP="000D58DB">
            <w:pPr>
              <w:numPr>
                <w:ilvl w:val="0"/>
                <w:numId w:val="9"/>
              </w:numPr>
              <w:spacing w:after="0" w:line="240" w:lineRule="auto"/>
              <w:ind w:left="482" w:hanging="357"/>
            </w:pPr>
            <w:r w:rsidRPr="00447A00">
              <w:t>E</w:t>
            </w:r>
            <w:r>
              <w:t>uropski strukturni i investicijski fondovi</w:t>
            </w:r>
          </w:p>
          <w:p w14:paraId="51749333" w14:textId="77777777" w:rsidR="00EF5DA2" w:rsidRPr="00447A00" w:rsidRDefault="00EF5DA2" w:rsidP="00AE5E1A">
            <w:pPr>
              <w:numPr>
                <w:ilvl w:val="0"/>
                <w:numId w:val="9"/>
              </w:numPr>
              <w:spacing w:after="0"/>
              <w:ind w:left="482" w:hanging="357"/>
            </w:pPr>
            <w:r w:rsidRPr="00447A00">
              <w:t>EIB</w:t>
            </w:r>
          </w:p>
          <w:p w14:paraId="003FDA48" w14:textId="77777777" w:rsidR="00EF5DA2" w:rsidRPr="00447A00" w:rsidRDefault="00EF5DA2" w:rsidP="00AE5E1A">
            <w:pPr>
              <w:numPr>
                <w:ilvl w:val="0"/>
                <w:numId w:val="9"/>
              </w:numPr>
              <w:spacing w:after="0"/>
              <w:ind w:left="482" w:hanging="357"/>
            </w:pPr>
            <w:r w:rsidRPr="00447A00">
              <w:t>Sredstva komercijalnih banaka</w:t>
            </w:r>
          </w:p>
          <w:p w14:paraId="2CA5ABF6" w14:textId="77777777" w:rsidR="00EF5DA2" w:rsidRPr="00447A00" w:rsidRDefault="00EF5DA2" w:rsidP="00AE5E1A">
            <w:pPr>
              <w:numPr>
                <w:ilvl w:val="0"/>
                <w:numId w:val="9"/>
              </w:numPr>
              <w:spacing w:after="0"/>
              <w:ind w:left="482" w:hanging="357"/>
            </w:pPr>
            <w:r w:rsidRPr="00447A00">
              <w:t>FZOEU</w:t>
            </w:r>
          </w:p>
        </w:tc>
      </w:tr>
      <w:tr w:rsidR="00EF5DA2" w:rsidRPr="00447A00" w14:paraId="0A0EA874" w14:textId="77777777" w:rsidTr="005808FC">
        <w:trPr>
          <w:trHeight w:val="983"/>
        </w:trPr>
        <w:tc>
          <w:tcPr>
            <w:tcW w:w="3415" w:type="dxa"/>
            <w:shd w:val="clear" w:color="auto" w:fill="F2DBDB" w:themeFill="accent2" w:themeFillTint="33"/>
          </w:tcPr>
          <w:p w14:paraId="4EF9D6D0" w14:textId="77777777" w:rsidR="00EF5DA2" w:rsidRPr="005808FC" w:rsidRDefault="00EF5DA2">
            <w:pPr>
              <w:rPr>
                <w:b/>
                <w:bCs/>
              </w:rPr>
            </w:pPr>
            <w:r w:rsidRPr="00291DF5">
              <w:rPr>
                <w:b/>
                <w:bCs/>
              </w:rPr>
              <w:t>Kratki opis/komentar</w:t>
            </w:r>
          </w:p>
        </w:tc>
        <w:tc>
          <w:tcPr>
            <w:tcW w:w="5601" w:type="dxa"/>
          </w:tcPr>
          <w:p w14:paraId="61B2C6FF" w14:textId="77777777" w:rsidR="00EF5DA2" w:rsidRPr="00447A00" w:rsidRDefault="00EF5DA2" w:rsidP="00EF5DA2">
            <w:pPr>
              <w:spacing w:after="0" w:line="100" w:lineRule="atLeast"/>
            </w:pPr>
            <w:r w:rsidRPr="00447A00">
              <w:t>Provođenje ove mjere ima nekoliko komponenti:</w:t>
            </w:r>
          </w:p>
          <w:p w14:paraId="228911E2" w14:textId="77777777" w:rsidR="00EF5DA2" w:rsidRPr="00447A00" w:rsidRDefault="00EF5DA2" w:rsidP="00AE5E1A">
            <w:pPr>
              <w:numPr>
                <w:ilvl w:val="0"/>
                <w:numId w:val="15"/>
              </w:numPr>
              <w:spacing w:after="0" w:line="100" w:lineRule="atLeast"/>
              <w:contextualSpacing/>
            </w:pPr>
            <w:r w:rsidRPr="00447A00">
              <w:t xml:space="preserve">fizičku komponentu (izgradnja mreže punionica); </w:t>
            </w:r>
          </w:p>
          <w:p w14:paraId="7F7FDE7E" w14:textId="77777777" w:rsidR="00EF5DA2" w:rsidRPr="00447A00" w:rsidRDefault="00EF5DA2" w:rsidP="00AE5E1A">
            <w:pPr>
              <w:numPr>
                <w:ilvl w:val="0"/>
                <w:numId w:val="15"/>
              </w:numPr>
              <w:spacing w:after="0" w:line="100" w:lineRule="atLeast"/>
              <w:contextualSpacing/>
            </w:pPr>
            <w:r w:rsidRPr="00447A00">
              <w:t>IKT komponentu (upravljanje sustavom);</w:t>
            </w:r>
          </w:p>
          <w:p w14:paraId="67878E58" w14:textId="7EF353BE" w:rsidR="00EF5DA2" w:rsidRPr="00447A00" w:rsidRDefault="00EF5DA2" w:rsidP="00AE5E1A">
            <w:pPr>
              <w:numPr>
                <w:ilvl w:val="0"/>
                <w:numId w:val="15"/>
              </w:numPr>
              <w:spacing w:after="0" w:line="100" w:lineRule="atLeast"/>
              <w:contextualSpacing/>
            </w:pPr>
            <w:r w:rsidRPr="00447A00">
              <w:t>poslovnu komponentu (razvoj poslovnog modela za operiranje sustavom).</w:t>
            </w:r>
          </w:p>
          <w:p w14:paraId="0E7632B4" w14:textId="77777777" w:rsidR="008C05F3" w:rsidRDefault="008C05F3" w:rsidP="00EF5DA2">
            <w:pPr>
              <w:spacing w:after="0" w:line="100" w:lineRule="atLeast"/>
              <w:ind w:left="60"/>
              <w:contextualSpacing/>
              <w:rPr>
                <w:rFonts w:cstheme="minorHAnsi"/>
                <w:shd w:val="clear" w:color="auto" w:fill="FFFFFF"/>
              </w:rPr>
            </w:pPr>
          </w:p>
          <w:p w14:paraId="566CA880" w14:textId="0A536CE2" w:rsidR="00EF5DA2" w:rsidRPr="005808FC" w:rsidRDefault="00EF5DA2" w:rsidP="005808FC">
            <w:pPr>
              <w:spacing w:after="0" w:line="100" w:lineRule="atLeast"/>
              <w:ind w:left="60"/>
              <w:contextualSpacing/>
              <w:rPr>
                <w:shd w:val="clear" w:color="auto" w:fill="FFFFFF"/>
              </w:rPr>
            </w:pPr>
            <w:r w:rsidRPr="00291DF5">
              <w:rPr>
                <w:shd w:val="clear" w:color="auto" w:fill="FFFFFF"/>
              </w:rPr>
              <w:t>Mjeru treba provoditi sustavno</w:t>
            </w:r>
            <w:r w:rsidR="000509A0">
              <w:rPr>
                <w:shd w:val="clear" w:color="auto" w:fill="FFFFFF"/>
              </w:rPr>
              <w:t xml:space="preserve"> i </w:t>
            </w:r>
            <w:r w:rsidRPr="00291DF5">
              <w:rPr>
                <w:shd w:val="clear" w:color="auto" w:fill="FFFFFF"/>
              </w:rPr>
              <w:t>to na način da je potrebno:</w:t>
            </w:r>
          </w:p>
          <w:p w14:paraId="21890ADF" w14:textId="77777777" w:rsidR="00EF5DA2" w:rsidRPr="00447A00" w:rsidRDefault="00EF5DA2" w:rsidP="0DFBE047">
            <w:pPr>
              <w:numPr>
                <w:ilvl w:val="0"/>
                <w:numId w:val="57"/>
              </w:numPr>
              <w:spacing w:after="0" w:line="100" w:lineRule="atLeast"/>
              <w:contextualSpacing/>
            </w:pPr>
            <w:r w:rsidRPr="00291DF5">
              <w:rPr>
                <w:shd w:val="clear" w:color="auto" w:fill="FFFFFF"/>
              </w:rPr>
              <w:t>inicijalno mapirati potrebe za punionicama</w:t>
            </w:r>
          </w:p>
          <w:p w14:paraId="2172D4B8" w14:textId="2BBE0DB4" w:rsidR="00EF5DA2" w:rsidRPr="00447A00" w:rsidRDefault="00EF5DA2" w:rsidP="0DFBE047">
            <w:pPr>
              <w:numPr>
                <w:ilvl w:val="0"/>
                <w:numId w:val="57"/>
              </w:numPr>
              <w:spacing w:after="0" w:line="100" w:lineRule="atLeast"/>
              <w:contextualSpacing/>
            </w:pPr>
            <w:r w:rsidRPr="00291DF5">
              <w:rPr>
                <w:shd w:val="clear" w:color="auto" w:fill="FFFFFF"/>
              </w:rPr>
              <w:t>planirati integraciju s elektroenergetskim sustavom</w:t>
            </w:r>
            <w:r w:rsidR="000509A0">
              <w:rPr>
                <w:shd w:val="clear" w:color="auto" w:fill="FFFFFF"/>
              </w:rPr>
              <w:t xml:space="preserve"> i </w:t>
            </w:r>
            <w:r w:rsidRPr="00291DF5">
              <w:rPr>
                <w:shd w:val="clear" w:color="auto" w:fill="FFFFFF"/>
              </w:rPr>
              <w:t>parkirališnim sustavima</w:t>
            </w:r>
            <w:r w:rsidR="00B06748">
              <w:rPr>
                <w:shd w:val="clear" w:color="auto" w:fill="FFFFFF"/>
              </w:rPr>
              <w:t>;</w:t>
            </w:r>
            <w:r w:rsidRPr="005808FC">
              <w:rPr>
                <w:shd w:val="clear" w:color="auto" w:fill="FFFFFF"/>
              </w:rPr>
              <w:t xml:space="preserve"> </w:t>
            </w:r>
          </w:p>
          <w:p w14:paraId="4D576A2A" w14:textId="4B1C8427" w:rsidR="00EF5DA2" w:rsidRPr="00447A00" w:rsidRDefault="00EF5DA2" w:rsidP="0DFBE047">
            <w:pPr>
              <w:numPr>
                <w:ilvl w:val="0"/>
                <w:numId w:val="57"/>
              </w:numPr>
              <w:spacing w:after="0" w:line="100" w:lineRule="atLeast"/>
              <w:contextualSpacing/>
            </w:pPr>
            <w:r w:rsidRPr="00291DF5">
              <w:rPr>
                <w:shd w:val="clear" w:color="auto" w:fill="FFFFFF"/>
              </w:rPr>
              <w:t>s obzirom na analizu odrediti tip</w:t>
            </w:r>
            <w:r w:rsidR="000509A0">
              <w:rPr>
                <w:shd w:val="clear" w:color="auto" w:fill="FFFFFF"/>
              </w:rPr>
              <w:t xml:space="preserve"> i </w:t>
            </w:r>
            <w:r w:rsidRPr="00291DF5">
              <w:rPr>
                <w:shd w:val="clear" w:color="auto" w:fill="FFFFFF"/>
              </w:rPr>
              <w:t>količinu potrebnih punionica, u obzir uzeti spore</w:t>
            </w:r>
            <w:r w:rsidR="000509A0">
              <w:rPr>
                <w:shd w:val="clear" w:color="auto" w:fill="FFFFFF"/>
              </w:rPr>
              <w:t xml:space="preserve"> i </w:t>
            </w:r>
            <w:r w:rsidRPr="00291DF5">
              <w:rPr>
                <w:shd w:val="clear" w:color="auto" w:fill="FFFFFF"/>
              </w:rPr>
              <w:t>brze punionice, kao</w:t>
            </w:r>
            <w:r w:rsidR="000509A0">
              <w:rPr>
                <w:shd w:val="clear" w:color="auto" w:fill="FFFFFF"/>
              </w:rPr>
              <w:t xml:space="preserve"> i </w:t>
            </w:r>
            <w:r w:rsidRPr="00291DF5">
              <w:rPr>
                <w:shd w:val="clear" w:color="auto" w:fill="FFFFFF"/>
              </w:rPr>
              <w:t>potencijalna napredna rješenja u smislu stanica za zamjenu baterija električnih vozila</w:t>
            </w:r>
            <w:r w:rsidR="00B06748">
              <w:rPr>
                <w:shd w:val="clear" w:color="auto" w:fill="FFFFFF"/>
              </w:rPr>
              <w:t>;</w:t>
            </w:r>
          </w:p>
          <w:p w14:paraId="2D90A680" w14:textId="3A71A885" w:rsidR="00EF5DA2" w:rsidRPr="00447A00" w:rsidRDefault="00EF5DA2" w:rsidP="0DFBE047">
            <w:pPr>
              <w:numPr>
                <w:ilvl w:val="0"/>
                <w:numId w:val="57"/>
              </w:numPr>
              <w:spacing w:after="0" w:line="100" w:lineRule="atLeast"/>
              <w:contextualSpacing/>
            </w:pPr>
            <w:r w:rsidRPr="00291DF5">
              <w:rPr>
                <w:shd w:val="clear" w:color="auto" w:fill="FFFFFF"/>
              </w:rPr>
              <w:t>analizirati mogućnost integracije punionica električnih vozila vezanih za javne</w:t>
            </w:r>
            <w:r w:rsidR="000509A0">
              <w:rPr>
                <w:shd w:val="clear" w:color="auto" w:fill="FFFFFF"/>
              </w:rPr>
              <w:t xml:space="preserve"> i </w:t>
            </w:r>
            <w:r w:rsidRPr="00291DF5">
              <w:rPr>
                <w:shd w:val="clear" w:color="auto" w:fill="FFFFFF"/>
              </w:rPr>
              <w:t xml:space="preserve">višestambene zgrade u sustave gospodarenja energijom u zgradama (u smislu usklađivanja s revidiranom direktivom o energetskim svojstvima zgrada) s </w:t>
            </w:r>
            <w:r w:rsidRPr="00291DF5">
              <w:rPr>
                <w:shd w:val="clear" w:color="auto" w:fill="FFFFFF"/>
              </w:rPr>
              <w:lastRenderedPageBreak/>
              <w:t>ciljem ostvarenja čim povoljnije cijene punjenja vozila za krajnje korisnike</w:t>
            </w:r>
            <w:r w:rsidR="00B06748">
              <w:rPr>
                <w:shd w:val="clear" w:color="auto" w:fill="FFFFFF"/>
              </w:rPr>
              <w:t>;</w:t>
            </w:r>
          </w:p>
          <w:p w14:paraId="21503CCA" w14:textId="355AC72A" w:rsidR="00EF5DA2" w:rsidRPr="00447A00" w:rsidRDefault="00EF5DA2" w:rsidP="0DFBE047">
            <w:pPr>
              <w:numPr>
                <w:ilvl w:val="0"/>
                <w:numId w:val="57"/>
              </w:numPr>
              <w:spacing w:after="0" w:line="100" w:lineRule="atLeast"/>
              <w:contextualSpacing/>
            </w:pPr>
            <w:r w:rsidRPr="00291DF5">
              <w:rPr>
                <w:shd w:val="clear" w:color="auto" w:fill="FFFFFF"/>
              </w:rPr>
              <w:t xml:space="preserve">Razviti informacijski sustav </w:t>
            </w:r>
            <w:r w:rsidRPr="005808FC">
              <w:rPr>
                <w:shd w:val="clear" w:color="auto" w:fill="FFFFFF"/>
              </w:rPr>
              <w:t>kojim će se moći najaviti dolazak vozila te s obzirom na predviđene uvjete rada ostalih energetskih sustava u zgradi ostvarenje čim manje cijene punjenja</w:t>
            </w:r>
            <w:r w:rsidR="00B06748">
              <w:rPr>
                <w:shd w:val="clear" w:color="auto" w:fill="FFFFFF"/>
              </w:rPr>
              <w:t>;</w:t>
            </w:r>
          </w:p>
          <w:p w14:paraId="1E38E561" w14:textId="52A4E436" w:rsidR="00EF5DA2" w:rsidRPr="00447A00" w:rsidRDefault="00EF5DA2" w:rsidP="0DFBE047">
            <w:pPr>
              <w:numPr>
                <w:ilvl w:val="0"/>
                <w:numId w:val="57"/>
              </w:numPr>
              <w:spacing w:after="0" w:line="100" w:lineRule="atLeast"/>
              <w:contextualSpacing/>
            </w:pPr>
            <w:r w:rsidRPr="00291DF5">
              <w:rPr>
                <w:shd w:val="clear" w:color="auto" w:fill="FFFFFF"/>
              </w:rPr>
              <w:t xml:space="preserve">Procijeniti mogućnost integracije s uslugama </w:t>
            </w:r>
            <w:r w:rsidR="000D58DB">
              <w:rPr>
                <w:shd w:val="clear" w:color="auto" w:fill="FFFFFF"/>
              </w:rPr>
              <w:t xml:space="preserve">tvrtke </w:t>
            </w:r>
            <w:r w:rsidRPr="00291DF5">
              <w:rPr>
                <w:shd w:val="clear" w:color="auto" w:fill="FFFFFF"/>
              </w:rPr>
              <w:t>Zagrebparking</w:t>
            </w:r>
            <w:r w:rsidR="00B06748">
              <w:rPr>
                <w:shd w:val="clear" w:color="auto" w:fill="FFFFFF"/>
              </w:rPr>
              <w:t>;</w:t>
            </w:r>
          </w:p>
          <w:p w14:paraId="07C48578" w14:textId="2AA5E167" w:rsidR="00EF5DA2" w:rsidRPr="00447A00" w:rsidRDefault="00EF5DA2" w:rsidP="0DFBE047">
            <w:pPr>
              <w:numPr>
                <w:ilvl w:val="0"/>
                <w:numId w:val="57"/>
              </w:numPr>
              <w:spacing w:after="0" w:line="100" w:lineRule="atLeast"/>
              <w:contextualSpacing/>
            </w:pPr>
            <w:r w:rsidRPr="00291DF5">
              <w:rPr>
                <w:shd w:val="clear" w:color="auto" w:fill="FFFFFF"/>
              </w:rPr>
              <w:t>Informacijski sustav povezati s aplik</w:t>
            </w:r>
            <w:r w:rsidRPr="005808FC">
              <w:rPr>
                <w:shd w:val="clear" w:color="auto" w:fill="FFFFFF"/>
              </w:rPr>
              <w:t>acijskim rješenjem eventualnog pružatelja usluga i/ili operatora punionica</w:t>
            </w:r>
            <w:r w:rsidR="00B06748">
              <w:rPr>
                <w:shd w:val="clear" w:color="auto" w:fill="FFFFFF"/>
              </w:rPr>
              <w:t>;</w:t>
            </w:r>
          </w:p>
          <w:p w14:paraId="19410E29" w14:textId="38C4F420" w:rsidR="00EF5DA2" w:rsidRPr="00447A00" w:rsidRDefault="00EF5DA2" w:rsidP="002E3C28">
            <w:pPr>
              <w:numPr>
                <w:ilvl w:val="0"/>
                <w:numId w:val="57"/>
              </w:numPr>
              <w:spacing w:after="0" w:line="100" w:lineRule="atLeast"/>
              <w:contextualSpacing/>
            </w:pPr>
            <w:r w:rsidRPr="00447A00">
              <w:t>razviti</w:t>
            </w:r>
            <w:r w:rsidR="000509A0">
              <w:t xml:space="preserve"> i </w:t>
            </w:r>
            <w:r w:rsidRPr="00447A00">
              <w:t>implementirati poslovni model upravljanja sustavom;</w:t>
            </w:r>
          </w:p>
          <w:p w14:paraId="6FC8EBE5" w14:textId="77777777" w:rsidR="00EF5DA2" w:rsidRPr="00447A00" w:rsidRDefault="00EF5DA2" w:rsidP="002E3C28">
            <w:pPr>
              <w:numPr>
                <w:ilvl w:val="0"/>
                <w:numId w:val="57"/>
              </w:numPr>
              <w:spacing w:after="0" w:line="100" w:lineRule="atLeast"/>
              <w:contextualSpacing/>
            </w:pPr>
            <w:r w:rsidRPr="00447A00">
              <w:t>kontinuirano unaprjeđivati sustav u skladu s potrebama.</w:t>
            </w:r>
          </w:p>
        </w:tc>
      </w:tr>
    </w:tbl>
    <w:p w14:paraId="0C7171AB" w14:textId="77777777" w:rsidR="00EF5DA2" w:rsidRPr="00447A00" w:rsidRDefault="00EF5DA2" w:rsidP="00EF5D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6F7349AA" w14:textId="77777777" w:rsidTr="005808FC">
        <w:trPr>
          <w:trHeight w:val="227"/>
        </w:trPr>
        <w:tc>
          <w:tcPr>
            <w:tcW w:w="3415" w:type="dxa"/>
            <w:shd w:val="clear" w:color="auto" w:fill="C6D9F1" w:themeFill="text2" w:themeFillTint="33"/>
          </w:tcPr>
          <w:p w14:paraId="77226E88"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7EF74732"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19</w:t>
            </w:r>
          </w:p>
        </w:tc>
      </w:tr>
      <w:tr w:rsidR="00EF5DA2" w:rsidRPr="00447A00" w14:paraId="70B3A501" w14:textId="77777777" w:rsidTr="005808FC">
        <w:trPr>
          <w:trHeight w:val="227"/>
        </w:trPr>
        <w:tc>
          <w:tcPr>
            <w:tcW w:w="3415" w:type="dxa"/>
            <w:shd w:val="clear" w:color="auto" w:fill="C6D9F1" w:themeFill="text2" w:themeFillTint="33"/>
          </w:tcPr>
          <w:p w14:paraId="34DDEC61"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br w:type="page"/>
              <w:t>Ime mjere/aktivnost</w:t>
            </w:r>
          </w:p>
        </w:tc>
        <w:tc>
          <w:tcPr>
            <w:tcW w:w="5601" w:type="dxa"/>
            <w:shd w:val="clear" w:color="auto" w:fill="C6D9F1" w:themeFill="text2" w:themeFillTint="33"/>
          </w:tcPr>
          <w:p w14:paraId="40C21530" w14:textId="77777777" w:rsidR="00EF5DA2" w:rsidRPr="005808FC" w:rsidRDefault="00EF5DA2" w:rsidP="005808FC">
            <w:pPr>
              <w:spacing w:line="240" w:lineRule="auto"/>
              <w:rPr>
                <w:rFonts w:cs="Calibri"/>
                <w:b/>
                <w:bCs/>
                <w:color w:val="00B050"/>
              </w:rPr>
            </w:pPr>
            <w:r w:rsidRPr="00291DF5">
              <w:rPr>
                <w:b/>
                <w:bCs/>
              </w:rPr>
              <w:t>Uvođenje sustava olakšica za vlasnike električnih vozila</w:t>
            </w:r>
          </w:p>
        </w:tc>
      </w:tr>
      <w:tr w:rsidR="00EF5DA2" w:rsidRPr="00447A00" w14:paraId="2D0954C3" w14:textId="77777777" w:rsidTr="005808FC">
        <w:trPr>
          <w:trHeight w:val="227"/>
        </w:trPr>
        <w:tc>
          <w:tcPr>
            <w:tcW w:w="3415" w:type="dxa"/>
            <w:shd w:val="clear" w:color="auto" w:fill="F2DBDB" w:themeFill="accent2" w:themeFillTint="33"/>
          </w:tcPr>
          <w:p w14:paraId="36CE1E03" w14:textId="77777777" w:rsidR="00EF5DA2" w:rsidRPr="005808FC" w:rsidRDefault="00EF5DA2" w:rsidP="005808FC">
            <w:pPr>
              <w:spacing w:line="240" w:lineRule="auto"/>
              <w:rPr>
                <w:b/>
                <w:bCs/>
              </w:rPr>
            </w:pPr>
            <w:r w:rsidRPr="00291DF5">
              <w:rPr>
                <w:b/>
                <w:bCs/>
              </w:rPr>
              <w:t>Nositelji aktivnosti :</w:t>
            </w:r>
          </w:p>
        </w:tc>
        <w:tc>
          <w:tcPr>
            <w:tcW w:w="5601" w:type="dxa"/>
          </w:tcPr>
          <w:p w14:paraId="1C621C4E" w14:textId="76D642F1" w:rsidR="00EF5DA2" w:rsidRPr="00447A00" w:rsidRDefault="00EF5DA2" w:rsidP="008C05F3">
            <w:pPr>
              <w:numPr>
                <w:ilvl w:val="0"/>
                <w:numId w:val="9"/>
              </w:numPr>
              <w:spacing w:after="0" w:line="240" w:lineRule="auto"/>
              <w:ind w:left="482" w:hanging="357"/>
            </w:pPr>
            <w:r w:rsidRPr="00447A00">
              <w:t>Gradski ured za gospodarstvo, energetiku</w:t>
            </w:r>
            <w:r w:rsidR="000509A0">
              <w:t xml:space="preserve"> i </w:t>
            </w:r>
            <w:r w:rsidRPr="00447A00">
              <w:t>zaštitu okoliša</w:t>
            </w:r>
          </w:p>
          <w:p w14:paraId="7AE48D30" w14:textId="77777777" w:rsidR="00EF5DA2" w:rsidRPr="00447A00" w:rsidRDefault="00EF5DA2" w:rsidP="008C05F3">
            <w:pPr>
              <w:spacing w:after="0" w:line="240" w:lineRule="auto"/>
              <w:ind w:left="482"/>
            </w:pPr>
          </w:p>
        </w:tc>
      </w:tr>
      <w:tr w:rsidR="00EF5DA2" w:rsidRPr="00447A00" w14:paraId="2943030C" w14:textId="77777777" w:rsidTr="005808FC">
        <w:trPr>
          <w:trHeight w:val="227"/>
        </w:trPr>
        <w:tc>
          <w:tcPr>
            <w:tcW w:w="3415" w:type="dxa"/>
            <w:shd w:val="clear" w:color="auto" w:fill="F2DBDB" w:themeFill="accent2" w:themeFillTint="33"/>
          </w:tcPr>
          <w:p w14:paraId="5A058D16" w14:textId="77777777" w:rsidR="00EF5DA2" w:rsidRPr="005808FC" w:rsidRDefault="00EF5DA2" w:rsidP="005808FC">
            <w:pPr>
              <w:spacing w:line="240" w:lineRule="auto"/>
              <w:rPr>
                <w:b/>
                <w:bCs/>
              </w:rPr>
            </w:pPr>
            <w:r w:rsidRPr="00291DF5">
              <w:rPr>
                <w:b/>
                <w:bCs/>
              </w:rPr>
              <w:t>Partneri u provođenju aktivnosti:</w:t>
            </w:r>
          </w:p>
        </w:tc>
        <w:tc>
          <w:tcPr>
            <w:tcW w:w="5601" w:type="dxa"/>
          </w:tcPr>
          <w:p w14:paraId="22027370" w14:textId="77777777" w:rsidR="00EF5DA2" w:rsidRPr="00447A00" w:rsidRDefault="00EF5DA2" w:rsidP="0DFBE047">
            <w:pPr>
              <w:numPr>
                <w:ilvl w:val="0"/>
                <w:numId w:val="9"/>
              </w:numPr>
              <w:spacing w:after="0" w:line="240" w:lineRule="auto"/>
              <w:ind w:left="482" w:hanging="357"/>
            </w:pPr>
            <w:r w:rsidRPr="00447A00">
              <w:t>Zagrebparking, d.o.o.</w:t>
            </w:r>
          </w:p>
          <w:p w14:paraId="53135F7C" w14:textId="14D31728" w:rsidR="00EF5DA2" w:rsidRPr="00447A00" w:rsidDel="00436CBA" w:rsidRDefault="00EF5DA2" w:rsidP="008C05F3">
            <w:pPr>
              <w:numPr>
                <w:ilvl w:val="0"/>
                <w:numId w:val="9"/>
              </w:numPr>
              <w:spacing w:after="0" w:line="240" w:lineRule="auto"/>
              <w:ind w:left="482" w:hanging="357"/>
            </w:pPr>
            <w:r w:rsidRPr="00447A00">
              <w:t>Gradski ured za prostorno uređenje, komunalne poslove</w:t>
            </w:r>
            <w:r w:rsidR="000509A0">
              <w:t xml:space="preserve"> i </w:t>
            </w:r>
            <w:r w:rsidRPr="00447A00">
              <w:t>promet</w:t>
            </w:r>
          </w:p>
        </w:tc>
      </w:tr>
      <w:tr w:rsidR="00EF5DA2" w:rsidRPr="00447A00" w14:paraId="66D20B77" w14:textId="77777777" w:rsidTr="005808FC">
        <w:trPr>
          <w:trHeight w:val="227"/>
        </w:trPr>
        <w:tc>
          <w:tcPr>
            <w:tcW w:w="3415" w:type="dxa"/>
            <w:shd w:val="clear" w:color="auto" w:fill="F2DBDB" w:themeFill="accent2" w:themeFillTint="33"/>
          </w:tcPr>
          <w:p w14:paraId="0AD8A586" w14:textId="77777777" w:rsidR="00EF5DA2" w:rsidRPr="005808FC" w:rsidRDefault="00EF5DA2" w:rsidP="005808FC">
            <w:pPr>
              <w:spacing w:line="240" w:lineRule="auto"/>
              <w:rPr>
                <w:b/>
                <w:bCs/>
              </w:rPr>
            </w:pPr>
            <w:r w:rsidRPr="00291DF5">
              <w:rPr>
                <w:b/>
                <w:bCs/>
              </w:rPr>
              <w:t>Početak/kraj provedbe (godine)</w:t>
            </w:r>
          </w:p>
        </w:tc>
        <w:tc>
          <w:tcPr>
            <w:tcW w:w="5601" w:type="dxa"/>
          </w:tcPr>
          <w:p w14:paraId="3452C811" w14:textId="508A6377" w:rsidR="00EF5DA2" w:rsidRPr="005808FC" w:rsidRDefault="00EF5DA2" w:rsidP="005808FC">
            <w:pPr>
              <w:spacing w:after="0" w:line="240" w:lineRule="auto"/>
              <w:rPr>
                <w:rFonts w:eastAsia="Calibri"/>
                <w:b/>
                <w:sz w:val="18"/>
                <w:szCs w:val="18"/>
              </w:rPr>
            </w:pPr>
            <w:r w:rsidRPr="005808FC">
              <w:rPr>
                <w:rFonts w:eastAsia="Calibri"/>
                <w:b/>
              </w:rPr>
              <w:t>Do 2023</w:t>
            </w:r>
            <w:r w:rsidR="000509A0">
              <w:rPr>
                <w:rFonts w:eastAsia="Calibri"/>
                <w:b/>
              </w:rPr>
              <w:t>.</w:t>
            </w:r>
          </w:p>
        </w:tc>
      </w:tr>
      <w:tr w:rsidR="00DF59AD" w:rsidRPr="00447A00" w14:paraId="010C2164" w14:textId="77777777" w:rsidTr="005808FC">
        <w:trPr>
          <w:trHeight w:val="227"/>
        </w:trPr>
        <w:tc>
          <w:tcPr>
            <w:tcW w:w="3415" w:type="dxa"/>
            <w:shd w:val="clear" w:color="auto" w:fill="F2DBDB" w:themeFill="accent2" w:themeFillTint="33"/>
          </w:tcPr>
          <w:p w14:paraId="5698C16B" w14:textId="2B3E4CBA" w:rsidR="00DF59AD" w:rsidRPr="005808FC" w:rsidRDefault="00DF59AD" w:rsidP="005808FC">
            <w:pPr>
              <w:spacing w:line="240" w:lineRule="auto"/>
              <w:rPr>
                <w:b/>
                <w:bCs/>
              </w:rPr>
            </w:pPr>
            <w:r w:rsidRPr="00291DF5">
              <w:rPr>
                <w:b/>
                <w:bCs/>
              </w:rPr>
              <w:t>Procjena uštede (MWh)</w:t>
            </w:r>
          </w:p>
        </w:tc>
        <w:tc>
          <w:tcPr>
            <w:tcW w:w="5601" w:type="dxa"/>
          </w:tcPr>
          <w:p w14:paraId="3D40FBE4" w14:textId="13EA4128" w:rsidR="00DF59AD" w:rsidRPr="005808FC" w:rsidRDefault="00586AB1" w:rsidP="00DF59AD">
            <w:pPr>
              <w:spacing w:after="0" w:line="240" w:lineRule="auto"/>
              <w:rPr>
                <w:rFonts w:ascii="Century Gothic" w:eastAsia="Calibri" w:hAnsi="Century Gothic" w:cs="Times New Roman"/>
                <w:b/>
                <w:sz w:val="18"/>
                <w:szCs w:val="18"/>
              </w:rPr>
            </w:pPr>
            <w:r w:rsidRPr="00C73FF7">
              <w:rPr>
                <w:b/>
              </w:rPr>
              <w:t>158</w:t>
            </w:r>
            <w:r>
              <w:rPr>
                <w:b/>
              </w:rPr>
              <w:t>.</w:t>
            </w:r>
            <w:r w:rsidRPr="00C73FF7">
              <w:rPr>
                <w:b/>
              </w:rPr>
              <w:t>555,6</w:t>
            </w:r>
          </w:p>
        </w:tc>
      </w:tr>
      <w:tr w:rsidR="00DF59AD" w:rsidRPr="00447A00" w14:paraId="58FC6FEE" w14:textId="77777777" w:rsidTr="005808FC">
        <w:trPr>
          <w:trHeight w:val="227"/>
        </w:trPr>
        <w:tc>
          <w:tcPr>
            <w:tcW w:w="3415" w:type="dxa"/>
            <w:shd w:val="clear" w:color="auto" w:fill="F2DBDB" w:themeFill="accent2" w:themeFillTint="33"/>
          </w:tcPr>
          <w:p w14:paraId="49699859" w14:textId="77777777" w:rsidR="00DF59AD" w:rsidRPr="005808FC" w:rsidRDefault="00DF59AD" w:rsidP="005808FC">
            <w:pPr>
              <w:spacing w:line="240" w:lineRule="auto"/>
              <w:rPr>
                <w:b/>
                <w:bCs/>
              </w:rPr>
            </w:pPr>
            <w:r w:rsidRPr="00291DF5">
              <w:rPr>
                <w:b/>
                <w:bCs/>
              </w:rPr>
              <w:t>Procjena smanjenja emisije (t CO2)</w:t>
            </w:r>
          </w:p>
        </w:tc>
        <w:tc>
          <w:tcPr>
            <w:tcW w:w="5601" w:type="dxa"/>
          </w:tcPr>
          <w:p w14:paraId="73066FD0" w14:textId="4E1EFB04" w:rsidR="00DF59AD" w:rsidRPr="005808FC" w:rsidRDefault="00847056" w:rsidP="00DF59AD">
            <w:pPr>
              <w:spacing w:after="0" w:line="240" w:lineRule="auto"/>
              <w:rPr>
                <w:rFonts w:ascii="Century Gothic" w:eastAsia="Calibri" w:hAnsi="Century Gothic" w:cs="Times New Roman"/>
                <w:b/>
                <w:sz w:val="18"/>
                <w:szCs w:val="18"/>
              </w:rPr>
            </w:pPr>
            <w:r w:rsidRPr="005808FC">
              <w:rPr>
                <w:b/>
              </w:rPr>
              <w:t>44.550,1</w:t>
            </w:r>
          </w:p>
        </w:tc>
      </w:tr>
      <w:tr w:rsidR="00EF5DA2" w:rsidRPr="00447A00" w14:paraId="3125CEA5" w14:textId="77777777" w:rsidTr="005808FC">
        <w:trPr>
          <w:trHeight w:val="227"/>
        </w:trPr>
        <w:tc>
          <w:tcPr>
            <w:tcW w:w="3415" w:type="dxa"/>
            <w:shd w:val="clear" w:color="auto" w:fill="F2DBDB" w:themeFill="accent2" w:themeFillTint="33"/>
          </w:tcPr>
          <w:p w14:paraId="5ADE65DB" w14:textId="77777777" w:rsidR="00EF5DA2" w:rsidRPr="005808FC" w:rsidRDefault="00EF5DA2" w:rsidP="005808FC">
            <w:pPr>
              <w:spacing w:line="240" w:lineRule="auto"/>
              <w:rPr>
                <w:b/>
                <w:bCs/>
              </w:rPr>
            </w:pPr>
            <w:r w:rsidRPr="00291DF5">
              <w:rPr>
                <w:b/>
                <w:bCs/>
              </w:rPr>
              <w:t>Izvor sredstava za provedbu</w:t>
            </w:r>
          </w:p>
        </w:tc>
        <w:tc>
          <w:tcPr>
            <w:tcW w:w="5601" w:type="dxa"/>
          </w:tcPr>
          <w:p w14:paraId="20F6585B" w14:textId="77777777" w:rsidR="00EF5DA2" w:rsidRPr="00447A00" w:rsidRDefault="00EF5DA2" w:rsidP="008C05F3">
            <w:pPr>
              <w:numPr>
                <w:ilvl w:val="0"/>
                <w:numId w:val="9"/>
              </w:numPr>
              <w:spacing w:after="0" w:line="240" w:lineRule="auto"/>
              <w:ind w:left="482" w:hanging="357"/>
            </w:pPr>
            <w:r w:rsidRPr="00447A00">
              <w:t>Gradski proračun</w:t>
            </w:r>
          </w:p>
          <w:p w14:paraId="44BA10DD" w14:textId="59F08F11" w:rsidR="00EF5DA2" w:rsidRPr="00447A00" w:rsidRDefault="00EF5DA2" w:rsidP="005808FC">
            <w:pPr>
              <w:numPr>
                <w:ilvl w:val="0"/>
                <w:numId w:val="9"/>
              </w:numPr>
              <w:spacing w:after="0" w:line="240" w:lineRule="auto"/>
              <w:ind w:left="482" w:hanging="357"/>
            </w:pPr>
            <w:r w:rsidRPr="00447A00">
              <w:t>Connecting Europe Facilty</w:t>
            </w:r>
          </w:p>
        </w:tc>
      </w:tr>
      <w:tr w:rsidR="00EF5DA2" w:rsidRPr="00447A00" w14:paraId="04279287" w14:textId="77777777" w:rsidTr="005808FC">
        <w:trPr>
          <w:trHeight w:val="983"/>
        </w:trPr>
        <w:tc>
          <w:tcPr>
            <w:tcW w:w="3415" w:type="dxa"/>
            <w:shd w:val="clear" w:color="auto" w:fill="F2DBDB" w:themeFill="accent2" w:themeFillTint="33"/>
          </w:tcPr>
          <w:p w14:paraId="12755A0C" w14:textId="77777777" w:rsidR="00EF5DA2" w:rsidRPr="005808FC" w:rsidRDefault="00EF5DA2" w:rsidP="005808FC">
            <w:pPr>
              <w:spacing w:line="240" w:lineRule="auto"/>
              <w:rPr>
                <w:b/>
                <w:bCs/>
              </w:rPr>
            </w:pPr>
            <w:r w:rsidRPr="00291DF5">
              <w:rPr>
                <w:b/>
                <w:bCs/>
              </w:rPr>
              <w:t>Kratki opis/komentar</w:t>
            </w:r>
          </w:p>
        </w:tc>
        <w:tc>
          <w:tcPr>
            <w:tcW w:w="5601" w:type="dxa"/>
          </w:tcPr>
          <w:p w14:paraId="3B0C4A7D" w14:textId="22CC4E27" w:rsidR="00EF5DA2" w:rsidRPr="00447A00" w:rsidRDefault="00EF5DA2" w:rsidP="008C05F3">
            <w:pPr>
              <w:spacing w:line="240" w:lineRule="auto"/>
              <w:ind w:left="60"/>
              <w:contextualSpacing/>
            </w:pPr>
            <w:r w:rsidRPr="00447A00">
              <w:t>Cilj mjere je razraditi modalitete poticanja korištenja električnih vozila jer njihovo korištenje ima direktne pozitivne učinke na smanjenje korištenja fosilnih goriva</w:t>
            </w:r>
            <w:r w:rsidR="000509A0">
              <w:t xml:space="preserve"> i </w:t>
            </w:r>
            <w:r w:rsidRPr="00447A00">
              <w:t>smanjenje emisija CO</w:t>
            </w:r>
            <w:r w:rsidRPr="005808FC">
              <w:rPr>
                <w:vertAlign w:val="subscript"/>
              </w:rPr>
              <w:t>2</w:t>
            </w:r>
            <w:r w:rsidRPr="00447A00">
              <w:t>. Kako bi se u potpunosti iskoristile sve prednosti mjere izgradnje infrastrukture za korištenje alternativnih goriva potrebno je osigurati dovoljan broj konzumenata, a jedan od načina je</w:t>
            </w:r>
            <w:r w:rsidR="000509A0">
              <w:t xml:space="preserve"> i </w:t>
            </w:r>
            <w:r w:rsidRPr="00447A00">
              <w:t>uvođenje sustava olakšica za vlasnike.</w:t>
            </w:r>
          </w:p>
          <w:p w14:paraId="619265DD" w14:textId="12DEE3E5" w:rsidR="00EF5DA2" w:rsidRPr="005808FC" w:rsidRDefault="00EF5DA2" w:rsidP="005808FC">
            <w:pPr>
              <w:spacing w:line="240" w:lineRule="auto"/>
              <w:ind w:left="60"/>
              <w:contextualSpacing/>
              <w:rPr>
                <w:shd w:val="clear" w:color="auto" w:fill="FFFFFF"/>
              </w:rPr>
            </w:pPr>
            <w:r w:rsidRPr="00291DF5">
              <w:rPr>
                <w:shd w:val="clear" w:color="auto" w:fill="FFFFFF"/>
              </w:rPr>
              <w:t xml:space="preserve">Neke od potencijalnih mjera su npr. besplatno parkiranje, besplatna nabava godišnje parkirne karte, </w:t>
            </w:r>
            <w:r w:rsidRPr="005808FC">
              <w:rPr>
                <w:shd w:val="clear" w:color="auto" w:fill="FFFFFF"/>
              </w:rPr>
              <w:t>snižena cijena punjenja na punionicama operiranim od strane pružatelja usluge parkinga,</w:t>
            </w:r>
            <w:r w:rsidR="000509A0">
              <w:rPr>
                <w:shd w:val="clear" w:color="auto" w:fill="FFFFFF"/>
              </w:rPr>
              <w:t xml:space="preserve"> i </w:t>
            </w:r>
            <w:r w:rsidRPr="00291DF5">
              <w:rPr>
                <w:shd w:val="clear" w:color="auto" w:fill="FFFFFF"/>
              </w:rPr>
              <w:t>sl.</w:t>
            </w:r>
          </w:p>
          <w:p w14:paraId="7F23E799" w14:textId="77777777" w:rsidR="00DF59AD" w:rsidRDefault="00DF59AD" w:rsidP="008C05F3">
            <w:pPr>
              <w:spacing w:line="240" w:lineRule="auto"/>
              <w:ind w:left="60"/>
              <w:contextualSpacing/>
              <w:rPr>
                <w:rFonts w:cstheme="minorHAnsi"/>
                <w:shd w:val="clear" w:color="auto" w:fill="FFFFFF"/>
              </w:rPr>
            </w:pPr>
          </w:p>
          <w:p w14:paraId="5CCE777D" w14:textId="3EFC25D3" w:rsidR="00EF5DA2" w:rsidRDefault="00EF5DA2" w:rsidP="008C05F3">
            <w:pPr>
              <w:spacing w:line="240" w:lineRule="auto"/>
              <w:ind w:left="60"/>
              <w:contextualSpacing/>
              <w:rPr>
                <w:rFonts w:cstheme="minorHAnsi"/>
                <w:shd w:val="clear" w:color="auto" w:fill="FFFFFF"/>
              </w:rPr>
            </w:pPr>
            <w:r w:rsidRPr="00291DF5">
              <w:rPr>
                <w:shd w:val="clear" w:color="auto" w:fill="FFFFFF"/>
              </w:rPr>
              <w:t>Razradi mjere treba pristupiti sustavno</w:t>
            </w:r>
            <w:r w:rsidR="00DF59AD" w:rsidRPr="005808FC">
              <w:rPr>
                <w:shd w:val="clear" w:color="auto" w:fill="FFFFFF"/>
              </w:rPr>
              <w:t>.</w:t>
            </w:r>
          </w:p>
          <w:p w14:paraId="4B3CA573" w14:textId="77777777" w:rsidR="000509A0" w:rsidRPr="00447A00" w:rsidRDefault="000509A0" w:rsidP="008C05F3">
            <w:pPr>
              <w:spacing w:line="240" w:lineRule="auto"/>
              <w:ind w:left="60"/>
              <w:contextualSpacing/>
              <w:rPr>
                <w:rFonts w:cstheme="minorHAnsi"/>
                <w:shd w:val="clear" w:color="auto" w:fill="FFFFFF"/>
              </w:rPr>
            </w:pPr>
          </w:p>
          <w:p w14:paraId="77CAE0CE" w14:textId="77777777" w:rsidR="00EF5DA2" w:rsidRPr="005808FC" w:rsidRDefault="00EF5DA2" w:rsidP="005808FC">
            <w:pPr>
              <w:spacing w:line="240" w:lineRule="auto"/>
              <w:ind w:left="60"/>
              <w:contextualSpacing/>
              <w:rPr>
                <w:shd w:val="clear" w:color="auto" w:fill="FFFFFF"/>
              </w:rPr>
            </w:pPr>
            <w:r w:rsidRPr="00291DF5">
              <w:rPr>
                <w:shd w:val="clear" w:color="auto" w:fill="FFFFFF"/>
              </w:rPr>
              <w:lastRenderedPageBreak/>
              <w:t xml:space="preserve">Financiranje djelomično iz novo uvedenih naknada za ulazak u gradsko središte, a djelomično iz sredstava grada. </w:t>
            </w:r>
          </w:p>
          <w:p w14:paraId="3D1F3C57" w14:textId="77777777" w:rsidR="00EF5DA2" w:rsidRPr="00447A00" w:rsidRDefault="00EF5DA2" w:rsidP="008C05F3">
            <w:pPr>
              <w:spacing w:line="240" w:lineRule="auto"/>
              <w:ind w:left="60"/>
              <w:contextualSpacing/>
              <w:rPr>
                <w:rFonts w:cstheme="minorHAnsi"/>
                <w:shd w:val="clear" w:color="auto" w:fill="FFFFFF"/>
              </w:rPr>
            </w:pPr>
          </w:p>
          <w:p w14:paraId="725AB908" w14:textId="6A43EFA2" w:rsidR="00EF5DA2" w:rsidRPr="005808FC" w:rsidRDefault="00EF5DA2" w:rsidP="005808FC">
            <w:pPr>
              <w:spacing w:line="240" w:lineRule="auto"/>
              <w:ind w:left="60"/>
              <w:contextualSpacing/>
              <w:rPr>
                <w:shd w:val="clear" w:color="auto" w:fill="FFFFFF"/>
              </w:rPr>
            </w:pPr>
            <w:r w:rsidRPr="00291DF5">
              <w:rPr>
                <w:shd w:val="clear" w:color="auto" w:fill="FFFFFF"/>
              </w:rPr>
              <w:t>Iznos subvencije u iznosu od približno 10</w:t>
            </w:r>
            <w:r w:rsidR="000509A0">
              <w:rPr>
                <w:shd w:val="clear" w:color="auto" w:fill="FFFFFF"/>
              </w:rPr>
              <w:t>%</w:t>
            </w:r>
            <w:r w:rsidRPr="00291DF5">
              <w:rPr>
                <w:shd w:val="clear" w:color="auto" w:fill="FFFFFF"/>
              </w:rPr>
              <w:t xml:space="preserve"> od cijene vozila u vidu jednokratnog poticaja kupcu takvog vozila.</w:t>
            </w:r>
          </w:p>
          <w:p w14:paraId="1D796989" w14:textId="77777777" w:rsidR="00EF5DA2" w:rsidRPr="00447A00" w:rsidRDefault="00EF5DA2" w:rsidP="008C05F3">
            <w:pPr>
              <w:spacing w:line="240" w:lineRule="auto"/>
              <w:ind w:left="60"/>
              <w:contextualSpacing/>
              <w:rPr>
                <w:rFonts w:cstheme="minorHAnsi"/>
                <w:shd w:val="clear" w:color="auto" w:fill="FFFFFF"/>
              </w:rPr>
            </w:pPr>
          </w:p>
          <w:p w14:paraId="55D26989" w14:textId="77777777" w:rsidR="00EF5DA2" w:rsidRPr="00447A00" w:rsidRDefault="00EF5DA2" w:rsidP="008C05F3">
            <w:pPr>
              <w:spacing w:after="0" w:line="240" w:lineRule="auto"/>
              <w:ind w:left="60"/>
              <w:contextualSpacing/>
            </w:pPr>
            <w:r w:rsidRPr="00291DF5">
              <w:rPr>
                <w:shd w:val="clear" w:color="auto" w:fill="FFFFFF"/>
              </w:rPr>
              <w:t>Modele subvencioniranja uskladiti s poreznom politikom Republike Hrvatske.</w:t>
            </w:r>
          </w:p>
        </w:tc>
      </w:tr>
    </w:tbl>
    <w:p w14:paraId="21DECA67" w14:textId="1BC8D996" w:rsidR="008C05F3" w:rsidRDefault="008C05F3">
      <w:pPr>
        <w:jc w:val="left"/>
        <w:rPr>
          <w:rFonts w:eastAsiaTheme="majorEastAsia" w:cstheme="majorBidi"/>
          <w:b/>
          <w:bCs/>
          <w:sz w:val="26"/>
        </w:rPr>
      </w:pPr>
    </w:p>
    <w:p w14:paraId="7D2CEBC7" w14:textId="4B4D0DD7" w:rsidR="00EF5DA2" w:rsidRPr="008C05F3" w:rsidRDefault="00EF5DA2" w:rsidP="00544C30">
      <w:pPr>
        <w:pStyle w:val="Heading3"/>
        <w:ind w:left="851" w:hanging="851"/>
      </w:pPr>
      <w:bookmarkStart w:id="240" w:name="_Toc4156104"/>
      <w:r w:rsidRPr="008C05F3">
        <w:t>Biciklistički</w:t>
      </w:r>
      <w:r w:rsidR="000509A0">
        <w:t xml:space="preserve"> i </w:t>
      </w:r>
      <w:r w:rsidRPr="008C05F3">
        <w:t>pješački promet</w:t>
      </w:r>
      <w:bookmarkEnd w:id="240"/>
      <w:r w:rsidRPr="008C05F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EF5DA2" w:rsidRPr="00447A00" w14:paraId="4E59B18D" w14:textId="77777777" w:rsidTr="005808FC">
        <w:trPr>
          <w:trHeight w:val="227"/>
        </w:trPr>
        <w:tc>
          <w:tcPr>
            <w:tcW w:w="3415" w:type="dxa"/>
            <w:shd w:val="clear" w:color="auto" w:fill="C6D9F1" w:themeFill="text2" w:themeFillTint="33"/>
          </w:tcPr>
          <w:p w14:paraId="1B168CE4"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Redni broj mjere</w:t>
            </w:r>
          </w:p>
        </w:tc>
        <w:tc>
          <w:tcPr>
            <w:tcW w:w="5601" w:type="dxa"/>
            <w:shd w:val="clear" w:color="auto" w:fill="C6D9F1" w:themeFill="text2" w:themeFillTint="33"/>
          </w:tcPr>
          <w:p w14:paraId="4B27BBBA"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t>20</w:t>
            </w:r>
          </w:p>
        </w:tc>
      </w:tr>
      <w:tr w:rsidR="00EF5DA2" w:rsidRPr="00447A00" w14:paraId="3668C664" w14:textId="77777777" w:rsidTr="005808FC">
        <w:trPr>
          <w:trHeight w:val="227"/>
        </w:trPr>
        <w:tc>
          <w:tcPr>
            <w:tcW w:w="3415" w:type="dxa"/>
            <w:shd w:val="clear" w:color="auto" w:fill="C6D9F1" w:themeFill="text2" w:themeFillTint="33"/>
          </w:tcPr>
          <w:p w14:paraId="61FD4609" w14:textId="77777777" w:rsidR="00EF5DA2" w:rsidRPr="005808FC" w:rsidRDefault="00EF5DA2" w:rsidP="005808FC">
            <w:pPr>
              <w:spacing w:after="0" w:line="240" w:lineRule="auto"/>
              <w:rPr>
                <w:rFonts w:eastAsia="Calibri" w:cs="Times New Roman"/>
                <w:b/>
                <w:bCs/>
              </w:rPr>
            </w:pPr>
            <w:r w:rsidRPr="00291DF5">
              <w:rPr>
                <w:rFonts w:eastAsia="Calibri" w:cs="Times New Roman"/>
                <w:b/>
                <w:bCs/>
              </w:rPr>
              <w:br w:type="page"/>
              <w:t>Ime mjere/aktivnost</w:t>
            </w:r>
          </w:p>
        </w:tc>
        <w:tc>
          <w:tcPr>
            <w:tcW w:w="5601" w:type="dxa"/>
            <w:shd w:val="clear" w:color="auto" w:fill="C6D9F1" w:themeFill="text2" w:themeFillTint="33"/>
          </w:tcPr>
          <w:p w14:paraId="4C74C2FA" w14:textId="64ED4F42" w:rsidR="00EF5DA2" w:rsidRPr="005808FC" w:rsidRDefault="00EF5DA2">
            <w:pPr>
              <w:rPr>
                <w:b/>
                <w:bCs/>
              </w:rPr>
            </w:pPr>
            <w:r w:rsidRPr="00291DF5">
              <w:rPr>
                <w:b/>
                <w:bCs/>
              </w:rPr>
              <w:t xml:space="preserve">Unaprjeđenje </w:t>
            </w:r>
            <w:r w:rsidR="00E16DFD" w:rsidRPr="005808FC">
              <w:rPr>
                <w:b/>
                <w:bCs/>
              </w:rPr>
              <w:t>biciklističkog</w:t>
            </w:r>
            <w:r w:rsidR="000509A0">
              <w:rPr>
                <w:b/>
                <w:bCs/>
              </w:rPr>
              <w:t xml:space="preserve"> i </w:t>
            </w:r>
            <w:r w:rsidRPr="00291DF5">
              <w:rPr>
                <w:b/>
                <w:bCs/>
              </w:rPr>
              <w:t>pješačkog prometa</w:t>
            </w:r>
          </w:p>
        </w:tc>
      </w:tr>
      <w:tr w:rsidR="00EF5DA2" w:rsidRPr="00447A00" w14:paraId="3D3BCDA3" w14:textId="77777777" w:rsidTr="005808FC">
        <w:trPr>
          <w:trHeight w:val="227"/>
        </w:trPr>
        <w:tc>
          <w:tcPr>
            <w:tcW w:w="3415" w:type="dxa"/>
            <w:shd w:val="clear" w:color="auto" w:fill="F2DBDB" w:themeFill="accent2" w:themeFillTint="33"/>
          </w:tcPr>
          <w:p w14:paraId="6C8FAE70" w14:textId="77777777" w:rsidR="00EF5DA2" w:rsidRPr="005808FC" w:rsidRDefault="00EF5DA2">
            <w:pPr>
              <w:rPr>
                <w:b/>
                <w:bCs/>
              </w:rPr>
            </w:pPr>
            <w:r w:rsidRPr="00291DF5">
              <w:rPr>
                <w:b/>
                <w:bCs/>
              </w:rPr>
              <w:t>Nositelji aktivnosti :</w:t>
            </w:r>
          </w:p>
        </w:tc>
        <w:tc>
          <w:tcPr>
            <w:tcW w:w="5601" w:type="dxa"/>
          </w:tcPr>
          <w:p w14:paraId="5F23DCCC" w14:textId="6136EBB0" w:rsidR="00EF5DA2" w:rsidRPr="00447A00" w:rsidRDefault="00EF5DA2" w:rsidP="00AE5E1A">
            <w:pPr>
              <w:numPr>
                <w:ilvl w:val="0"/>
                <w:numId w:val="9"/>
              </w:numPr>
              <w:spacing w:after="0"/>
              <w:ind w:left="482" w:hanging="357"/>
            </w:pPr>
            <w:r w:rsidRPr="00447A00">
              <w:t>Gradski ured za gospodarstvo, energetiku</w:t>
            </w:r>
            <w:r w:rsidR="000509A0">
              <w:t xml:space="preserve"> i </w:t>
            </w:r>
            <w:r w:rsidRPr="00447A00">
              <w:t>zaštitu okoliša</w:t>
            </w:r>
          </w:p>
          <w:p w14:paraId="7DDA5D57" w14:textId="77777777" w:rsidR="00EF5DA2" w:rsidRPr="00447A00" w:rsidRDefault="00EF5DA2" w:rsidP="00AE5E1A">
            <w:pPr>
              <w:numPr>
                <w:ilvl w:val="0"/>
                <w:numId w:val="9"/>
              </w:numPr>
              <w:spacing w:after="0"/>
              <w:ind w:left="482" w:hanging="357"/>
            </w:pPr>
            <w:r w:rsidRPr="00447A00">
              <w:t>ZET, d.o.o.</w:t>
            </w:r>
          </w:p>
        </w:tc>
      </w:tr>
      <w:tr w:rsidR="00EF5DA2" w:rsidRPr="00447A00" w14:paraId="1F563E01" w14:textId="77777777" w:rsidTr="005808FC">
        <w:trPr>
          <w:trHeight w:val="227"/>
        </w:trPr>
        <w:tc>
          <w:tcPr>
            <w:tcW w:w="3415" w:type="dxa"/>
            <w:shd w:val="clear" w:color="auto" w:fill="F2DBDB" w:themeFill="accent2" w:themeFillTint="33"/>
          </w:tcPr>
          <w:p w14:paraId="3A4CC9F2" w14:textId="77777777" w:rsidR="00EF5DA2" w:rsidRPr="005808FC" w:rsidRDefault="00EF5DA2">
            <w:pPr>
              <w:rPr>
                <w:b/>
                <w:bCs/>
              </w:rPr>
            </w:pPr>
            <w:r w:rsidRPr="00291DF5">
              <w:rPr>
                <w:b/>
                <w:bCs/>
              </w:rPr>
              <w:t>Partneri u provođenju aktivnosti:</w:t>
            </w:r>
          </w:p>
        </w:tc>
        <w:tc>
          <w:tcPr>
            <w:tcW w:w="5601" w:type="dxa"/>
          </w:tcPr>
          <w:p w14:paraId="2EEC19B0" w14:textId="0EE99135" w:rsidR="00EF5DA2" w:rsidRPr="00F5131E" w:rsidRDefault="00EF5DA2" w:rsidP="00AE5E1A">
            <w:pPr>
              <w:numPr>
                <w:ilvl w:val="0"/>
                <w:numId w:val="9"/>
              </w:numPr>
              <w:spacing w:after="0"/>
              <w:ind w:left="482" w:hanging="357"/>
            </w:pPr>
            <w:r w:rsidRPr="00F5131E">
              <w:t>Gradski ured za prostorno uređenje, izgradnju Grada, graditeljstvo, komunalne poslove</w:t>
            </w:r>
            <w:r w:rsidR="000509A0" w:rsidRPr="00F5131E">
              <w:t xml:space="preserve"> i </w:t>
            </w:r>
            <w:r w:rsidRPr="00F5131E">
              <w:t>promet</w:t>
            </w:r>
          </w:p>
          <w:p w14:paraId="5A139AB4" w14:textId="77777777" w:rsidR="00601D46" w:rsidRPr="00F5131E" w:rsidRDefault="00601D46" w:rsidP="00601D46">
            <w:pPr>
              <w:numPr>
                <w:ilvl w:val="0"/>
                <w:numId w:val="9"/>
              </w:numPr>
              <w:spacing w:after="0"/>
              <w:ind w:left="482" w:hanging="357"/>
            </w:pPr>
            <w:r w:rsidRPr="00F5131E">
              <w:t>Zavod za prostorno uređenje Grada Zagreba</w:t>
            </w:r>
          </w:p>
          <w:p w14:paraId="1FB2899E" w14:textId="3A24075F" w:rsidR="00EF5DA2" w:rsidRPr="00447A00" w:rsidDel="00436CBA" w:rsidRDefault="00EF5DA2">
            <w:pPr>
              <w:numPr>
                <w:ilvl w:val="0"/>
                <w:numId w:val="9"/>
              </w:numPr>
              <w:spacing w:after="0"/>
              <w:ind w:left="482" w:hanging="357"/>
            </w:pPr>
            <w:r w:rsidRPr="00F5131E">
              <w:t>Integrirani promet zagrebačkog područja, d.o.o.</w:t>
            </w:r>
          </w:p>
        </w:tc>
      </w:tr>
      <w:tr w:rsidR="00F86403" w:rsidRPr="00447A00" w14:paraId="18504AFA" w14:textId="77777777" w:rsidTr="005808FC">
        <w:trPr>
          <w:trHeight w:val="227"/>
        </w:trPr>
        <w:tc>
          <w:tcPr>
            <w:tcW w:w="3415" w:type="dxa"/>
            <w:shd w:val="clear" w:color="auto" w:fill="F2DBDB" w:themeFill="accent2" w:themeFillTint="33"/>
          </w:tcPr>
          <w:p w14:paraId="7FFDE0E7" w14:textId="5B98B0C0" w:rsidR="00F86403" w:rsidRPr="005808FC" w:rsidRDefault="00F86403">
            <w:pPr>
              <w:rPr>
                <w:b/>
                <w:bCs/>
              </w:rPr>
            </w:pPr>
            <w:r w:rsidRPr="00291DF5">
              <w:rPr>
                <w:b/>
                <w:bCs/>
              </w:rPr>
              <w:t>Ostali uključeni dionic:</w:t>
            </w:r>
          </w:p>
        </w:tc>
        <w:tc>
          <w:tcPr>
            <w:tcW w:w="5601" w:type="dxa"/>
          </w:tcPr>
          <w:p w14:paraId="3724285E" w14:textId="77777777" w:rsidR="00F86403" w:rsidRPr="00447A00" w:rsidRDefault="00F86403" w:rsidP="0DFBE047">
            <w:pPr>
              <w:numPr>
                <w:ilvl w:val="0"/>
                <w:numId w:val="9"/>
              </w:numPr>
              <w:spacing w:after="0"/>
              <w:ind w:left="482" w:hanging="357"/>
            </w:pPr>
            <w:r w:rsidRPr="00447A00">
              <w:t>Tvrtke koje pružaju usluge bike sharing-a</w:t>
            </w:r>
          </w:p>
          <w:p w14:paraId="49A9F607" w14:textId="404F2476" w:rsidR="00F86403" w:rsidRPr="00447A00" w:rsidRDefault="00F86403" w:rsidP="444D10F8">
            <w:pPr>
              <w:numPr>
                <w:ilvl w:val="0"/>
                <w:numId w:val="9"/>
              </w:numPr>
              <w:spacing w:after="0"/>
              <w:ind w:left="482" w:hanging="357"/>
            </w:pPr>
            <w:r w:rsidRPr="00447A00">
              <w:t>Udruge civilnog društva</w:t>
            </w:r>
          </w:p>
        </w:tc>
      </w:tr>
      <w:tr w:rsidR="00EF5DA2" w:rsidRPr="00447A00" w14:paraId="1E0FDA45" w14:textId="77777777" w:rsidTr="005808FC">
        <w:trPr>
          <w:trHeight w:val="227"/>
        </w:trPr>
        <w:tc>
          <w:tcPr>
            <w:tcW w:w="3415" w:type="dxa"/>
            <w:shd w:val="clear" w:color="auto" w:fill="F2DBDB" w:themeFill="accent2" w:themeFillTint="33"/>
          </w:tcPr>
          <w:p w14:paraId="4A956A67" w14:textId="77777777" w:rsidR="00EF5DA2" w:rsidRPr="005808FC" w:rsidRDefault="00EF5DA2">
            <w:pPr>
              <w:rPr>
                <w:b/>
                <w:bCs/>
              </w:rPr>
            </w:pPr>
            <w:r w:rsidRPr="00291DF5">
              <w:rPr>
                <w:b/>
                <w:bCs/>
              </w:rPr>
              <w:t xml:space="preserve">Početak/kraj provedbe </w:t>
            </w:r>
            <w:r w:rsidRPr="005808FC">
              <w:rPr>
                <w:b/>
                <w:bCs/>
              </w:rPr>
              <w:t>(godine)</w:t>
            </w:r>
          </w:p>
        </w:tc>
        <w:tc>
          <w:tcPr>
            <w:tcW w:w="5601" w:type="dxa"/>
          </w:tcPr>
          <w:p w14:paraId="611FDA8A" w14:textId="08DD0C46" w:rsidR="00EF5DA2" w:rsidRPr="005808FC" w:rsidRDefault="00DF59AD" w:rsidP="005808FC">
            <w:pPr>
              <w:spacing w:after="0" w:line="240" w:lineRule="auto"/>
              <w:rPr>
                <w:rFonts w:eastAsia="Calibri"/>
                <w:b/>
                <w:sz w:val="18"/>
                <w:szCs w:val="18"/>
              </w:rPr>
            </w:pPr>
            <w:r w:rsidRPr="005808FC">
              <w:rPr>
                <w:rFonts w:eastAsia="Calibri"/>
                <w:b/>
              </w:rPr>
              <w:t>2020 - 2030</w:t>
            </w:r>
          </w:p>
        </w:tc>
      </w:tr>
      <w:tr w:rsidR="00DF59AD" w:rsidRPr="00447A00" w14:paraId="24C30423" w14:textId="77777777" w:rsidTr="005808FC">
        <w:trPr>
          <w:trHeight w:val="227"/>
        </w:trPr>
        <w:tc>
          <w:tcPr>
            <w:tcW w:w="3415" w:type="dxa"/>
            <w:shd w:val="clear" w:color="auto" w:fill="F2DBDB" w:themeFill="accent2" w:themeFillTint="33"/>
          </w:tcPr>
          <w:p w14:paraId="3B68EA05" w14:textId="2669DC9A" w:rsidR="00DF59AD" w:rsidRPr="005808FC" w:rsidRDefault="00DF59AD">
            <w:pPr>
              <w:rPr>
                <w:b/>
                <w:bCs/>
              </w:rPr>
            </w:pPr>
            <w:r w:rsidRPr="00291DF5">
              <w:rPr>
                <w:b/>
                <w:bCs/>
              </w:rPr>
              <w:t>Procjena uštede (MWh)</w:t>
            </w:r>
          </w:p>
        </w:tc>
        <w:tc>
          <w:tcPr>
            <w:tcW w:w="5601" w:type="dxa"/>
          </w:tcPr>
          <w:p w14:paraId="42E6A133" w14:textId="271B948E" w:rsidR="00DF59AD" w:rsidRPr="005808FC" w:rsidRDefault="00386F0D" w:rsidP="00DF59AD">
            <w:pPr>
              <w:spacing w:after="0" w:line="240" w:lineRule="auto"/>
              <w:rPr>
                <w:rFonts w:ascii="Century Gothic" w:eastAsia="Calibri" w:hAnsi="Century Gothic" w:cs="Times New Roman"/>
                <w:b/>
                <w:sz w:val="18"/>
                <w:szCs w:val="18"/>
              </w:rPr>
            </w:pPr>
            <w:r w:rsidRPr="00C73FF7">
              <w:rPr>
                <w:b/>
              </w:rPr>
              <w:t>246</w:t>
            </w:r>
            <w:r>
              <w:rPr>
                <w:b/>
              </w:rPr>
              <w:t>.</w:t>
            </w:r>
            <w:r w:rsidRPr="00C73FF7">
              <w:rPr>
                <w:b/>
              </w:rPr>
              <w:t>027,8</w:t>
            </w:r>
          </w:p>
        </w:tc>
      </w:tr>
      <w:tr w:rsidR="00DF59AD" w:rsidRPr="00447A00" w14:paraId="7AB83C28" w14:textId="77777777" w:rsidTr="005808FC">
        <w:trPr>
          <w:trHeight w:val="227"/>
        </w:trPr>
        <w:tc>
          <w:tcPr>
            <w:tcW w:w="3415" w:type="dxa"/>
            <w:shd w:val="clear" w:color="auto" w:fill="F2DBDB" w:themeFill="accent2" w:themeFillTint="33"/>
          </w:tcPr>
          <w:p w14:paraId="688267B0" w14:textId="77777777" w:rsidR="00DF59AD" w:rsidRPr="005808FC" w:rsidRDefault="00DF59AD">
            <w:pPr>
              <w:rPr>
                <w:b/>
                <w:bCs/>
              </w:rPr>
            </w:pPr>
            <w:r w:rsidRPr="00291DF5">
              <w:rPr>
                <w:b/>
                <w:bCs/>
              </w:rPr>
              <w:t>Procjena smanjenja emisije (t CO2)</w:t>
            </w:r>
          </w:p>
        </w:tc>
        <w:tc>
          <w:tcPr>
            <w:tcW w:w="5601" w:type="dxa"/>
          </w:tcPr>
          <w:p w14:paraId="6DD0B4E2" w14:textId="4A96C214" w:rsidR="00DF59AD" w:rsidRPr="005808FC" w:rsidRDefault="004562E3" w:rsidP="00DF59AD">
            <w:pPr>
              <w:spacing w:after="0" w:line="240" w:lineRule="auto"/>
              <w:rPr>
                <w:rFonts w:ascii="Century Gothic" w:eastAsia="Calibri" w:hAnsi="Century Gothic" w:cs="Times New Roman"/>
                <w:b/>
                <w:sz w:val="18"/>
                <w:szCs w:val="18"/>
              </w:rPr>
            </w:pPr>
            <w:r w:rsidRPr="004562E3">
              <w:rPr>
                <w:b/>
              </w:rPr>
              <w:t>62.998,6</w:t>
            </w:r>
          </w:p>
        </w:tc>
      </w:tr>
      <w:tr w:rsidR="00EF5DA2" w:rsidRPr="00447A00" w14:paraId="65914CAD" w14:textId="77777777" w:rsidTr="005808FC">
        <w:trPr>
          <w:trHeight w:val="227"/>
        </w:trPr>
        <w:tc>
          <w:tcPr>
            <w:tcW w:w="3415" w:type="dxa"/>
            <w:shd w:val="clear" w:color="auto" w:fill="F2DBDB" w:themeFill="accent2" w:themeFillTint="33"/>
          </w:tcPr>
          <w:p w14:paraId="063D9038" w14:textId="77777777" w:rsidR="00EF5DA2" w:rsidRPr="005808FC" w:rsidRDefault="00EF5DA2">
            <w:pPr>
              <w:rPr>
                <w:b/>
                <w:bCs/>
              </w:rPr>
            </w:pPr>
            <w:r w:rsidRPr="00291DF5">
              <w:rPr>
                <w:b/>
                <w:bCs/>
              </w:rPr>
              <w:t>Izvor sredstava za provedbu</w:t>
            </w:r>
          </w:p>
        </w:tc>
        <w:tc>
          <w:tcPr>
            <w:tcW w:w="5601" w:type="dxa"/>
          </w:tcPr>
          <w:p w14:paraId="02D25877" w14:textId="77777777" w:rsidR="00EF5DA2" w:rsidRPr="00447A00" w:rsidRDefault="00EF5DA2" w:rsidP="000D58DB">
            <w:pPr>
              <w:numPr>
                <w:ilvl w:val="0"/>
                <w:numId w:val="9"/>
              </w:numPr>
              <w:spacing w:after="0" w:line="240" w:lineRule="auto"/>
              <w:ind w:hanging="357"/>
              <w:contextualSpacing/>
            </w:pPr>
            <w:r w:rsidRPr="00447A00">
              <w:t>Proračun Grada Zagreba</w:t>
            </w:r>
          </w:p>
          <w:p w14:paraId="24F94F2D" w14:textId="17E0BD21" w:rsidR="00EF5DA2" w:rsidRDefault="00EF5DA2" w:rsidP="000D58DB">
            <w:pPr>
              <w:numPr>
                <w:ilvl w:val="0"/>
                <w:numId w:val="9"/>
              </w:numPr>
              <w:spacing w:after="0" w:line="240" w:lineRule="auto"/>
              <w:ind w:hanging="357"/>
              <w:contextualSpacing/>
            </w:pPr>
            <w:r w:rsidRPr="00447A00">
              <w:t>Programi Europske komisije (Obzor 2020, INTERREG</w:t>
            </w:r>
            <w:r w:rsidR="000509A0">
              <w:t xml:space="preserve"> i </w:t>
            </w:r>
            <w:r w:rsidRPr="00447A00">
              <w:t>dr.)</w:t>
            </w:r>
          </w:p>
          <w:p w14:paraId="23C45E33" w14:textId="3B4806CF" w:rsidR="000D58DB" w:rsidRPr="00447A00" w:rsidRDefault="000D58DB" w:rsidP="000D58DB">
            <w:pPr>
              <w:numPr>
                <w:ilvl w:val="0"/>
                <w:numId w:val="9"/>
              </w:numPr>
              <w:spacing w:after="0" w:line="240" w:lineRule="auto"/>
              <w:ind w:left="729" w:hanging="284"/>
            </w:pPr>
            <w:r w:rsidRPr="00447A00">
              <w:t>E</w:t>
            </w:r>
            <w:r>
              <w:t>uropski strukturni i investicijski fondovi</w:t>
            </w:r>
          </w:p>
          <w:p w14:paraId="0B5F3024" w14:textId="3F5EA1BF" w:rsidR="00EF5DA2" w:rsidRPr="00447A00" w:rsidRDefault="00EF5DA2" w:rsidP="000D58DB">
            <w:pPr>
              <w:numPr>
                <w:ilvl w:val="0"/>
                <w:numId w:val="9"/>
              </w:numPr>
              <w:spacing w:after="0"/>
              <w:ind w:left="729" w:hanging="284"/>
            </w:pPr>
            <w:r w:rsidRPr="00447A00">
              <w:t>Connecting Europe Facil</w:t>
            </w:r>
            <w:r w:rsidR="000D58DB">
              <w:t>i</w:t>
            </w:r>
            <w:r w:rsidRPr="00447A00">
              <w:t>ty</w:t>
            </w:r>
          </w:p>
          <w:p w14:paraId="5DC690CB" w14:textId="77777777" w:rsidR="00EF5DA2" w:rsidRPr="00447A00" w:rsidRDefault="00EF5DA2" w:rsidP="000D58DB">
            <w:pPr>
              <w:numPr>
                <w:ilvl w:val="0"/>
                <w:numId w:val="9"/>
              </w:numPr>
              <w:spacing w:after="0" w:line="240" w:lineRule="auto"/>
              <w:ind w:hanging="357"/>
              <w:contextualSpacing/>
            </w:pPr>
            <w:r w:rsidRPr="00447A00">
              <w:t>EIB/EBRD/HBOR</w:t>
            </w:r>
          </w:p>
          <w:p w14:paraId="25ADB309" w14:textId="77777777" w:rsidR="00EF5DA2" w:rsidRPr="00447A00" w:rsidRDefault="00EF5DA2" w:rsidP="000D58DB">
            <w:pPr>
              <w:numPr>
                <w:ilvl w:val="0"/>
                <w:numId w:val="9"/>
              </w:numPr>
              <w:spacing w:after="0" w:line="240" w:lineRule="auto"/>
              <w:ind w:hanging="357"/>
              <w:contextualSpacing/>
            </w:pPr>
            <w:r w:rsidRPr="00447A00">
              <w:t>Komercijalne banke</w:t>
            </w:r>
          </w:p>
          <w:p w14:paraId="13BA1A58" w14:textId="64B26F36" w:rsidR="00EF5DA2" w:rsidRPr="00447A00" w:rsidRDefault="00EF5DA2" w:rsidP="000D58DB">
            <w:pPr>
              <w:numPr>
                <w:ilvl w:val="0"/>
                <w:numId w:val="9"/>
              </w:numPr>
              <w:spacing w:after="0"/>
              <w:ind w:hanging="357"/>
            </w:pPr>
            <w:r w:rsidRPr="00447A00">
              <w:rPr>
                <w:rFonts w:ascii="Calibri" w:hAnsi="Calibri"/>
              </w:rPr>
              <w:t>Privatne tvrtke</w:t>
            </w:r>
            <w:r w:rsidR="000509A0">
              <w:rPr>
                <w:rFonts w:ascii="Calibri" w:hAnsi="Calibri"/>
              </w:rPr>
              <w:t xml:space="preserve"> i </w:t>
            </w:r>
            <w:r w:rsidRPr="00447A00">
              <w:rPr>
                <w:rFonts w:ascii="Calibri" w:hAnsi="Calibri"/>
              </w:rPr>
              <w:t>investitori</w:t>
            </w:r>
          </w:p>
        </w:tc>
      </w:tr>
      <w:tr w:rsidR="00EF5DA2" w:rsidRPr="00447A00" w14:paraId="0AD4F875" w14:textId="77777777" w:rsidTr="005808FC">
        <w:trPr>
          <w:trHeight w:val="983"/>
        </w:trPr>
        <w:tc>
          <w:tcPr>
            <w:tcW w:w="3415" w:type="dxa"/>
            <w:shd w:val="clear" w:color="auto" w:fill="F2DBDB" w:themeFill="accent2" w:themeFillTint="33"/>
          </w:tcPr>
          <w:p w14:paraId="12377738" w14:textId="77777777" w:rsidR="00EF5DA2" w:rsidRPr="005808FC" w:rsidRDefault="00EF5DA2">
            <w:pPr>
              <w:rPr>
                <w:b/>
                <w:bCs/>
              </w:rPr>
            </w:pPr>
            <w:r w:rsidRPr="00291DF5">
              <w:rPr>
                <w:b/>
                <w:bCs/>
              </w:rPr>
              <w:t>Kratki opis/komentar</w:t>
            </w:r>
          </w:p>
        </w:tc>
        <w:tc>
          <w:tcPr>
            <w:tcW w:w="5601" w:type="dxa"/>
          </w:tcPr>
          <w:p w14:paraId="74E5682C" w14:textId="38AD26F3" w:rsidR="00EF5DA2" w:rsidRPr="005808FC" w:rsidRDefault="00EF5DA2">
            <w:pPr>
              <w:rPr>
                <w:shd w:val="clear" w:color="auto" w:fill="FFFFFF"/>
              </w:rPr>
            </w:pPr>
            <w:r w:rsidRPr="00291DF5">
              <w:rPr>
                <w:shd w:val="clear" w:color="auto" w:fill="FFFFFF"/>
              </w:rPr>
              <w:t>Cilj mjere je unaprijediti status biciklističke</w:t>
            </w:r>
            <w:r w:rsidR="000509A0">
              <w:rPr>
                <w:shd w:val="clear" w:color="auto" w:fill="FFFFFF"/>
              </w:rPr>
              <w:t xml:space="preserve"> i </w:t>
            </w:r>
            <w:r w:rsidRPr="00291DF5">
              <w:rPr>
                <w:shd w:val="clear" w:color="auto" w:fill="FFFFFF"/>
              </w:rPr>
              <w:t>pješačke infrastrukture,</w:t>
            </w:r>
            <w:r w:rsidR="000509A0">
              <w:rPr>
                <w:shd w:val="clear" w:color="auto" w:fill="FFFFFF"/>
              </w:rPr>
              <w:t xml:space="preserve"> i </w:t>
            </w:r>
            <w:r w:rsidRPr="00291DF5">
              <w:rPr>
                <w:shd w:val="clear" w:color="auto" w:fill="FFFFFF"/>
              </w:rPr>
              <w:t xml:space="preserve">to na način da se omogući veća dostupnost biciklističkih staza, kako </w:t>
            </w:r>
            <w:r w:rsidRPr="005808FC">
              <w:rPr>
                <w:shd w:val="clear" w:color="auto" w:fill="FFFFFF"/>
              </w:rPr>
              <w:t>novoizgrađenih, tako</w:t>
            </w:r>
            <w:r w:rsidR="000509A0">
              <w:rPr>
                <w:shd w:val="clear" w:color="auto" w:fill="FFFFFF"/>
              </w:rPr>
              <w:t xml:space="preserve"> i </w:t>
            </w:r>
            <w:r w:rsidRPr="00291DF5">
              <w:rPr>
                <w:shd w:val="clear" w:color="auto" w:fill="FFFFFF"/>
              </w:rPr>
              <w:t>rekonstrukciju postojećih, a sukladno Pravilniku o biciklističkoj infrastrukturi. Mreža biciklističkih staza</w:t>
            </w:r>
            <w:r w:rsidR="000509A0">
              <w:rPr>
                <w:shd w:val="clear" w:color="auto" w:fill="FFFFFF"/>
              </w:rPr>
              <w:t xml:space="preserve"> i </w:t>
            </w:r>
            <w:r w:rsidRPr="00291DF5">
              <w:rPr>
                <w:shd w:val="clear" w:color="auto" w:fill="FFFFFF"/>
              </w:rPr>
              <w:t>traka mora međusobno biti dobro povezana, te mora biti povezana s ostalim oblicima transporta</w:t>
            </w:r>
            <w:r w:rsidR="000509A0">
              <w:rPr>
                <w:shd w:val="clear" w:color="auto" w:fill="FFFFFF"/>
              </w:rPr>
              <w:t xml:space="preserve"> i </w:t>
            </w:r>
            <w:r w:rsidRPr="00291DF5">
              <w:rPr>
                <w:shd w:val="clear" w:color="auto" w:fill="FFFFFF"/>
              </w:rPr>
              <w:t xml:space="preserve">prioritetno mora </w:t>
            </w:r>
            <w:r w:rsidRPr="005808FC">
              <w:rPr>
                <w:shd w:val="clear" w:color="auto" w:fill="FFFFFF"/>
              </w:rPr>
              <w:t>biti sigurna za korištenje. Mrežu treba također povezati s nacionalnim</w:t>
            </w:r>
            <w:r w:rsidR="000509A0">
              <w:rPr>
                <w:shd w:val="clear" w:color="auto" w:fill="FFFFFF"/>
              </w:rPr>
              <w:t xml:space="preserve"> i </w:t>
            </w:r>
            <w:r w:rsidRPr="00291DF5">
              <w:rPr>
                <w:shd w:val="clear" w:color="auto" w:fill="FFFFFF"/>
              </w:rPr>
              <w:lastRenderedPageBreak/>
              <w:t>europskim biciklističkim rutama. Sustav javnih bicikala s parkiralištima</w:t>
            </w:r>
            <w:r w:rsidR="000509A0">
              <w:rPr>
                <w:shd w:val="clear" w:color="auto" w:fill="FFFFFF"/>
              </w:rPr>
              <w:t xml:space="preserve"> i </w:t>
            </w:r>
            <w:r w:rsidRPr="00291DF5">
              <w:rPr>
                <w:shd w:val="clear" w:color="auto" w:fill="FFFFFF"/>
              </w:rPr>
              <w:t>garažama mora pratiti razvoj biciklističke mreže</w:t>
            </w:r>
            <w:r w:rsidR="000509A0">
              <w:rPr>
                <w:shd w:val="clear" w:color="auto" w:fill="FFFFFF"/>
              </w:rPr>
              <w:t xml:space="preserve"> i </w:t>
            </w:r>
            <w:r w:rsidRPr="00291DF5">
              <w:rPr>
                <w:shd w:val="clear" w:color="auto" w:fill="FFFFFF"/>
              </w:rPr>
              <w:t>mora biti prilagođen korisnicima. Posebnu pozorn</w:t>
            </w:r>
            <w:r w:rsidRPr="005808FC">
              <w:rPr>
                <w:shd w:val="clear" w:color="auto" w:fill="FFFFFF"/>
              </w:rPr>
              <w:t>ost treba posvetiti dostupnosti sigurnih</w:t>
            </w:r>
            <w:r w:rsidR="000509A0">
              <w:rPr>
                <w:shd w:val="clear" w:color="auto" w:fill="FFFFFF"/>
              </w:rPr>
              <w:t xml:space="preserve"> i </w:t>
            </w:r>
            <w:r w:rsidRPr="00291DF5">
              <w:rPr>
                <w:shd w:val="clear" w:color="auto" w:fill="FFFFFF"/>
              </w:rPr>
              <w:t>zaštićenih parkirališta za bicikle na intermodalnim čvorištima kako bi se osiguralo nesmetano putovanje prilikom izmjena transportnog sredstva. Kako bi se dodatno unaprijedio biciklistički promet moraju se anga</w:t>
            </w:r>
            <w:r w:rsidRPr="005808FC">
              <w:rPr>
                <w:shd w:val="clear" w:color="auto" w:fill="FFFFFF"/>
              </w:rPr>
              <w:t xml:space="preserve">žirati dodatni kapaciteti </w:t>
            </w:r>
            <w:r w:rsidRPr="005808FC">
              <w:rPr>
                <w:i/>
                <w:iCs/>
                <w:shd w:val="clear" w:color="auto" w:fill="FFFFFF"/>
              </w:rPr>
              <w:t>bike sharing</w:t>
            </w:r>
            <w:r w:rsidRPr="005808FC">
              <w:rPr>
                <w:shd w:val="clear" w:color="auto" w:fill="FFFFFF"/>
              </w:rPr>
              <w:t xml:space="preserve"> sustava koji treba integrirati u aplikativna</w:t>
            </w:r>
            <w:r w:rsidR="000509A0">
              <w:rPr>
                <w:shd w:val="clear" w:color="auto" w:fill="FFFFFF"/>
              </w:rPr>
              <w:t xml:space="preserve"> i </w:t>
            </w:r>
            <w:r w:rsidRPr="00291DF5">
              <w:rPr>
                <w:shd w:val="clear" w:color="auto" w:fill="FFFFFF"/>
              </w:rPr>
              <w:t>transakcijska rješenja (plaćanja) korištenja svih oblika transporta – integracija s mjerama 11,12</w:t>
            </w:r>
            <w:r w:rsidR="000509A0">
              <w:rPr>
                <w:shd w:val="clear" w:color="auto" w:fill="FFFFFF"/>
              </w:rPr>
              <w:t xml:space="preserve"> i </w:t>
            </w:r>
            <w:r w:rsidRPr="00291DF5">
              <w:rPr>
                <w:shd w:val="clear" w:color="auto" w:fill="FFFFFF"/>
              </w:rPr>
              <w:t xml:space="preserve">13). </w:t>
            </w:r>
            <w:r w:rsidRPr="005808FC">
              <w:rPr>
                <w:i/>
                <w:shd w:val="clear" w:color="auto" w:fill="FFFFFF"/>
              </w:rPr>
              <w:t>Bike sharing</w:t>
            </w:r>
            <w:r w:rsidRPr="00291DF5">
              <w:rPr>
                <w:shd w:val="clear" w:color="auto" w:fill="FFFFFF"/>
              </w:rPr>
              <w:t xml:space="preserve"> sustavi idealni su za povezivanje različitih o</w:t>
            </w:r>
            <w:r w:rsidRPr="005808FC">
              <w:rPr>
                <w:shd w:val="clear" w:color="auto" w:fill="FFFFFF"/>
              </w:rPr>
              <w:t xml:space="preserve">blika transporta, a posebno ovdje treba izdvojiti tzv. </w:t>
            </w:r>
            <w:r w:rsidRPr="005808FC">
              <w:rPr>
                <w:i/>
                <w:iCs/>
                <w:shd w:val="clear" w:color="auto" w:fill="FFFFFF"/>
              </w:rPr>
              <w:t>last mile</w:t>
            </w:r>
            <w:r w:rsidRPr="005808FC">
              <w:rPr>
                <w:shd w:val="clear" w:color="auto" w:fill="FFFFFF"/>
              </w:rPr>
              <w:t xml:space="preserve"> putovanja. Razvoj dodatnih usluga koje će omogućiti lakše povezivanje s drugim transportnim oblicima, kao što je npr. projekt Bike on Bus, treba poticati. Pješačke zone treba proširiti</w:t>
            </w:r>
            <w:r w:rsidR="000509A0">
              <w:rPr>
                <w:shd w:val="clear" w:color="auto" w:fill="FFFFFF"/>
              </w:rPr>
              <w:t xml:space="preserve"> i </w:t>
            </w:r>
            <w:r w:rsidRPr="00291DF5">
              <w:rPr>
                <w:shd w:val="clear" w:color="auto" w:fill="FFFFFF"/>
              </w:rPr>
              <w:t>f</w:t>
            </w:r>
            <w:r w:rsidRPr="005808FC">
              <w:rPr>
                <w:shd w:val="clear" w:color="auto" w:fill="FFFFFF"/>
              </w:rPr>
              <w:t>ormirati nove</w:t>
            </w:r>
            <w:r w:rsidR="000509A0">
              <w:rPr>
                <w:shd w:val="clear" w:color="auto" w:fill="FFFFFF"/>
              </w:rPr>
              <w:t xml:space="preserve">, dok </w:t>
            </w:r>
            <w:r w:rsidRPr="005808FC">
              <w:rPr>
                <w:shd w:val="clear" w:color="auto" w:fill="FFFFFF"/>
              </w:rPr>
              <w:t>frekventne pješačke prijelaze treba opremiti odgovarajućom opremom kako bi se unaprijedila sigurnost pješačkog prometa.</w:t>
            </w:r>
          </w:p>
          <w:p w14:paraId="1FDA4F1B" w14:textId="77777777" w:rsidR="00EF5DA2" w:rsidRPr="00447A00" w:rsidRDefault="00EF5DA2" w:rsidP="00EF5DA2">
            <w:pPr>
              <w:contextualSpacing/>
              <w:rPr>
                <w:rFonts w:ascii="Calibri" w:hAnsi="Calibri"/>
              </w:rPr>
            </w:pPr>
            <w:r w:rsidRPr="00447A00">
              <w:rPr>
                <w:rFonts w:ascii="Calibri" w:hAnsi="Calibri"/>
              </w:rPr>
              <w:t>Ključne aktivnosti koje je potrebno provesti su sljedeće:</w:t>
            </w:r>
          </w:p>
          <w:p w14:paraId="151980AC" w14:textId="4E13484F" w:rsidR="00EF5DA2" w:rsidRPr="00447A00" w:rsidRDefault="00EF5DA2" w:rsidP="00C50353">
            <w:pPr>
              <w:numPr>
                <w:ilvl w:val="0"/>
                <w:numId w:val="55"/>
              </w:numPr>
              <w:spacing w:after="0" w:line="240" w:lineRule="auto"/>
              <w:contextualSpacing/>
            </w:pPr>
            <w:r w:rsidRPr="00291DF5">
              <w:rPr>
                <w:shd w:val="clear" w:color="auto" w:fill="FFFFFF"/>
              </w:rPr>
              <w:t xml:space="preserve">uspostava moderne mreže biciklističkih staza u </w:t>
            </w:r>
            <w:r w:rsidRPr="005808FC">
              <w:rPr>
                <w:shd w:val="clear" w:color="auto" w:fill="FFFFFF"/>
              </w:rPr>
              <w:t>duljini 250 km na području Grada Zagreba</w:t>
            </w:r>
            <w:r w:rsidR="000509A0">
              <w:rPr>
                <w:shd w:val="clear" w:color="auto" w:fill="FFFFFF"/>
              </w:rPr>
              <w:t>;</w:t>
            </w:r>
          </w:p>
          <w:p w14:paraId="0E6A135D" w14:textId="65BC08AC" w:rsidR="00EF5DA2" w:rsidRPr="00447A00" w:rsidRDefault="00EF5DA2" w:rsidP="00C50353">
            <w:pPr>
              <w:numPr>
                <w:ilvl w:val="0"/>
                <w:numId w:val="55"/>
              </w:numPr>
              <w:spacing w:after="0" w:line="240" w:lineRule="auto"/>
              <w:contextualSpacing/>
            </w:pPr>
            <w:r w:rsidRPr="00291DF5">
              <w:rPr>
                <w:shd w:val="clear" w:color="auto" w:fill="FFFFFF"/>
              </w:rPr>
              <w:t>uspostava sustava javnih bicikala na području Grada Zagreba - 25 stajališta javnih bicikala diljem Grada</w:t>
            </w:r>
            <w:r w:rsidR="000509A0">
              <w:rPr>
                <w:shd w:val="clear" w:color="auto" w:fill="FFFFFF"/>
              </w:rPr>
              <w:t xml:space="preserve"> i </w:t>
            </w:r>
            <w:r w:rsidRPr="00291DF5">
              <w:rPr>
                <w:shd w:val="clear" w:color="auto" w:fill="FFFFFF"/>
              </w:rPr>
              <w:t>nabava 300 bicikala koji bi bili na raspolaganju građanima kao dio javnog sustava prijevoza</w:t>
            </w:r>
            <w:r w:rsidR="000509A0">
              <w:rPr>
                <w:shd w:val="clear" w:color="auto" w:fill="FFFFFF"/>
              </w:rPr>
              <w:t>;</w:t>
            </w:r>
          </w:p>
          <w:p w14:paraId="16759833" w14:textId="6398CE34" w:rsidR="00EF5DA2" w:rsidRPr="00447A00" w:rsidRDefault="00EF5DA2" w:rsidP="00C50353">
            <w:pPr>
              <w:numPr>
                <w:ilvl w:val="0"/>
                <w:numId w:val="55"/>
              </w:numPr>
              <w:spacing w:after="0" w:line="240" w:lineRule="auto"/>
              <w:contextualSpacing/>
            </w:pPr>
            <w:r w:rsidRPr="00291DF5">
              <w:rPr>
                <w:shd w:val="clear" w:color="auto" w:fill="FFFFFF"/>
              </w:rPr>
              <w:t>Sustav</w:t>
            </w:r>
            <w:r w:rsidR="000509A0">
              <w:rPr>
                <w:shd w:val="clear" w:color="auto" w:fill="FFFFFF"/>
              </w:rPr>
              <w:t xml:space="preserve"> i </w:t>
            </w:r>
            <w:r w:rsidRPr="00291DF5">
              <w:rPr>
                <w:shd w:val="clear" w:color="auto" w:fill="FFFFFF"/>
              </w:rPr>
              <w:t>aplikativno rješenje za bicikliste (info o biciklističkim stazama, bike sharingu, planiranju rute</w:t>
            </w:r>
            <w:r w:rsidR="000509A0">
              <w:rPr>
                <w:shd w:val="clear" w:color="auto" w:fill="FFFFFF"/>
              </w:rPr>
              <w:t xml:space="preserve"> i </w:t>
            </w:r>
            <w:r w:rsidRPr="00291DF5">
              <w:rPr>
                <w:shd w:val="clear" w:color="auto" w:fill="FFFFFF"/>
              </w:rPr>
              <w:t>vremena putovanja, prometu, el. punionicama, zagađenju,…)</w:t>
            </w:r>
            <w:r w:rsidR="000509A0">
              <w:rPr>
                <w:shd w:val="clear" w:color="auto" w:fill="FFFFFF"/>
              </w:rPr>
              <w:t>;</w:t>
            </w:r>
          </w:p>
          <w:p w14:paraId="385CA5F5" w14:textId="782B8CB6" w:rsidR="00EF5DA2" w:rsidRPr="00447A00" w:rsidRDefault="00EF5DA2" w:rsidP="00C50353">
            <w:pPr>
              <w:numPr>
                <w:ilvl w:val="0"/>
                <w:numId w:val="55"/>
              </w:numPr>
              <w:spacing w:after="0" w:line="240" w:lineRule="auto"/>
              <w:contextualSpacing/>
            </w:pPr>
            <w:r w:rsidRPr="00291DF5">
              <w:rPr>
                <w:shd w:val="clear" w:color="auto" w:fill="FFFFFF"/>
              </w:rPr>
              <w:t>Intenziviranje integracija bicikala u javni prijevoz (držači za bicikle na prednjoj ili straž</w:t>
            </w:r>
            <w:r w:rsidRPr="005808FC">
              <w:rPr>
                <w:shd w:val="clear" w:color="auto" w:fill="FFFFFF"/>
              </w:rPr>
              <w:t>njoj strani autobusa, prostor za bicikle u tramvajima, …)</w:t>
            </w:r>
            <w:r w:rsidR="000509A0">
              <w:rPr>
                <w:shd w:val="clear" w:color="auto" w:fill="FFFFFF"/>
              </w:rPr>
              <w:t>;</w:t>
            </w:r>
          </w:p>
          <w:p w14:paraId="55578224" w14:textId="641C3E9B" w:rsidR="00EF5DA2" w:rsidRPr="00447A00" w:rsidRDefault="00EF5DA2" w:rsidP="00C50353">
            <w:pPr>
              <w:numPr>
                <w:ilvl w:val="0"/>
                <w:numId w:val="55"/>
              </w:numPr>
              <w:spacing w:after="0" w:line="240" w:lineRule="auto"/>
              <w:contextualSpacing/>
            </w:pPr>
            <w:r w:rsidRPr="00291DF5">
              <w:rPr>
                <w:shd w:val="clear" w:color="auto" w:fill="FFFFFF"/>
              </w:rPr>
              <w:t>Uvođenje dodatnih kapaciteta</w:t>
            </w:r>
            <w:r w:rsidR="000509A0">
              <w:rPr>
                <w:shd w:val="clear" w:color="auto" w:fill="FFFFFF"/>
              </w:rPr>
              <w:t xml:space="preserve"> i </w:t>
            </w:r>
            <w:r w:rsidRPr="00291DF5">
              <w:rPr>
                <w:shd w:val="clear" w:color="auto" w:fill="FFFFFF"/>
              </w:rPr>
              <w:t xml:space="preserve">proširenje funkcionalnosti sustava za korištenje usluge </w:t>
            </w:r>
            <w:r w:rsidRPr="005808FC">
              <w:rPr>
                <w:i/>
                <w:iCs/>
                <w:shd w:val="clear" w:color="auto" w:fill="FFFFFF"/>
              </w:rPr>
              <w:t>bike sharinga</w:t>
            </w:r>
            <w:r w:rsidRPr="005808FC">
              <w:rPr>
                <w:shd w:val="clear" w:color="auto" w:fill="FFFFFF"/>
              </w:rPr>
              <w:t xml:space="preserve"> koja treba biti povezana s aplikacijom za korištenje sustava javnog prijevoza u realnom vremenu</w:t>
            </w:r>
            <w:r w:rsidR="000509A0">
              <w:rPr>
                <w:shd w:val="clear" w:color="auto" w:fill="FFFFFF"/>
              </w:rPr>
              <w:t>;</w:t>
            </w:r>
          </w:p>
          <w:p w14:paraId="19288CA0" w14:textId="2A9AA9A9" w:rsidR="00EF5DA2" w:rsidRPr="00447A00" w:rsidRDefault="00EF5DA2" w:rsidP="00C50353">
            <w:pPr>
              <w:numPr>
                <w:ilvl w:val="0"/>
                <w:numId w:val="55"/>
              </w:numPr>
              <w:spacing w:after="0" w:line="240" w:lineRule="auto"/>
              <w:contextualSpacing/>
            </w:pPr>
            <w:r w:rsidRPr="00291DF5">
              <w:rPr>
                <w:shd w:val="clear" w:color="auto" w:fill="FFFFFF"/>
              </w:rPr>
              <w:t>Uvođenje sustava električnih bicikala</w:t>
            </w:r>
            <w:r w:rsidR="000509A0">
              <w:rPr>
                <w:shd w:val="clear" w:color="auto" w:fill="FFFFFF"/>
              </w:rPr>
              <w:t xml:space="preserve"> i </w:t>
            </w:r>
            <w:r w:rsidRPr="00291DF5">
              <w:rPr>
                <w:shd w:val="clear" w:color="auto" w:fill="FFFFFF"/>
              </w:rPr>
              <w:t>izgradnja punionica za električne bicikle</w:t>
            </w:r>
            <w:r w:rsidR="000509A0">
              <w:rPr>
                <w:shd w:val="clear" w:color="auto" w:fill="FFFFFF"/>
              </w:rPr>
              <w:t>;</w:t>
            </w:r>
          </w:p>
          <w:p w14:paraId="43A79F08" w14:textId="0A6B7AB6" w:rsidR="00EF5DA2" w:rsidRPr="00447A00" w:rsidRDefault="00EF5DA2" w:rsidP="00C50353">
            <w:pPr>
              <w:numPr>
                <w:ilvl w:val="0"/>
                <w:numId w:val="55"/>
              </w:numPr>
              <w:spacing w:after="0" w:line="240" w:lineRule="auto"/>
              <w:contextualSpacing/>
            </w:pPr>
            <w:r w:rsidRPr="00291DF5">
              <w:rPr>
                <w:shd w:val="clear" w:color="auto" w:fill="FFFFFF"/>
              </w:rPr>
              <w:t>Izgradnja</w:t>
            </w:r>
            <w:r w:rsidR="000509A0">
              <w:rPr>
                <w:shd w:val="clear" w:color="auto" w:fill="FFFFFF"/>
              </w:rPr>
              <w:t xml:space="preserve"> i </w:t>
            </w:r>
            <w:r w:rsidRPr="00291DF5">
              <w:rPr>
                <w:shd w:val="clear" w:color="auto" w:fill="FFFFFF"/>
              </w:rPr>
              <w:t>opremanje trenažnih centara za povećanje sigurnosti biciklista u prometu</w:t>
            </w:r>
            <w:r w:rsidR="000509A0">
              <w:rPr>
                <w:shd w:val="clear" w:color="auto" w:fill="FFFFFF"/>
              </w:rPr>
              <w:t>;</w:t>
            </w:r>
          </w:p>
          <w:p w14:paraId="108CC5A2" w14:textId="113D3FF8" w:rsidR="00EF5DA2" w:rsidRPr="00447A00" w:rsidRDefault="00EF5DA2" w:rsidP="00C50353">
            <w:pPr>
              <w:numPr>
                <w:ilvl w:val="0"/>
                <w:numId w:val="55"/>
              </w:numPr>
              <w:spacing w:after="0" w:line="240" w:lineRule="auto"/>
              <w:contextualSpacing/>
              <w:rPr>
                <w:rFonts w:ascii="Calibri" w:hAnsi="Calibri"/>
              </w:rPr>
            </w:pPr>
            <w:r w:rsidRPr="00291DF5">
              <w:t>Integracija svih sustava u jedinstveni sustav za bicikliste</w:t>
            </w:r>
            <w:r w:rsidR="000509A0">
              <w:t>;</w:t>
            </w:r>
          </w:p>
          <w:p w14:paraId="03869586" w14:textId="584F4213" w:rsidR="00EF5DA2" w:rsidRPr="00447A00" w:rsidRDefault="00EF5DA2" w:rsidP="00C50353">
            <w:pPr>
              <w:numPr>
                <w:ilvl w:val="0"/>
                <w:numId w:val="55"/>
              </w:numPr>
              <w:spacing w:after="0" w:line="240" w:lineRule="auto"/>
              <w:contextualSpacing/>
              <w:rPr>
                <w:rFonts w:ascii="Calibri" w:hAnsi="Calibri"/>
              </w:rPr>
            </w:pPr>
            <w:r w:rsidRPr="00291DF5">
              <w:t>Integracija sustava za bicikliste u ITS</w:t>
            </w:r>
            <w:r w:rsidR="000509A0">
              <w:t>;</w:t>
            </w:r>
          </w:p>
          <w:p w14:paraId="5D22D599" w14:textId="1597FD61" w:rsidR="00EF5DA2" w:rsidRDefault="00EF5DA2" w:rsidP="00C50353">
            <w:pPr>
              <w:numPr>
                <w:ilvl w:val="0"/>
                <w:numId w:val="55"/>
              </w:numPr>
              <w:spacing w:after="0" w:line="240" w:lineRule="auto"/>
              <w:contextualSpacing/>
              <w:rPr>
                <w:rFonts w:ascii="Calibri" w:hAnsi="Calibri"/>
              </w:rPr>
            </w:pPr>
            <w:r w:rsidRPr="00447A00">
              <w:rPr>
                <w:rFonts w:ascii="Calibri" w:hAnsi="Calibri"/>
              </w:rPr>
              <w:t>Proširenje pješačkih zona</w:t>
            </w:r>
            <w:r w:rsidR="000D58DB">
              <w:rPr>
                <w:rFonts w:ascii="Calibri" w:hAnsi="Calibri"/>
              </w:rPr>
              <w:t>;</w:t>
            </w:r>
          </w:p>
          <w:p w14:paraId="2E3D9BD8" w14:textId="02E030F5" w:rsidR="00C50353" w:rsidRPr="000D58DB" w:rsidRDefault="00C50353" w:rsidP="00C50353">
            <w:pPr>
              <w:numPr>
                <w:ilvl w:val="0"/>
                <w:numId w:val="55"/>
              </w:numPr>
              <w:spacing w:after="0" w:line="240" w:lineRule="auto"/>
              <w:contextualSpacing/>
              <w:rPr>
                <w:rFonts w:ascii="Calibri" w:hAnsi="Calibri"/>
              </w:rPr>
            </w:pPr>
            <w:r w:rsidRPr="000D58DB">
              <w:rPr>
                <w:rFonts w:ascii="Calibri" w:hAnsi="Calibri"/>
              </w:rPr>
              <w:lastRenderedPageBreak/>
              <w:t>Proširenje pješačkih hodnika</w:t>
            </w:r>
            <w:r w:rsidR="000D58DB">
              <w:rPr>
                <w:rFonts w:ascii="Calibri" w:hAnsi="Calibri"/>
              </w:rPr>
              <w:t>;</w:t>
            </w:r>
          </w:p>
          <w:p w14:paraId="0C9074A7" w14:textId="6DC2DBC0" w:rsidR="00C50353" w:rsidRPr="000D58DB" w:rsidRDefault="00C50353" w:rsidP="00C50353">
            <w:pPr>
              <w:numPr>
                <w:ilvl w:val="0"/>
                <w:numId w:val="55"/>
              </w:numPr>
              <w:spacing w:after="0" w:line="240" w:lineRule="auto"/>
              <w:contextualSpacing/>
              <w:rPr>
                <w:rFonts w:ascii="Calibri" w:hAnsi="Calibri"/>
              </w:rPr>
            </w:pPr>
            <w:r w:rsidRPr="000D58DB">
              <w:rPr>
                <w:rFonts w:ascii="Calibri" w:hAnsi="Calibri"/>
              </w:rPr>
              <w:t>Uklanjanje parkirališnih mjesta sa pješačkih hodnika</w:t>
            </w:r>
            <w:r w:rsidR="000D58DB">
              <w:rPr>
                <w:rFonts w:ascii="Calibri" w:hAnsi="Calibri"/>
              </w:rPr>
              <w:t>;</w:t>
            </w:r>
          </w:p>
          <w:p w14:paraId="1CD7F393" w14:textId="489063BF" w:rsidR="00C50353" w:rsidRPr="000D58DB" w:rsidRDefault="000D58DB" w:rsidP="00C50353">
            <w:pPr>
              <w:numPr>
                <w:ilvl w:val="0"/>
                <w:numId w:val="55"/>
              </w:numPr>
              <w:spacing w:after="0" w:line="240" w:lineRule="auto"/>
              <w:contextualSpacing/>
              <w:rPr>
                <w:rFonts w:ascii="Calibri" w:hAnsi="Calibri"/>
              </w:rPr>
            </w:pPr>
            <w:r>
              <w:rPr>
                <w:rFonts w:ascii="Calibri" w:hAnsi="Calibri"/>
              </w:rPr>
              <w:t>U</w:t>
            </w:r>
            <w:r w:rsidR="00C50353" w:rsidRPr="000D58DB">
              <w:rPr>
                <w:rFonts w:ascii="Calibri" w:hAnsi="Calibri"/>
              </w:rPr>
              <w:t>vođenje novih pješačkih zona u svim gradskim četvrtima</w:t>
            </w:r>
            <w:r>
              <w:rPr>
                <w:rFonts w:ascii="Calibri" w:hAnsi="Calibri"/>
              </w:rPr>
              <w:t>;</w:t>
            </w:r>
          </w:p>
          <w:p w14:paraId="23A81E21" w14:textId="5A88572A" w:rsidR="00C50353" w:rsidRPr="000D58DB" w:rsidRDefault="000D58DB" w:rsidP="00C50353">
            <w:pPr>
              <w:numPr>
                <w:ilvl w:val="0"/>
                <w:numId w:val="55"/>
              </w:numPr>
              <w:spacing w:after="0" w:line="240" w:lineRule="auto"/>
              <w:contextualSpacing/>
              <w:rPr>
                <w:rFonts w:ascii="Calibri" w:hAnsi="Calibri"/>
              </w:rPr>
            </w:pPr>
            <w:r>
              <w:rPr>
                <w:rFonts w:ascii="Calibri" w:hAnsi="Calibri"/>
              </w:rPr>
              <w:t>U</w:t>
            </w:r>
            <w:r w:rsidR="00C50353" w:rsidRPr="000D58DB">
              <w:rPr>
                <w:rFonts w:ascii="Calibri" w:hAnsi="Calibri"/>
              </w:rPr>
              <w:t>klanjanje arhitektonskih barijera sa pješačkih tokova</w:t>
            </w:r>
            <w:r>
              <w:rPr>
                <w:rFonts w:ascii="Calibri" w:hAnsi="Calibri"/>
              </w:rPr>
              <w:t>.</w:t>
            </w:r>
          </w:p>
          <w:p w14:paraId="5F85D0D4" w14:textId="77777777" w:rsidR="00C50353" w:rsidRPr="00447A00" w:rsidRDefault="00C50353" w:rsidP="00544C30">
            <w:pPr>
              <w:spacing w:after="0" w:line="240" w:lineRule="auto"/>
              <w:ind w:left="360"/>
              <w:contextualSpacing/>
              <w:rPr>
                <w:rFonts w:ascii="Calibri" w:hAnsi="Calibri"/>
              </w:rPr>
            </w:pPr>
          </w:p>
          <w:p w14:paraId="6CA82D0B" w14:textId="456A3363" w:rsidR="00EF5DA2" w:rsidRPr="00447A00" w:rsidRDefault="00EF5DA2" w:rsidP="005808FC">
            <w:r w:rsidRPr="00291DF5">
              <w:rPr>
                <w:shd w:val="clear" w:color="auto" w:fill="FFFFFF"/>
              </w:rPr>
              <w:t xml:space="preserve">Mjera je usklađena s razvojnom strategijom Grada Zagreba - ZAGREBPLAN, Prioritet C4.P3 - Unaprjeđenje infrastrukture prometnih sustava, Mjerom C4.P3.M3 - Unaprjeđivanje javnog putničkog </w:t>
            </w:r>
            <w:r w:rsidRPr="005808FC">
              <w:rPr>
                <w:shd w:val="clear" w:color="auto" w:fill="FFFFFF"/>
              </w:rPr>
              <w:t>prijevoza.</w:t>
            </w:r>
          </w:p>
        </w:tc>
      </w:tr>
    </w:tbl>
    <w:p w14:paraId="6116EB1B" w14:textId="59C281E4" w:rsidR="000E7303" w:rsidRDefault="000E7303"/>
    <w:p w14:paraId="78F4B3DB" w14:textId="4DDE37FE" w:rsidR="00D43D20" w:rsidRPr="000E7303" w:rsidRDefault="00D43D20" w:rsidP="00AD50CA">
      <w:pPr>
        <w:pStyle w:val="Heading2"/>
      </w:pPr>
      <w:bookmarkStart w:id="241" w:name="_Toc4156105"/>
      <w:r w:rsidRPr="000E7303">
        <w:t>Mjere smanjenja emisija CO2 iz sektora javne rasvjete Grada Zagreba</w:t>
      </w:r>
      <w:bookmarkEnd w:id="2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EF5DA2" w:rsidRPr="009F405B" w14:paraId="78ED9243"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3F573C0A" w14:textId="77777777" w:rsidR="00EF5DA2" w:rsidRPr="005808FC" w:rsidRDefault="00EF5DA2" w:rsidP="005808FC">
            <w:pPr>
              <w:spacing w:after="0" w:line="240" w:lineRule="auto"/>
              <w:rPr>
                <w:rFonts w:eastAsia="Calibri"/>
                <w:b/>
                <w:bCs/>
              </w:rPr>
            </w:pPr>
            <w:r w:rsidRPr="00291DF5">
              <w:rPr>
                <w:rFonts w:eastAsia="Calibri"/>
                <w:b/>
                <w:bCs/>
              </w:rPr>
              <w:t>Redni broj mjere</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10A7301D" w14:textId="4A08F4CC" w:rsidR="00EF5DA2" w:rsidRPr="005808FC" w:rsidRDefault="00EF5DA2" w:rsidP="005808FC">
            <w:pPr>
              <w:spacing w:after="0" w:line="240" w:lineRule="auto"/>
              <w:rPr>
                <w:rFonts w:eastAsia="Calibri"/>
                <w:b/>
                <w:bCs/>
              </w:rPr>
            </w:pPr>
            <w:r w:rsidRPr="00291DF5">
              <w:rPr>
                <w:rFonts w:eastAsia="Calibri"/>
                <w:b/>
                <w:bCs/>
              </w:rPr>
              <w:t>2</w:t>
            </w:r>
            <w:r w:rsidR="00765F07" w:rsidRPr="005808FC">
              <w:rPr>
                <w:rFonts w:eastAsia="Calibri"/>
                <w:b/>
                <w:bCs/>
              </w:rPr>
              <w:t>1</w:t>
            </w:r>
          </w:p>
        </w:tc>
      </w:tr>
      <w:tr w:rsidR="00EF5DA2" w:rsidRPr="009F405B" w14:paraId="69B7EBC0" w14:textId="77777777" w:rsidTr="005808FC">
        <w:trPr>
          <w:trHeight w:val="227"/>
        </w:trPr>
        <w:tc>
          <w:tcPr>
            <w:tcW w:w="3325" w:type="dxa"/>
            <w:shd w:val="clear" w:color="auto" w:fill="C6D9F1" w:themeFill="text2" w:themeFillTint="33"/>
          </w:tcPr>
          <w:p w14:paraId="4D110A5A" w14:textId="77777777" w:rsidR="00EF5DA2" w:rsidRPr="005808FC" w:rsidRDefault="00EF5DA2" w:rsidP="005808FC">
            <w:pPr>
              <w:spacing w:after="0" w:line="240" w:lineRule="auto"/>
              <w:rPr>
                <w:rFonts w:eastAsia="Calibri"/>
                <w:b/>
                <w:bCs/>
              </w:rPr>
            </w:pPr>
            <w:r w:rsidRPr="00291DF5">
              <w:rPr>
                <w:rFonts w:eastAsia="Calibri"/>
                <w:b/>
                <w:bCs/>
              </w:rPr>
              <w:t>Ime mjere/aktivnost</w:t>
            </w:r>
          </w:p>
        </w:tc>
        <w:tc>
          <w:tcPr>
            <w:tcW w:w="5691" w:type="dxa"/>
            <w:shd w:val="clear" w:color="auto" w:fill="C6D9F1" w:themeFill="text2" w:themeFillTint="33"/>
          </w:tcPr>
          <w:p w14:paraId="21C6FBD5" w14:textId="77777777" w:rsidR="00EF5DA2" w:rsidRPr="005808FC" w:rsidRDefault="00EF5DA2" w:rsidP="005808FC">
            <w:pPr>
              <w:spacing w:after="0" w:line="240" w:lineRule="auto"/>
              <w:rPr>
                <w:rFonts w:eastAsia="Calibri"/>
                <w:b/>
                <w:bCs/>
              </w:rPr>
            </w:pPr>
            <w:r w:rsidRPr="00291DF5">
              <w:rPr>
                <w:rFonts w:eastAsia="Calibri"/>
                <w:b/>
                <w:bCs/>
              </w:rPr>
              <w:t xml:space="preserve">Energetski učinkovita obnova javne rasvjete </w:t>
            </w:r>
          </w:p>
        </w:tc>
      </w:tr>
      <w:tr w:rsidR="00EF5DA2" w:rsidRPr="009F405B" w14:paraId="14EEA46C" w14:textId="77777777" w:rsidTr="005808FC">
        <w:trPr>
          <w:trHeight w:val="227"/>
        </w:trPr>
        <w:tc>
          <w:tcPr>
            <w:tcW w:w="3325" w:type="dxa"/>
            <w:shd w:val="clear" w:color="auto" w:fill="F2DBDB" w:themeFill="accent2" w:themeFillTint="33"/>
          </w:tcPr>
          <w:p w14:paraId="4FDC08A1" w14:textId="77777777" w:rsidR="00EF5DA2" w:rsidRPr="005808FC" w:rsidRDefault="00EF5DA2" w:rsidP="005808FC">
            <w:pPr>
              <w:spacing w:after="0" w:line="240" w:lineRule="auto"/>
              <w:rPr>
                <w:rFonts w:eastAsia="Calibri"/>
                <w:b/>
                <w:bCs/>
              </w:rPr>
            </w:pPr>
            <w:r w:rsidRPr="00291DF5">
              <w:rPr>
                <w:rFonts w:eastAsia="Calibri"/>
                <w:b/>
                <w:bCs/>
              </w:rPr>
              <w:t>Nositelji aktivnosti :</w:t>
            </w:r>
          </w:p>
          <w:p w14:paraId="4743E733" w14:textId="77777777" w:rsidR="00EF5DA2" w:rsidRPr="00CC39A5" w:rsidRDefault="00EF5DA2" w:rsidP="00EF5DA2">
            <w:pPr>
              <w:spacing w:after="0" w:line="240" w:lineRule="auto"/>
              <w:rPr>
                <w:rFonts w:eastAsia="Calibri" w:cstheme="minorHAnsi"/>
                <w:b/>
              </w:rPr>
            </w:pPr>
          </w:p>
        </w:tc>
        <w:tc>
          <w:tcPr>
            <w:tcW w:w="5691" w:type="dxa"/>
          </w:tcPr>
          <w:p w14:paraId="68C627B8" w14:textId="575F8DD3" w:rsidR="00EF5DA2" w:rsidRPr="009F405B" w:rsidRDefault="00EF5DA2" w:rsidP="005808FC">
            <w:pPr>
              <w:numPr>
                <w:ilvl w:val="0"/>
                <w:numId w:val="10"/>
              </w:numPr>
              <w:spacing w:after="0" w:line="240" w:lineRule="auto"/>
              <w:ind w:left="316" w:hanging="224"/>
              <w:contextualSpacing/>
              <w:rPr>
                <w:rFonts w:eastAsia="Calibri" w:cstheme="minorHAnsi"/>
                <w:lang w:eastAsia="hr-HR"/>
              </w:rPr>
            </w:pPr>
            <w:r w:rsidRPr="00291DF5">
              <w:rPr>
                <w:rFonts w:eastAsia="Calibri"/>
                <w:lang w:eastAsia="hr-HR"/>
              </w:rPr>
              <w:t xml:space="preserve">Gradski ured za prostorno uređenje, izgradnju Grada, </w:t>
            </w:r>
            <w:r w:rsidRPr="005808FC">
              <w:rPr>
                <w:rFonts w:eastAsia="Calibri"/>
                <w:lang w:eastAsia="hr-HR"/>
              </w:rPr>
              <w:t>graditeljstvo, komunalne poslove</w:t>
            </w:r>
            <w:r w:rsidR="000509A0">
              <w:rPr>
                <w:rFonts w:eastAsia="Calibri"/>
                <w:lang w:eastAsia="hr-HR"/>
              </w:rPr>
              <w:t xml:space="preserve"> i </w:t>
            </w:r>
            <w:r w:rsidRPr="00291DF5">
              <w:rPr>
                <w:rFonts w:eastAsia="Calibri"/>
                <w:lang w:eastAsia="hr-HR"/>
              </w:rPr>
              <w:t>promet</w:t>
            </w:r>
          </w:p>
        </w:tc>
      </w:tr>
      <w:tr w:rsidR="00EF5DA2" w:rsidRPr="009F405B" w14:paraId="5254924C" w14:textId="77777777" w:rsidTr="005808FC">
        <w:trPr>
          <w:trHeight w:val="227"/>
        </w:trPr>
        <w:tc>
          <w:tcPr>
            <w:tcW w:w="3325" w:type="dxa"/>
            <w:shd w:val="clear" w:color="auto" w:fill="F2DBDB" w:themeFill="accent2" w:themeFillTint="33"/>
          </w:tcPr>
          <w:p w14:paraId="22269043" w14:textId="77777777" w:rsidR="00EF5DA2" w:rsidRPr="005808FC" w:rsidRDefault="00EF5DA2" w:rsidP="005808FC">
            <w:pPr>
              <w:spacing w:after="0" w:line="240" w:lineRule="auto"/>
              <w:rPr>
                <w:rFonts w:eastAsia="Calibri"/>
                <w:b/>
                <w:bCs/>
              </w:rPr>
            </w:pPr>
            <w:r w:rsidRPr="00291DF5">
              <w:rPr>
                <w:rFonts w:eastAsia="Calibri"/>
                <w:b/>
                <w:bCs/>
              </w:rPr>
              <w:t>Partneri u provođenju aktivnosti:</w:t>
            </w:r>
          </w:p>
        </w:tc>
        <w:tc>
          <w:tcPr>
            <w:tcW w:w="5691" w:type="dxa"/>
          </w:tcPr>
          <w:p w14:paraId="3C7929B0" w14:textId="07D0C640" w:rsidR="00EF5DA2" w:rsidRPr="005808FC" w:rsidRDefault="00EF5DA2" w:rsidP="005808FC">
            <w:pPr>
              <w:numPr>
                <w:ilvl w:val="0"/>
                <w:numId w:val="10"/>
              </w:numPr>
              <w:spacing w:after="0" w:line="240" w:lineRule="auto"/>
              <w:ind w:left="316" w:hanging="224"/>
              <w:contextualSpacing/>
              <w:rPr>
                <w:rFonts w:eastAsia="Calibri"/>
                <w:lang w:eastAsia="hr-HR"/>
              </w:rPr>
            </w:pPr>
            <w:r w:rsidRPr="00291DF5">
              <w:rPr>
                <w:rFonts w:eastAsia="Calibri"/>
                <w:lang w:eastAsia="hr-HR"/>
              </w:rPr>
              <w:t>Gradski ured za gospodarstvo, energetiku</w:t>
            </w:r>
            <w:r w:rsidR="000509A0">
              <w:rPr>
                <w:rFonts w:eastAsia="Calibri"/>
                <w:lang w:eastAsia="hr-HR"/>
              </w:rPr>
              <w:t xml:space="preserve"> i </w:t>
            </w:r>
            <w:r w:rsidRPr="00291DF5">
              <w:rPr>
                <w:rFonts w:eastAsia="Calibri"/>
                <w:lang w:eastAsia="hr-HR"/>
              </w:rPr>
              <w:t>zaštitu okoliša</w:t>
            </w:r>
          </w:p>
          <w:p w14:paraId="0F412C7E" w14:textId="77777777" w:rsidR="00EF5DA2" w:rsidRPr="005808FC" w:rsidRDefault="00EF5DA2" w:rsidP="005808FC">
            <w:pPr>
              <w:numPr>
                <w:ilvl w:val="0"/>
                <w:numId w:val="10"/>
              </w:numPr>
              <w:spacing w:after="0" w:line="240" w:lineRule="auto"/>
              <w:ind w:left="316" w:hanging="224"/>
              <w:contextualSpacing/>
              <w:rPr>
                <w:rFonts w:eastAsia="Calibri"/>
                <w:lang w:eastAsia="hr-HR"/>
              </w:rPr>
            </w:pPr>
            <w:r w:rsidRPr="005808FC">
              <w:rPr>
                <w:rFonts w:eastAsia="Calibri"/>
                <w:lang w:eastAsia="hr-HR"/>
              </w:rPr>
              <w:t>REGEA</w:t>
            </w:r>
          </w:p>
        </w:tc>
      </w:tr>
      <w:tr w:rsidR="00EF5DA2" w:rsidRPr="009F405B" w14:paraId="029B6B1E" w14:textId="77777777" w:rsidTr="005808FC">
        <w:trPr>
          <w:trHeight w:val="227"/>
        </w:trPr>
        <w:tc>
          <w:tcPr>
            <w:tcW w:w="3325" w:type="dxa"/>
            <w:shd w:val="clear" w:color="auto" w:fill="F2DBDB" w:themeFill="accent2" w:themeFillTint="33"/>
          </w:tcPr>
          <w:p w14:paraId="117D541D" w14:textId="77777777" w:rsidR="00EF5DA2" w:rsidRPr="005808FC" w:rsidRDefault="00EF5DA2" w:rsidP="005808FC">
            <w:pPr>
              <w:spacing w:after="0" w:line="240" w:lineRule="auto"/>
              <w:rPr>
                <w:rFonts w:eastAsia="Calibri"/>
                <w:b/>
                <w:bCs/>
              </w:rPr>
            </w:pPr>
            <w:r w:rsidRPr="00291DF5">
              <w:rPr>
                <w:rFonts w:eastAsia="Calibri"/>
                <w:b/>
                <w:bCs/>
              </w:rPr>
              <w:t>Početak/kraj provedbe (godine)</w:t>
            </w:r>
          </w:p>
        </w:tc>
        <w:tc>
          <w:tcPr>
            <w:tcW w:w="5691" w:type="dxa"/>
          </w:tcPr>
          <w:p w14:paraId="1010A299" w14:textId="77777777" w:rsidR="00EF5DA2" w:rsidRPr="005808FC" w:rsidRDefault="00EF5DA2" w:rsidP="005808FC">
            <w:pPr>
              <w:pStyle w:val="ListParagraph"/>
              <w:numPr>
                <w:ilvl w:val="0"/>
                <w:numId w:val="16"/>
              </w:numPr>
              <w:spacing w:after="0" w:line="240" w:lineRule="auto"/>
              <w:ind w:left="316" w:hanging="224"/>
              <w:rPr>
                <w:rFonts w:eastAsia="Calibri"/>
              </w:rPr>
            </w:pPr>
            <w:r w:rsidRPr="00291DF5">
              <w:rPr>
                <w:rFonts w:eastAsia="Calibri"/>
              </w:rPr>
              <w:t>Pripremne aktivnosti – projekt RePubLEEc 2017/2020</w:t>
            </w:r>
          </w:p>
          <w:p w14:paraId="693A74B0" w14:textId="77777777" w:rsidR="00EF5DA2" w:rsidRPr="005808FC" w:rsidRDefault="00EF5DA2" w:rsidP="005808FC">
            <w:pPr>
              <w:pStyle w:val="ListParagraph"/>
              <w:numPr>
                <w:ilvl w:val="0"/>
                <w:numId w:val="16"/>
              </w:numPr>
              <w:spacing w:after="0" w:line="240" w:lineRule="auto"/>
              <w:ind w:left="316" w:hanging="224"/>
              <w:rPr>
                <w:rFonts w:eastAsia="Calibri"/>
              </w:rPr>
            </w:pPr>
            <w:r w:rsidRPr="00291DF5">
              <w:rPr>
                <w:rFonts w:eastAsia="Calibri"/>
              </w:rPr>
              <w:t xml:space="preserve">Provedba </w:t>
            </w:r>
            <w:r w:rsidRPr="005808FC">
              <w:rPr>
                <w:rFonts w:eastAsia="Calibri"/>
              </w:rPr>
              <w:t>modernizacije javne rasvjete 2020-2023</w:t>
            </w:r>
          </w:p>
        </w:tc>
      </w:tr>
      <w:tr w:rsidR="00DE5A01" w:rsidRPr="009F405B" w14:paraId="68E7CA52" w14:textId="77777777" w:rsidTr="005808FC">
        <w:trPr>
          <w:trHeight w:val="227"/>
        </w:trPr>
        <w:tc>
          <w:tcPr>
            <w:tcW w:w="3325" w:type="dxa"/>
            <w:shd w:val="clear" w:color="auto" w:fill="F2DBDB" w:themeFill="accent2" w:themeFillTint="33"/>
          </w:tcPr>
          <w:p w14:paraId="39DD6C04" w14:textId="3B4706DF" w:rsidR="00DE5A01" w:rsidRPr="005808FC" w:rsidRDefault="00DE5A01" w:rsidP="005808FC">
            <w:pPr>
              <w:spacing w:after="0" w:line="240" w:lineRule="auto"/>
              <w:rPr>
                <w:rFonts w:eastAsia="Calibri"/>
                <w:b/>
                <w:bCs/>
              </w:rPr>
            </w:pPr>
            <w:r w:rsidRPr="00291DF5">
              <w:rPr>
                <w:rFonts w:eastAsia="Calibri"/>
                <w:b/>
                <w:bCs/>
              </w:rPr>
              <w:t>Procjena uštede (</w:t>
            </w:r>
            <w:r w:rsidRPr="005808FC">
              <w:rPr>
                <w:rFonts w:eastAsia="Calibri"/>
                <w:b/>
                <w:bCs/>
              </w:rPr>
              <w:t>MWh)</w:t>
            </w:r>
          </w:p>
        </w:tc>
        <w:tc>
          <w:tcPr>
            <w:tcW w:w="5691" w:type="dxa"/>
          </w:tcPr>
          <w:p w14:paraId="7E85AA6B" w14:textId="4C57EB60" w:rsidR="00DE5A01" w:rsidRPr="005808FC" w:rsidRDefault="00DE5A01" w:rsidP="005808FC">
            <w:pPr>
              <w:spacing w:after="0" w:line="240" w:lineRule="auto"/>
              <w:rPr>
                <w:rFonts w:eastAsia="Calibri"/>
                <w:b/>
              </w:rPr>
            </w:pPr>
            <w:r w:rsidRPr="00C73FF7">
              <w:rPr>
                <w:rFonts w:eastAsia="Calibri"/>
                <w:b/>
              </w:rPr>
              <w:t>26.881,9</w:t>
            </w:r>
          </w:p>
        </w:tc>
      </w:tr>
      <w:tr w:rsidR="00DE5A01" w:rsidRPr="009F405B" w14:paraId="0B4F52D6" w14:textId="77777777" w:rsidTr="005808FC">
        <w:trPr>
          <w:trHeight w:val="227"/>
        </w:trPr>
        <w:tc>
          <w:tcPr>
            <w:tcW w:w="3325" w:type="dxa"/>
            <w:shd w:val="clear" w:color="auto" w:fill="F2DBDB" w:themeFill="accent2" w:themeFillTint="33"/>
          </w:tcPr>
          <w:p w14:paraId="1F49AAF2" w14:textId="4FD43C7C" w:rsidR="00DE5A01" w:rsidRPr="005808FC" w:rsidRDefault="00DE5A01" w:rsidP="005808FC">
            <w:pPr>
              <w:spacing w:after="0" w:line="240" w:lineRule="auto"/>
              <w:rPr>
                <w:rFonts w:eastAsia="Calibri"/>
                <w:b/>
                <w:bCs/>
              </w:rPr>
            </w:pPr>
            <w:r w:rsidRPr="00291DF5">
              <w:rPr>
                <w:rFonts w:eastAsia="Calibri"/>
                <w:b/>
                <w:bCs/>
              </w:rPr>
              <w:t>Procjena smanjenja emisije (t CO</w:t>
            </w:r>
            <w:r w:rsidRPr="005808FC">
              <w:rPr>
                <w:rFonts w:eastAsia="Calibri"/>
                <w:b/>
                <w:bCs/>
                <w:vertAlign w:val="subscript"/>
              </w:rPr>
              <w:t>2</w:t>
            </w:r>
            <w:r w:rsidRPr="005808FC">
              <w:rPr>
                <w:rFonts w:eastAsia="Calibri"/>
                <w:b/>
                <w:bCs/>
              </w:rPr>
              <w:t>)</w:t>
            </w:r>
          </w:p>
        </w:tc>
        <w:tc>
          <w:tcPr>
            <w:tcW w:w="5691" w:type="dxa"/>
          </w:tcPr>
          <w:p w14:paraId="682FC2C1" w14:textId="51ED48BD" w:rsidR="00DE5A01" w:rsidRPr="005808FC" w:rsidRDefault="00DE5A01" w:rsidP="005808FC">
            <w:pPr>
              <w:spacing w:after="0" w:line="240" w:lineRule="auto"/>
              <w:rPr>
                <w:rFonts w:eastAsia="Calibri"/>
                <w:b/>
              </w:rPr>
            </w:pPr>
            <w:r w:rsidRPr="00C73FF7">
              <w:rPr>
                <w:rFonts w:eastAsia="Calibri" w:cstheme="minorHAnsi"/>
                <w:b/>
              </w:rPr>
              <w:t>2.957</w:t>
            </w:r>
          </w:p>
        </w:tc>
      </w:tr>
      <w:tr w:rsidR="00EF5DA2" w:rsidRPr="009F405B" w14:paraId="13B7849A" w14:textId="77777777" w:rsidTr="005808FC">
        <w:trPr>
          <w:trHeight w:val="227"/>
        </w:trPr>
        <w:tc>
          <w:tcPr>
            <w:tcW w:w="3325" w:type="dxa"/>
            <w:shd w:val="clear" w:color="auto" w:fill="F2DBDB" w:themeFill="accent2" w:themeFillTint="33"/>
          </w:tcPr>
          <w:p w14:paraId="1D9991C3" w14:textId="77777777" w:rsidR="00EF5DA2" w:rsidRPr="005808FC" w:rsidRDefault="00EF5DA2" w:rsidP="005808FC">
            <w:pPr>
              <w:spacing w:after="0" w:line="240" w:lineRule="auto"/>
              <w:rPr>
                <w:rFonts w:eastAsia="Calibri"/>
                <w:b/>
                <w:bCs/>
              </w:rPr>
            </w:pPr>
            <w:r w:rsidRPr="00291DF5">
              <w:rPr>
                <w:rFonts w:eastAsia="Calibri"/>
                <w:b/>
                <w:bCs/>
              </w:rPr>
              <w:t>Izvor sredstava za provedbu</w:t>
            </w:r>
          </w:p>
        </w:tc>
        <w:tc>
          <w:tcPr>
            <w:tcW w:w="5691" w:type="dxa"/>
          </w:tcPr>
          <w:p w14:paraId="2779A036" w14:textId="4B86779D" w:rsidR="00EF5DA2" w:rsidRPr="000D58DB" w:rsidRDefault="000D58DB" w:rsidP="000D58DB">
            <w:pPr>
              <w:numPr>
                <w:ilvl w:val="0"/>
                <w:numId w:val="11"/>
              </w:numPr>
              <w:spacing w:after="0" w:line="240" w:lineRule="auto"/>
            </w:pPr>
            <w:r w:rsidRPr="00447A00">
              <w:t>E</w:t>
            </w:r>
            <w:r>
              <w:t xml:space="preserve">uropski strukturni i investicijski fondovi </w:t>
            </w:r>
            <w:r w:rsidR="00EF5DA2" w:rsidRPr="000D58DB">
              <w:rPr>
                <w:rFonts w:eastAsia="Calibri"/>
              </w:rPr>
              <w:t>(Veliki projekt)</w:t>
            </w:r>
          </w:p>
          <w:p w14:paraId="0003FE34" w14:textId="77777777" w:rsidR="00EF5DA2" w:rsidRPr="005808FC" w:rsidRDefault="00EF5DA2" w:rsidP="000D58DB">
            <w:pPr>
              <w:numPr>
                <w:ilvl w:val="0"/>
                <w:numId w:val="11"/>
              </w:numPr>
              <w:spacing w:after="0" w:line="240" w:lineRule="auto"/>
              <w:contextualSpacing/>
              <w:rPr>
                <w:rFonts w:eastAsia="Calibri"/>
              </w:rPr>
            </w:pPr>
            <w:r w:rsidRPr="005808FC">
              <w:rPr>
                <w:rFonts w:eastAsia="Calibri"/>
              </w:rPr>
              <w:t>ELENA (EIB)</w:t>
            </w:r>
          </w:p>
          <w:p w14:paraId="343BC86A" w14:textId="77777777" w:rsidR="00EF5DA2" w:rsidRPr="005808FC" w:rsidRDefault="00EF5DA2" w:rsidP="000D58DB">
            <w:pPr>
              <w:numPr>
                <w:ilvl w:val="0"/>
                <w:numId w:val="11"/>
              </w:numPr>
              <w:spacing w:after="0" w:line="240" w:lineRule="auto"/>
              <w:contextualSpacing/>
              <w:rPr>
                <w:rFonts w:eastAsia="Calibri"/>
              </w:rPr>
            </w:pPr>
            <w:r w:rsidRPr="005808FC">
              <w:rPr>
                <w:rFonts w:eastAsia="Calibri"/>
              </w:rPr>
              <w:t>HBOR, EIB ili druge komercijalne banke</w:t>
            </w:r>
          </w:p>
          <w:p w14:paraId="748454D6" w14:textId="77777777" w:rsidR="00EF5DA2" w:rsidRPr="005808FC" w:rsidRDefault="00EF5DA2" w:rsidP="000D58DB">
            <w:pPr>
              <w:numPr>
                <w:ilvl w:val="0"/>
                <w:numId w:val="11"/>
              </w:numPr>
              <w:spacing w:after="0" w:line="240" w:lineRule="auto"/>
              <w:contextualSpacing/>
              <w:rPr>
                <w:rFonts w:eastAsia="Calibri"/>
              </w:rPr>
            </w:pPr>
            <w:r w:rsidRPr="005808FC">
              <w:rPr>
                <w:rFonts w:eastAsia="Calibri"/>
              </w:rPr>
              <w:t>PFI (privatna financijska inicijativa)</w:t>
            </w:r>
          </w:p>
        </w:tc>
      </w:tr>
      <w:tr w:rsidR="00EF5DA2" w:rsidRPr="009F405B" w14:paraId="0FFEE756" w14:textId="77777777" w:rsidTr="005808FC">
        <w:trPr>
          <w:trHeight w:val="227"/>
        </w:trPr>
        <w:tc>
          <w:tcPr>
            <w:tcW w:w="3325" w:type="dxa"/>
            <w:shd w:val="clear" w:color="auto" w:fill="F2DBDB" w:themeFill="accent2" w:themeFillTint="33"/>
          </w:tcPr>
          <w:p w14:paraId="0266C491" w14:textId="77777777" w:rsidR="00EF5DA2" w:rsidRPr="005808FC" w:rsidRDefault="00EF5DA2" w:rsidP="005808FC">
            <w:pPr>
              <w:spacing w:after="0" w:line="240" w:lineRule="auto"/>
              <w:rPr>
                <w:rFonts w:eastAsia="Calibri"/>
                <w:b/>
                <w:bCs/>
              </w:rPr>
            </w:pPr>
            <w:r w:rsidRPr="00291DF5">
              <w:rPr>
                <w:rFonts w:eastAsia="Calibri"/>
                <w:b/>
                <w:bCs/>
              </w:rPr>
              <w:t>Kratki opis/komentar</w:t>
            </w:r>
          </w:p>
        </w:tc>
        <w:tc>
          <w:tcPr>
            <w:tcW w:w="5691" w:type="dxa"/>
          </w:tcPr>
          <w:p w14:paraId="3B8FA021" w14:textId="170C692F" w:rsidR="00EF5DA2" w:rsidRPr="005808FC" w:rsidRDefault="00EF5DA2" w:rsidP="005808FC">
            <w:pPr>
              <w:spacing w:after="0" w:line="240" w:lineRule="auto"/>
              <w:contextualSpacing/>
              <w:rPr>
                <w:rFonts w:eastAsia="Calibri"/>
              </w:rPr>
            </w:pPr>
            <w:r w:rsidRPr="00291DF5">
              <w:rPr>
                <w:rFonts w:eastAsia="Calibri"/>
              </w:rPr>
              <w:t>U svrhu povećanja energetske učinkovitosti javne rasvjete potrebno je provesti pripremne aktivnosti u svrhu razvoja projekta te samu provedbu modernizacije javne rasvjete. Oček</w:t>
            </w:r>
            <w:r w:rsidRPr="005808FC">
              <w:rPr>
                <w:rFonts w:eastAsia="Calibri"/>
              </w:rPr>
              <w:t>ivane koristi od navedenih aktivnosti su uštede u potrošnji električne energije otprilike 65%, uštede u troškovima održavanja sustava javne rasvjete otprilike 75% te ukupna ušteda operativnih troškova (električna energija</w:t>
            </w:r>
            <w:r w:rsidR="000509A0">
              <w:rPr>
                <w:rFonts w:eastAsia="Calibri"/>
              </w:rPr>
              <w:t xml:space="preserve"> i </w:t>
            </w:r>
            <w:r w:rsidRPr="00291DF5">
              <w:rPr>
                <w:rFonts w:eastAsia="Calibri"/>
              </w:rPr>
              <w:t>održavanje) od oko 5 milijuna</w:t>
            </w:r>
            <w:r w:rsidRPr="005808FC">
              <w:rPr>
                <w:rFonts w:eastAsia="Calibri"/>
              </w:rPr>
              <w:t xml:space="preserve"> eura na godišnjoj razini.</w:t>
            </w:r>
          </w:p>
        </w:tc>
      </w:tr>
    </w:tbl>
    <w:p w14:paraId="5B6A38F1" w14:textId="54C0F8B2" w:rsidR="000E7303" w:rsidRDefault="000E7303">
      <w:pPr>
        <w:rPr>
          <w:rFonts w:cstheme="minorHAnsi"/>
        </w:rPr>
      </w:pPr>
    </w:p>
    <w:p w14:paraId="0A11BAD4" w14:textId="65391BA6" w:rsidR="000D58DB" w:rsidRDefault="000D58DB">
      <w:pPr>
        <w:rPr>
          <w:rFonts w:cstheme="minorHAnsi"/>
        </w:rPr>
      </w:pPr>
    </w:p>
    <w:p w14:paraId="5AE697D4" w14:textId="03BF3912" w:rsidR="000D58DB" w:rsidRDefault="000D58DB">
      <w:pPr>
        <w:rPr>
          <w:rFonts w:cstheme="minorHAnsi"/>
        </w:rPr>
      </w:pPr>
    </w:p>
    <w:p w14:paraId="59FD0D3A" w14:textId="6AAC3D5E" w:rsidR="000D58DB" w:rsidRDefault="000D58DB">
      <w:pPr>
        <w:rPr>
          <w:rFonts w:cstheme="minorHAnsi"/>
        </w:rPr>
      </w:pPr>
    </w:p>
    <w:p w14:paraId="6CBB2D11" w14:textId="09CB16A1" w:rsidR="000D58DB" w:rsidRDefault="000D58DB">
      <w:pPr>
        <w:rPr>
          <w:rFonts w:cstheme="minorHAnsi"/>
        </w:rPr>
      </w:pPr>
    </w:p>
    <w:p w14:paraId="151768F1" w14:textId="060451DF" w:rsidR="00D43D20" w:rsidRPr="000E7303" w:rsidRDefault="00D43D20" w:rsidP="005808FC">
      <w:pPr>
        <w:pStyle w:val="Heading2"/>
      </w:pPr>
      <w:bookmarkStart w:id="242" w:name="_Toc4156106"/>
      <w:r w:rsidRPr="000E7303">
        <w:lastRenderedPageBreak/>
        <w:t>Mjere smanjenja emisija CO</w:t>
      </w:r>
      <w:r w:rsidRPr="000D58DB">
        <w:rPr>
          <w:vertAlign w:val="subscript"/>
        </w:rPr>
        <w:t>2</w:t>
      </w:r>
      <w:r w:rsidRPr="000E7303">
        <w:t xml:space="preserve"> iz centralnog toplinskog sustava</w:t>
      </w:r>
      <w:bookmarkEnd w:id="2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D43D20" w:rsidRPr="00922031" w14:paraId="0C0C3C2B"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2E25C31B" w14:textId="77777777" w:rsidR="00D43D20" w:rsidRPr="005808FC" w:rsidRDefault="00D43D20" w:rsidP="005808FC">
            <w:pPr>
              <w:spacing w:after="0"/>
              <w:rPr>
                <w:rFonts w:eastAsia="Calibri"/>
                <w:b/>
                <w:bCs/>
              </w:rPr>
            </w:pPr>
            <w:r w:rsidRPr="00291DF5">
              <w:rPr>
                <w:rFonts w:eastAsia="Calibri"/>
                <w:b/>
                <w:bCs/>
              </w:rPr>
              <w:t>Redni broj mjere</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79BABDB2" w14:textId="374C34B2" w:rsidR="00D43D20" w:rsidRPr="005808FC" w:rsidRDefault="005C1A61" w:rsidP="005808FC">
            <w:pPr>
              <w:spacing w:after="0"/>
              <w:rPr>
                <w:rFonts w:eastAsia="Calibri"/>
                <w:b/>
                <w:bCs/>
              </w:rPr>
            </w:pPr>
            <w:r w:rsidRPr="00291DF5">
              <w:rPr>
                <w:rFonts w:eastAsia="Calibri"/>
                <w:b/>
                <w:bCs/>
              </w:rPr>
              <w:t>2</w:t>
            </w:r>
            <w:r w:rsidR="00765F07" w:rsidRPr="005808FC">
              <w:rPr>
                <w:rFonts w:eastAsia="Calibri"/>
                <w:b/>
                <w:bCs/>
              </w:rPr>
              <w:t>2</w:t>
            </w:r>
          </w:p>
        </w:tc>
      </w:tr>
      <w:tr w:rsidR="00D43D20" w:rsidRPr="00922031" w14:paraId="783AE362" w14:textId="77777777" w:rsidTr="005808FC">
        <w:trPr>
          <w:trHeight w:val="227"/>
        </w:trPr>
        <w:tc>
          <w:tcPr>
            <w:tcW w:w="3325" w:type="dxa"/>
            <w:shd w:val="clear" w:color="auto" w:fill="C6D9F1" w:themeFill="text2" w:themeFillTint="33"/>
          </w:tcPr>
          <w:p w14:paraId="4C6D03AE" w14:textId="77777777" w:rsidR="00D43D20" w:rsidRPr="005808FC" w:rsidRDefault="00D43D20" w:rsidP="005808FC">
            <w:pPr>
              <w:spacing w:after="0"/>
              <w:rPr>
                <w:rFonts w:eastAsia="Calibri"/>
                <w:b/>
                <w:bCs/>
              </w:rPr>
            </w:pPr>
            <w:r w:rsidRPr="00291DF5">
              <w:rPr>
                <w:rFonts w:eastAsia="Calibri"/>
                <w:b/>
                <w:bCs/>
              </w:rPr>
              <w:t>Ime mjere/aktivnost</w:t>
            </w:r>
          </w:p>
        </w:tc>
        <w:tc>
          <w:tcPr>
            <w:tcW w:w="5691" w:type="dxa"/>
            <w:shd w:val="clear" w:color="auto" w:fill="C6D9F1" w:themeFill="text2" w:themeFillTint="33"/>
          </w:tcPr>
          <w:p w14:paraId="0D32FDAF" w14:textId="28FB31B9" w:rsidR="00D43D20" w:rsidRPr="005808FC" w:rsidRDefault="00D43D20" w:rsidP="005808FC">
            <w:pPr>
              <w:spacing w:after="0"/>
              <w:rPr>
                <w:rFonts w:eastAsia="Calibri"/>
                <w:b/>
                <w:bCs/>
              </w:rPr>
            </w:pPr>
            <w:r w:rsidRPr="00291DF5">
              <w:rPr>
                <w:rFonts w:eastAsia="Calibri"/>
                <w:b/>
                <w:bCs/>
              </w:rPr>
              <w:t>Energetski učinkovit centralni toplinski sustav grada Zagreba</w:t>
            </w:r>
            <w:r w:rsidR="00530DCA">
              <w:rPr>
                <w:rFonts w:eastAsia="Calibri"/>
                <w:b/>
                <w:bCs/>
              </w:rPr>
              <w:t xml:space="preserve"> – intervencije u vrelovodnu mrežu</w:t>
            </w:r>
          </w:p>
        </w:tc>
      </w:tr>
      <w:tr w:rsidR="00D43D20" w:rsidRPr="00922031" w14:paraId="5CADFAE1" w14:textId="77777777" w:rsidTr="005808FC">
        <w:trPr>
          <w:trHeight w:val="227"/>
        </w:trPr>
        <w:tc>
          <w:tcPr>
            <w:tcW w:w="3325" w:type="dxa"/>
            <w:shd w:val="clear" w:color="auto" w:fill="F2DBDB" w:themeFill="accent2" w:themeFillTint="33"/>
          </w:tcPr>
          <w:p w14:paraId="06322B61" w14:textId="77777777" w:rsidR="00D43D20" w:rsidRPr="005808FC" w:rsidRDefault="00D43D20" w:rsidP="005808FC">
            <w:pPr>
              <w:spacing w:after="0"/>
              <w:rPr>
                <w:rFonts w:eastAsia="Calibri"/>
                <w:b/>
                <w:bCs/>
              </w:rPr>
            </w:pPr>
            <w:r w:rsidRPr="00291DF5">
              <w:rPr>
                <w:rFonts w:eastAsia="Calibri"/>
                <w:b/>
                <w:bCs/>
              </w:rPr>
              <w:t>Nositelji aktivnosti :</w:t>
            </w:r>
          </w:p>
          <w:p w14:paraId="4DB6D69E" w14:textId="77777777" w:rsidR="00D43D20" w:rsidRPr="00CC39A5" w:rsidRDefault="00D43D20" w:rsidP="00975CD4">
            <w:pPr>
              <w:spacing w:after="0"/>
              <w:rPr>
                <w:rFonts w:eastAsia="Calibri" w:cstheme="minorHAnsi"/>
                <w:b/>
              </w:rPr>
            </w:pPr>
          </w:p>
        </w:tc>
        <w:tc>
          <w:tcPr>
            <w:tcW w:w="5691" w:type="dxa"/>
          </w:tcPr>
          <w:p w14:paraId="7A5455F1" w14:textId="77777777" w:rsidR="00D43D20" w:rsidRPr="005808FC" w:rsidRDefault="00D43D20" w:rsidP="005808FC">
            <w:pPr>
              <w:numPr>
                <w:ilvl w:val="0"/>
                <w:numId w:val="10"/>
              </w:numPr>
              <w:spacing w:after="0"/>
              <w:contextualSpacing/>
              <w:rPr>
                <w:rFonts w:eastAsia="Calibri"/>
                <w:lang w:eastAsia="hr-HR"/>
              </w:rPr>
            </w:pPr>
            <w:r w:rsidRPr="00291DF5">
              <w:rPr>
                <w:rFonts w:eastAsia="Calibri"/>
                <w:lang w:eastAsia="hr-HR"/>
              </w:rPr>
              <w:t>HEP Toplinarstvo, d.o.o.</w:t>
            </w:r>
          </w:p>
          <w:p w14:paraId="01F63077" w14:textId="145FA021" w:rsidR="00D43D20" w:rsidRPr="00F86403" w:rsidRDefault="00D43D20" w:rsidP="000D58DB">
            <w:pPr>
              <w:spacing w:after="0"/>
              <w:ind w:left="720"/>
              <w:contextualSpacing/>
              <w:rPr>
                <w:rFonts w:eastAsia="Calibri" w:cstheme="minorHAnsi"/>
                <w:lang w:eastAsia="hr-HR"/>
              </w:rPr>
            </w:pPr>
          </w:p>
        </w:tc>
      </w:tr>
      <w:tr w:rsidR="00461774" w:rsidRPr="00922031" w14:paraId="5D488832" w14:textId="77777777" w:rsidTr="005808FC">
        <w:trPr>
          <w:trHeight w:val="227"/>
        </w:trPr>
        <w:tc>
          <w:tcPr>
            <w:tcW w:w="3325" w:type="dxa"/>
            <w:shd w:val="clear" w:color="auto" w:fill="F2DBDB" w:themeFill="accent2" w:themeFillTint="33"/>
          </w:tcPr>
          <w:p w14:paraId="459B2685" w14:textId="3C48ED36" w:rsidR="00461774" w:rsidRPr="00291DF5" w:rsidRDefault="000D58DB" w:rsidP="005808FC">
            <w:pPr>
              <w:spacing w:after="0"/>
              <w:rPr>
                <w:rFonts w:eastAsia="Calibri"/>
                <w:b/>
                <w:bCs/>
              </w:rPr>
            </w:pPr>
            <w:r w:rsidRPr="00291DF5">
              <w:rPr>
                <w:rFonts w:eastAsia="Calibri"/>
                <w:b/>
                <w:bCs/>
              </w:rPr>
              <w:t>Partneri u provođenju aktivnosti:</w:t>
            </w:r>
          </w:p>
        </w:tc>
        <w:tc>
          <w:tcPr>
            <w:tcW w:w="5691" w:type="dxa"/>
          </w:tcPr>
          <w:p w14:paraId="6E5B53DA" w14:textId="77777777" w:rsidR="00461774" w:rsidRPr="00530DCA" w:rsidRDefault="00530DCA" w:rsidP="005808FC">
            <w:pPr>
              <w:numPr>
                <w:ilvl w:val="0"/>
                <w:numId w:val="10"/>
              </w:numPr>
              <w:spacing w:after="0"/>
              <w:contextualSpacing/>
              <w:rPr>
                <w:rFonts w:eastAsia="Calibri"/>
                <w:lang w:eastAsia="hr-HR"/>
              </w:rPr>
            </w:pPr>
            <w:r w:rsidRPr="00922031">
              <w:rPr>
                <w:rFonts w:eastAsia="Calibri" w:cstheme="minorHAnsi"/>
                <w:lang w:eastAsia="hr-HR"/>
              </w:rPr>
              <w:t>Gradski ured za gospodarstvo, energetiku</w:t>
            </w:r>
            <w:r>
              <w:rPr>
                <w:rFonts w:eastAsia="Calibri" w:cstheme="minorHAnsi"/>
                <w:lang w:eastAsia="hr-HR"/>
              </w:rPr>
              <w:t xml:space="preserve"> i </w:t>
            </w:r>
            <w:r w:rsidRPr="00922031">
              <w:rPr>
                <w:rFonts w:eastAsia="Calibri" w:cstheme="minorHAnsi"/>
                <w:lang w:eastAsia="hr-HR"/>
              </w:rPr>
              <w:t>zaštitu okoliša</w:t>
            </w:r>
          </w:p>
          <w:p w14:paraId="57B06A21" w14:textId="77777777" w:rsidR="00530DCA" w:rsidRPr="00530DCA" w:rsidRDefault="00530DCA" w:rsidP="005808FC">
            <w:pPr>
              <w:numPr>
                <w:ilvl w:val="0"/>
                <w:numId w:val="10"/>
              </w:numPr>
              <w:spacing w:after="0"/>
              <w:contextualSpacing/>
              <w:rPr>
                <w:rFonts w:eastAsia="Calibri"/>
                <w:lang w:eastAsia="hr-HR"/>
              </w:rPr>
            </w:pPr>
            <w:r>
              <w:rPr>
                <w:rFonts w:eastAsia="Calibri" w:cstheme="minorHAnsi"/>
                <w:lang w:eastAsia="hr-HR"/>
              </w:rPr>
              <w:t>ITU PT UAZ</w:t>
            </w:r>
          </w:p>
          <w:p w14:paraId="562A59C4" w14:textId="77777777" w:rsidR="00530DCA" w:rsidRPr="00530DCA" w:rsidRDefault="00530DCA" w:rsidP="005808FC">
            <w:pPr>
              <w:numPr>
                <w:ilvl w:val="0"/>
                <w:numId w:val="10"/>
              </w:numPr>
              <w:spacing w:after="0"/>
              <w:contextualSpacing/>
              <w:rPr>
                <w:rFonts w:eastAsia="Calibri"/>
                <w:lang w:eastAsia="hr-HR"/>
              </w:rPr>
            </w:pPr>
            <w:r>
              <w:rPr>
                <w:rFonts w:eastAsia="Calibri" w:cstheme="minorHAnsi"/>
                <w:lang w:eastAsia="hr-HR"/>
              </w:rPr>
              <w:t>Ministarstvo regionalnog razvoja i fondova EU</w:t>
            </w:r>
          </w:p>
          <w:p w14:paraId="6C218718" w14:textId="1F66690A" w:rsidR="00530DCA" w:rsidRPr="00291DF5" w:rsidRDefault="00530DCA" w:rsidP="005808FC">
            <w:pPr>
              <w:numPr>
                <w:ilvl w:val="0"/>
                <w:numId w:val="10"/>
              </w:numPr>
              <w:spacing w:after="0"/>
              <w:contextualSpacing/>
              <w:rPr>
                <w:rFonts w:eastAsia="Calibri"/>
                <w:lang w:eastAsia="hr-HR"/>
              </w:rPr>
            </w:pPr>
            <w:r>
              <w:rPr>
                <w:rFonts w:eastAsia="Calibri" w:cstheme="minorHAnsi"/>
                <w:lang w:eastAsia="hr-HR"/>
              </w:rPr>
              <w:t>Ministarstvo zaštite okoliša i energetike</w:t>
            </w:r>
          </w:p>
        </w:tc>
      </w:tr>
      <w:tr w:rsidR="00D43D20" w:rsidRPr="00922031" w14:paraId="6C270D4F" w14:textId="77777777" w:rsidTr="005808FC">
        <w:trPr>
          <w:trHeight w:val="227"/>
        </w:trPr>
        <w:tc>
          <w:tcPr>
            <w:tcW w:w="3325" w:type="dxa"/>
            <w:shd w:val="clear" w:color="auto" w:fill="F2DBDB" w:themeFill="accent2" w:themeFillTint="33"/>
          </w:tcPr>
          <w:p w14:paraId="197E65AE" w14:textId="77777777" w:rsidR="00D43D20" w:rsidRPr="005808FC" w:rsidRDefault="00D43D20" w:rsidP="005808FC">
            <w:pPr>
              <w:spacing w:after="0"/>
              <w:rPr>
                <w:rFonts w:eastAsia="Calibri"/>
                <w:b/>
                <w:bCs/>
              </w:rPr>
            </w:pPr>
            <w:r w:rsidRPr="00291DF5">
              <w:rPr>
                <w:rFonts w:eastAsia="Calibri"/>
                <w:b/>
                <w:bCs/>
              </w:rPr>
              <w:t>Početak/kraj provedbe (godine)</w:t>
            </w:r>
          </w:p>
        </w:tc>
        <w:tc>
          <w:tcPr>
            <w:tcW w:w="5691" w:type="dxa"/>
          </w:tcPr>
          <w:p w14:paraId="210F89D2" w14:textId="202EAD5C" w:rsidR="00D43D20" w:rsidRPr="005808FC" w:rsidRDefault="00D43D20" w:rsidP="005808FC">
            <w:pPr>
              <w:spacing w:after="0"/>
              <w:rPr>
                <w:rFonts w:eastAsia="Calibri"/>
                <w:b/>
              </w:rPr>
            </w:pPr>
            <w:r w:rsidRPr="005808FC">
              <w:rPr>
                <w:rFonts w:eastAsia="Calibri"/>
                <w:b/>
              </w:rPr>
              <w:t>2020</w:t>
            </w:r>
            <w:r w:rsidR="00DF59AD" w:rsidRPr="005808FC">
              <w:rPr>
                <w:rFonts w:eastAsia="Calibri"/>
                <w:b/>
              </w:rPr>
              <w:t xml:space="preserve"> - </w:t>
            </w:r>
            <w:r w:rsidRPr="005808FC">
              <w:rPr>
                <w:rFonts w:eastAsia="Calibri"/>
                <w:b/>
              </w:rPr>
              <w:t>2023</w:t>
            </w:r>
          </w:p>
        </w:tc>
      </w:tr>
      <w:tr w:rsidR="0065450E" w:rsidRPr="00922031" w14:paraId="02290819" w14:textId="77777777" w:rsidTr="005808FC">
        <w:trPr>
          <w:trHeight w:val="227"/>
        </w:trPr>
        <w:tc>
          <w:tcPr>
            <w:tcW w:w="3325" w:type="dxa"/>
            <w:shd w:val="clear" w:color="auto" w:fill="F2DBDB" w:themeFill="accent2" w:themeFillTint="33"/>
          </w:tcPr>
          <w:p w14:paraId="3D24AC31" w14:textId="78BFA91F" w:rsidR="0065450E" w:rsidRPr="005808FC" w:rsidRDefault="0065450E" w:rsidP="005808FC">
            <w:pPr>
              <w:spacing w:after="0"/>
              <w:rPr>
                <w:rFonts w:eastAsia="Calibri"/>
                <w:b/>
                <w:bCs/>
              </w:rPr>
            </w:pPr>
            <w:r w:rsidRPr="00291DF5">
              <w:rPr>
                <w:rFonts w:eastAsia="Calibri"/>
                <w:b/>
                <w:bCs/>
              </w:rPr>
              <w:t xml:space="preserve">Procjena uštede </w:t>
            </w:r>
            <w:r w:rsidRPr="005808FC">
              <w:rPr>
                <w:rFonts w:eastAsia="Calibri"/>
                <w:b/>
                <w:bCs/>
              </w:rPr>
              <w:t>(</w:t>
            </w:r>
            <w:r>
              <w:rPr>
                <w:rFonts w:eastAsia="Calibri"/>
                <w:b/>
                <w:bCs/>
              </w:rPr>
              <w:t>MWh</w:t>
            </w:r>
            <w:r w:rsidRPr="005808FC">
              <w:rPr>
                <w:rFonts w:eastAsia="Calibri"/>
                <w:b/>
                <w:bCs/>
              </w:rPr>
              <w:t>)</w:t>
            </w:r>
          </w:p>
        </w:tc>
        <w:tc>
          <w:tcPr>
            <w:tcW w:w="5691" w:type="dxa"/>
          </w:tcPr>
          <w:p w14:paraId="59969D9A" w14:textId="338EC564" w:rsidR="0065450E" w:rsidRPr="000D58DB" w:rsidRDefault="00ED362E" w:rsidP="005808FC">
            <w:pPr>
              <w:spacing w:after="0"/>
              <w:rPr>
                <w:rFonts w:eastAsia="Calibri"/>
              </w:rPr>
            </w:pPr>
            <w:r w:rsidRPr="009D3F80">
              <w:rPr>
                <w:rFonts w:eastAsia="Calibri"/>
                <w:b/>
              </w:rPr>
              <w:t>0,201708 PJ</w:t>
            </w:r>
          </w:p>
        </w:tc>
      </w:tr>
      <w:tr w:rsidR="0065450E" w:rsidRPr="00922031" w14:paraId="2F4E8B72" w14:textId="77777777" w:rsidTr="005808FC">
        <w:trPr>
          <w:trHeight w:val="227"/>
        </w:trPr>
        <w:tc>
          <w:tcPr>
            <w:tcW w:w="3325" w:type="dxa"/>
            <w:shd w:val="clear" w:color="auto" w:fill="F2DBDB" w:themeFill="accent2" w:themeFillTint="33"/>
          </w:tcPr>
          <w:p w14:paraId="7B2850D0" w14:textId="77777777" w:rsidR="0065450E" w:rsidRPr="005808FC" w:rsidRDefault="0065450E" w:rsidP="005808FC">
            <w:pPr>
              <w:spacing w:after="0"/>
              <w:rPr>
                <w:rFonts w:eastAsia="Calibri"/>
                <w:b/>
                <w:bCs/>
              </w:rPr>
            </w:pPr>
            <w:r w:rsidRPr="00291DF5">
              <w:rPr>
                <w:rFonts w:eastAsia="Calibri"/>
                <w:b/>
                <w:bCs/>
              </w:rPr>
              <w:t>Procjena smanjenja emisije (t CO</w:t>
            </w:r>
            <w:r w:rsidRPr="005808FC">
              <w:rPr>
                <w:rFonts w:eastAsia="Calibri"/>
                <w:b/>
                <w:bCs/>
                <w:vertAlign w:val="subscript"/>
              </w:rPr>
              <w:t>2</w:t>
            </w:r>
            <w:r w:rsidRPr="005808FC">
              <w:rPr>
                <w:rFonts w:eastAsia="Calibri"/>
                <w:b/>
                <w:bCs/>
              </w:rPr>
              <w:t>)</w:t>
            </w:r>
          </w:p>
        </w:tc>
        <w:tc>
          <w:tcPr>
            <w:tcW w:w="5691" w:type="dxa"/>
          </w:tcPr>
          <w:p w14:paraId="54B1426F" w14:textId="469ACB73" w:rsidR="0065450E" w:rsidRPr="005808FC" w:rsidRDefault="0065450E" w:rsidP="005808FC">
            <w:pPr>
              <w:spacing w:after="0"/>
              <w:rPr>
                <w:rFonts w:eastAsia="Calibri"/>
                <w:b/>
              </w:rPr>
            </w:pPr>
            <w:r w:rsidRPr="00C73FF7">
              <w:rPr>
                <w:rFonts w:eastAsia="Calibri"/>
                <w:b/>
              </w:rPr>
              <w:t>145.079,9</w:t>
            </w:r>
          </w:p>
        </w:tc>
      </w:tr>
      <w:tr w:rsidR="00D43D20" w:rsidRPr="00922031" w14:paraId="4A6C374C" w14:textId="77777777" w:rsidTr="005808FC">
        <w:trPr>
          <w:trHeight w:val="227"/>
        </w:trPr>
        <w:tc>
          <w:tcPr>
            <w:tcW w:w="3325" w:type="dxa"/>
            <w:tcBorders>
              <w:bottom w:val="single" w:sz="4" w:space="0" w:color="000000"/>
            </w:tcBorders>
            <w:shd w:val="clear" w:color="auto" w:fill="F2DBDB" w:themeFill="accent2" w:themeFillTint="33"/>
          </w:tcPr>
          <w:p w14:paraId="759F79A6" w14:textId="77777777" w:rsidR="00D43D20" w:rsidRPr="005808FC" w:rsidRDefault="00D43D20" w:rsidP="005808FC">
            <w:pPr>
              <w:spacing w:after="0"/>
              <w:rPr>
                <w:rFonts w:eastAsia="Calibri"/>
                <w:b/>
                <w:bCs/>
              </w:rPr>
            </w:pPr>
            <w:r w:rsidRPr="00291DF5">
              <w:rPr>
                <w:rFonts w:eastAsia="Calibri"/>
                <w:b/>
                <w:bCs/>
              </w:rPr>
              <w:t>Izvor sredstava za provedbu</w:t>
            </w:r>
          </w:p>
        </w:tc>
        <w:tc>
          <w:tcPr>
            <w:tcW w:w="5691" w:type="dxa"/>
            <w:tcBorders>
              <w:bottom w:val="single" w:sz="4" w:space="0" w:color="000000"/>
            </w:tcBorders>
          </w:tcPr>
          <w:p w14:paraId="020AD536" w14:textId="2653BCED" w:rsidR="00D43D20" w:rsidRPr="005808FC" w:rsidRDefault="000D58DB" w:rsidP="005808FC">
            <w:pPr>
              <w:numPr>
                <w:ilvl w:val="0"/>
                <w:numId w:val="11"/>
              </w:numPr>
              <w:spacing w:after="0"/>
              <w:contextualSpacing/>
              <w:rPr>
                <w:rFonts w:eastAsia="Calibri"/>
              </w:rPr>
            </w:pPr>
            <w:r>
              <w:rPr>
                <w:rFonts w:eastAsia="Calibri"/>
              </w:rPr>
              <w:t>Europski strukturni i investicijski fondovi</w:t>
            </w:r>
            <w:r w:rsidR="00D43D20" w:rsidRPr="00291DF5">
              <w:rPr>
                <w:rFonts w:eastAsia="Calibri"/>
              </w:rPr>
              <w:t xml:space="preserve"> (ITU </w:t>
            </w:r>
            <w:r w:rsidR="00D43D20" w:rsidRPr="005808FC">
              <w:rPr>
                <w:rFonts w:eastAsia="Calibri"/>
              </w:rPr>
              <w:t>mehanizam)</w:t>
            </w:r>
          </w:p>
          <w:p w14:paraId="74A22E7D" w14:textId="77777777" w:rsidR="00D43D20" w:rsidRPr="005808FC" w:rsidRDefault="00D43D20" w:rsidP="005808FC">
            <w:pPr>
              <w:numPr>
                <w:ilvl w:val="0"/>
                <w:numId w:val="11"/>
              </w:numPr>
              <w:spacing w:after="0"/>
              <w:contextualSpacing/>
              <w:rPr>
                <w:rFonts w:eastAsia="Calibri"/>
              </w:rPr>
            </w:pPr>
            <w:r w:rsidRPr="005808FC">
              <w:rPr>
                <w:rFonts w:eastAsia="Calibri"/>
              </w:rPr>
              <w:t>Sredstva koncesionara</w:t>
            </w:r>
          </w:p>
          <w:p w14:paraId="0CDE6242" w14:textId="77777777" w:rsidR="00D43D20" w:rsidRPr="005808FC" w:rsidRDefault="00D43D20" w:rsidP="005808FC">
            <w:pPr>
              <w:numPr>
                <w:ilvl w:val="0"/>
                <w:numId w:val="11"/>
              </w:numPr>
              <w:spacing w:after="0"/>
              <w:contextualSpacing/>
              <w:rPr>
                <w:rFonts w:eastAsia="Calibri"/>
              </w:rPr>
            </w:pPr>
            <w:r w:rsidRPr="005808FC">
              <w:rPr>
                <w:rFonts w:eastAsia="Calibri"/>
              </w:rPr>
              <w:t>EIB</w:t>
            </w:r>
          </w:p>
        </w:tc>
      </w:tr>
      <w:tr w:rsidR="00D43D20" w:rsidRPr="00922031" w14:paraId="57D75019" w14:textId="77777777" w:rsidTr="005808FC">
        <w:trPr>
          <w:trHeight w:val="227"/>
        </w:trPr>
        <w:tc>
          <w:tcPr>
            <w:tcW w:w="3325" w:type="dxa"/>
            <w:tcBorders>
              <w:bottom w:val="single" w:sz="4" w:space="0" w:color="auto"/>
            </w:tcBorders>
            <w:shd w:val="clear" w:color="auto" w:fill="F2DBDB" w:themeFill="accent2" w:themeFillTint="33"/>
          </w:tcPr>
          <w:p w14:paraId="349236BA" w14:textId="77777777" w:rsidR="00D43D20" w:rsidRPr="005808FC" w:rsidRDefault="00D43D20" w:rsidP="005808FC">
            <w:pPr>
              <w:spacing w:after="0"/>
              <w:rPr>
                <w:rFonts w:eastAsia="Calibri"/>
                <w:b/>
                <w:bCs/>
              </w:rPr>
            </w:pPr>
            <w:r w:rsidRPr="00291DF5">
              <w:rPr>
                <w:rFonts w:eastAsia="Calibri"/>
                <w:b/>
                <w:bCs/>
              </w:rPr>
              <w:t>Kratki opis/komentar</w:t>
            </w:r>
          </w:p>
        </w:tc>
        <w:tc>
          <w:tcPr>
            <w:tcW w:w="5691" w:type="dxa"/>
            <w:tcBorders>
              <w:bottom w:val="single" w:sz="4" w:space="0" w:color="auto"/>
            </w:tcBorders>
          </w:tcPr>
          <w:p w14:paraId="490BDAB8" w14:textId="0685B5D4" w:rsidR="00ED362E" w:rsidRDefault="00D43D20" w:rsidP="000D58DB">
            <w:pPr>
              <w:spacing w:after="0"/>
              <w:contextualSpacing/>
              <w:jc w:val="left"/>
              <w:rPr>
                <w:rFonts w:eastAsia="Calibri"/>
              </w:rPr>
            </w:pPr>
            <w:r w:rsidRPr="00291DF5">
              <w:rPr>
                <w:rFonts w:eastAsia="Calibri"/>
              </w:rPr>
              <w:t xml:space="preserve">Ukupna dužina vrelovodne mreže je oko </w:t>
            </w:r>
            <w:r w:rsidR="00530DCA" w:rsidRPr="00291DF5">
              <w:rPr>
                <w:rFonts w:eastAsia="Calibri"/>
              </w:rPr>
              <w:t>2</w:t>
            </w:r>
            <w:r w:rsidR="00530DCA">
              <w:rPr>
                <w:rFonts w:eastAsia="Calibri"/>
              </w:rPr>
              <w:t>27,3</w:t>
            </w:r>
            <w:r w:rsidR="00530DCA" w:rsidRPr="00291DF5">
              <w:rPr>
                <w:rFonts w:eastAsia="Calibri"/>
              </w:rPr>
              <w:t xml:space="preserve"> </w:t>
            </w:r>
            <w:r w:rsidRPr="00291DF5">
              <w:rPr>
                <w:rFonts w:eastAsia="Calibri"/>
              </w:rPr>
              <w:t>km. Zbog starosti</w:t>
            </w:r>
            <w:r w:rsidR="000509A0">
              <w:rPr>
                <w:rFonts w:eastAsia="Calibri"/>
              </w:rPr>
              <w:t xml:space="preserve"> i </w:t>
            </w:r>
            <w:r w:rsidRPr="00291DF5">
              <w:rPr>
                <w:rFonts w:eastAsia="Calibri"/>
              </w:rPr>
              <w:t>dotrajalosti gubitci u sustavu su veliki. Tehnički toplinski gubitci su</w:t>
            </w:r>
            <w:r w:rsidR="000509A0">
              <w:rPr>
                <w:rFonts w:eastAsia="Calibri"/>
              </w:rPr>
              <w:t xml:space="preserve"> </w:t>
            </w:r>
            <w:r w:rsidR="00ED362E" w:rsidRPr="000D58DB">
              <w:rPr>
                <w:rFonts w:eastAsia="Calibri"/>
              </w:rPr>
              <w:t>u 2017. godini u CTS Zagreb iznosili su 210,28 GWh, odnosno 15,19% preuzete toplinske energije na ulazu u distribucijski sustav.</w:t>
            </w:r>
            <w:r w:rsidR="00ED362E">
              <w:rPr>
                <w:rFonts w:eastAsia="Calibri"/>
              </w:rPr>
              <w:t xml:space="preserve">. </w:t>
            </w:r>
            <w:r w:rsidR="00ED362E" w:rsidRPr="000D58DB">
              <w:rPr>
                <w:rFonts w:eastAsia="Calibri"/>
              </w:rPr>
              <w:t>Zbog puknuća vrelovoda 2017. godine gubici vode u sustavu, odnosno dodatna voda potrebna za nadopunu vrelovoda, iznosili su 1.235.723 m3. Indeks dodane vode na razini cijele mreže CTS-a grada Zagreba iznosio je 2017. godine 46,19.</w:t>
            </w:r>
            <w:r w:rsidR="00ED362E">
              <w:rPr>
                <w:rFonts w:eastAsia="Calibri"/>
              </w:rPr>
              <w:t xml:space="preserve"> </w:t>
            </w:r>
            <w:r w:rsidR="00ED362E" w:rsidRPr="000D58DB">
              <w:rPr>
                <w:rFonts w:eastAsia="Calibri"/>
              </w:rPr>
              <w:t xml:space="preserve">Osim gubitaka vode u sustavu, zbog puknuća vrelovoda dolazi i do hitnih intervencija u sustavu kako bi se sanirala nastala šteta te krajnjim kupcima omogućila neprekinuta opskrba toplinskom energijom. Kako bi se povećala sigurnost opskrbe te smanjili toplinski gubici i gubici vode pa posljedično i broj hitnih intervencija, potrebna je revitalizacija kritičnih dionica vrelovoda kojom bi se poboljšala trenutna </w:t>
            </w:r>
            <w:r w:rsidR="00CD1960">
              <w:rPr>
                <w:rFonts w:eastAsia="Calibri"/>
              </w:rPr>
              <w:t xml:space="preserve">izolacija cjevovoda korištenjem </w:t>
            </w:r>
            <w:r w:rsidR="00ED362E" w:rsidRPr="000D58DB">
              <w:rPr>
                <w:rFonts w:eastAsia="Calibri"/>
              </w:rPr>
              <w:t>tehnologije beskanalnog polaganja predizoliranih cijevi.  </w:t>
            </w:r>
          </w:p>
          <w:p w14:paraId="684A486C" w14:textId="4EBE76C2" w:rsidR="00D43D20" w:rsidRDefault="00D43D20" w:rsidP="005808FC">
            <w:pPr>
              <w:spacing w:after="0"/>
              <w:contextualSpacing/>
              <w:rPr>
                <w:rFonts w:eastAsia="Calibri"/>
              </w:rPr>
            </w:pPr>
            <w:r w:rsidRPr="00291DF5">
              <w:rPr>
                <w:rFonts w:eastAsia="Calibri"/>
              </w:rPr>
              <w:t xml:space="preserve">Glavni cilj </w:t>
            </w:r>
            <w:r w:rsidR="00ED362E">
              <w:rPr>
                <w:rFonts w:eastAsia="Calibri"/>
              </w:rPr>
              <w:t xml:space="preserve">mjere </w:t>
            </w:r>
            <w:r w:rsidRPr="00291DF5">
              <w:rPr>
                <w:rFonts w:eastAsia="Calibri"/>
              </w:rPr>
              <w:t>je smanjenje toplinskih gubitaka, gubitaka vode u sustavu, troškova održavanja mreže, povećanje raspoloživosti toplinske ener</w:t>
            </w:r>
            <w:r w:rsidRPr="005808FC">
              <w:rPr>
                <w:rFonts w:eastAsia="Calibri"/>
              </w:rPr>
              <w:t>gije povećanje pogonske sigurnosti cijelog sustava, od manjih ogranaka</w:t>
            </w:r>
            <w:r w:rsidR="000509A0">
              <w:rPr>
                <w:rFonts w:eastAsia="Calibri"/>
              </w:rPr>
              <w:t xml:space="preserve"> i </w:t>
            </w:r>
            <w:r w:rsidRPr="00291DF5">
              <w:rPr>
                <w:rFonts w:eastAsia="Calibri"/>
              </w:rPr>
              <w:t>priključaka pa do najvećih magistralnih cjevovoda</w:t>
            </w:r>
            <w:r w:rsidR="000509A0">
              <w:rPr>
                <w:rFonts w:eastAsia="Calibri"/>
              </w:rPr>
              <w:t xml:space="preserve"> i </w:t>
            </w:r>
            <w:r w:rsidRPr="00291DF5">
              <w:rPr>
                <w:rFonts w:eastAsia="Calibri"/>
              </w:rPr>
              <w:t xml:space="preserve">indirektno smanjenje </w:t>
            </w:r>
            <w:r w:rsidRPr="00291DF5">
              <w:rPr>
                <w:rFonts w:eastAsia="Calibri"/>
              </w:rPr>
              <w:lastRenderedPageBreak/>
              <w:t>emisije CO</w:t>
            </w:r>
            <w:r w:rsidRPr="000D58DB">
              <w:rPr>
                <w:rFonts w:eastAsia="Calibri"/>
              </w:rPr>
              <w:t>2</w:t>
            </w:r>
            <w:r w:rsidRPr="005808FC">
              <w:rPr>
                <w:rFonts w:eastAsia="Calibri"/>
              </w:rPr>
              <w:t xml:space="preserve">. Projekt je komplementaran s obnovom proizvodnog dijela sustava na Žitnjaku. </w:t>
            </w:r>
          </w:p>
          <w:p w14:paraId="380FF92F" w14:textId="445DDE28" w:rsidR="00D43D20" w:rsidRPr="005808FC" w:rsidRDefault="00923DA2" w:rsidP="005808FC">
            <w:pPr>
              <w:spacing w:after="0"/>
              <w:contextualSpacing/>
              <w:rPr>
                <w:rFonts w:eastAsia="Calibri"/>
              </w:rPr>
            </w:pPr>
            <w:r w:rsidRPr="000D58DB">
              <w:rPr>
                <w:rFonts w:eastAsia="Calibri"/>
              </w:rPr>
              <w:t xml:space="preserve">Provođenjem mjere </w:t>
            </w:r>
            <w:r w:rsidR="00732FEF" w:rsidRPr="000D58DB">
              <w:rPr>
                <w:rFonts w:eastAsia="Calibri"/>
              </w:rPr>
              <w:t xml:space="preserve">očekuju </w:t>
            </w:r>
            <w:r w:rsidRPr="000D58DB">
              <w:rPr>
                <w:rFonts w:eastAsia="Calibri"/>
              </w:rPr>
              <w:t xml:space="preserve">se </w:t>
            </w:r>
            <w:r w:rsidR="00732FEF" w:rsidRPr="000D58DB">
              <w:rPr>
                <w:rFonts w:eastAsia="Calibri"/>
              </w:rPr>
              <w:t>uštede s obzirom na energetsku učinkovitost u sustavu toplinarstva za 0,201708 PJ te smanjenje gubitaka topline u mrežama centralnog grijanja za 3,4 p.p., a što je u skladu i s mjerom 3.2.3. Izgradnja i unapređenje komunalne opremljenosti – javni sustav grijanja Strategije razvoja urbane aglomeracije Zagreb</w:t>
            </w:r>
            <w:r w:rsidRPr="000D58DB">
              <w:rPr>
                <w:rFonts w:eastAsia="Calibri"/>
              </w:rPr>
              <w:t xml:space="preserve">. </w:t>
            </w:r>
            <w:r w:rsidR="00D43D20" w:rsidRPr="00291DF5">
              <w:rPr>
                <w:rFonts w:eastAsia="Calibri"/>
              </w:rPr>
              <w:t xml:space="preserve">Predviđeno </w:t>
            </w:r>
            <w:r w:rsidR="005550EA">
              <w:rPr>
                <w:rFonts w:eastAsia="Calibri"/>
              </w:rPr>
              <w:t xml:space="preserve">ukupna vrijednost mjere je oko 573 milijuna kuna, a </w:t>
            </w:r>
            <w:r w:rsidR="00D43D20" w:rsidRPr="00291DF5">
              <w:rPr>
                <w:rFonts w:eastAsia="Calibri"/>
              </w:rPr>
              <w:t xml:space="preserve"> sufinanciranje projekta</w:t>
            </w:r>
            <w:r w:rsidR="005550EA">
              <w:rPr>
                <w:rFonts w:eastAsia="Calibri"/>
              </w:rPr>
              <w:t xml:space="preserve"> predviđeno je</w:t>
            </w:r>
            <w:r w:rsidR="00D43D20" w:rsidRPr="00291DF5">
              <w:rPr>
                <w:rFonts w:eastAsia="Calibri"/>
              </w:rPr>
              <w:t xml:space="preserve"> iz mehanizma integriranih teritorijalnih ulaganja, specifičnog cilja 4c3,</w:t>
            </w:r>
            <w:r w:rsidR="000509A0">
              <w:rPr>
                <w:rFonts w:eastAsia="Calibri"/>
              </w:rPr>
              <w:t xml:space="preserve"> i </w:t>
            </w:r>
            <w:r w:rsidR="00D43D20" w:rsidRPr="00291DF5">
              <w:rPr>
                <w:rFonts w:eastAsia="Calibri"/>
              </w:rPr>
              <w:t xml:space="preserve">to u iznosu od </w:t>
            </w:r>
            <w:r w:rsidR="005550EA">
              <w:rPr>
                <w:rFonts w:eastAsia="Calibri"/>
              </w:rPr>
              <w:t>4</w:t>
            </w:r>
            <w:r w:rsidR="005550EA" w:rsidRPr="00291DF5">
              <w:rPr>
                <w:rFonts w:eastAsia="Calibri"/>
              </w:rPr>
              <w:t xml:space="preserve">5 </w:t>
            </w:r>
            <w:r w:rsidR="00D43D20" w:rsidRPr="00291DF5">
              <w:rPr>
                <w:rFonts w:eastAsia="Calibri"/>
              </w:rPr>
              <w:t>m€. Rok završetka je 2023. g.</w:t>
            </w:r>
          </w:p>
        </w:tc>
      </w:tr>
    </w:tbl>
    <w:p w14:paraId="3A496724" w14:textId="1E911118" w:rsidR="00D43D20" w:rsidRDefault="00D43D20" w:rsidP="00975CD4">
      <w:pPr>
        <w:rPr>
          <w:rFonts w:cstheme="minorHAnsi"/>
        </w:rPr>
      </w:pPr>
    </w:p>
    <w:p w14:paraId="3E4994B2" w14:textId="77777777" w:rsidR="005550EA" w:rsidRPr="00922031" w:rsidRDefault="005550EA" w:rsidP="00975CD4">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D43D20" w:rsidRPr="00922031" w14:paraId="1695F56A"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2D06A1AD" w14:textId="77777777" w:rsidR="00D43D20" w:rsidRPr="005808FC" w:rsidRDefault="00D43D20" w:rsidP="005808FC">
            <w:pPr>
              <w:spacing w:after="0"/>
              <w:rPr>
                <w:rFonts w:eastAsia="Calibri"/>
                <w:b/>
                <w:bCs/>
              </w:rPr>
            </w:pPr>
            <w:r w:rsidRPr="00291DF5">
              <w:rPr>
                <w:rFonts w:eastAsia="Calibri"/>
                <w:b/>
                <w:bCs/>
              </w:rPr>
              <w:t>Redni broj</w:t>
            </w:r>
            <w:r w:rsidRPr="005808FC">
              <w:rPr>
                <w:rFonts w:eastAsia="Calibri"/>
                <w:b/>
                <w:bCs/>
              </w:rPr>
              <w:t xml:space="preserve"> mjere</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72753C44" w14:textId="50A3FC82" w:rsidR="00D43D20" w:rsidRPr="005808FC" w:rsidRDefault="00D43D20" w:rsidP="005808FC">
            <w:pPr>
              <w:spacing w:after="0"/>
              <w:rPr>
                <w:rFonts w:eastAsia="Calibri"/>
                <w:b/>
                <w:bCs/>
              </w:rPr>
            </w:pPr>
            <w:r w:rsidRPr="00291DF5">
              <w:rPr>
                <w:rFonts w:eastAsia="Calibri"/>
                <w:b/>
                <w:bCs/>
              </w:rPr>
              <w:t>2</w:t>
            </w:r>
            <w:r w:rsidR="00765F07" w:rsidRPr="005808FC">
              <w:rPr>
                <w:rFonts w:eastAsia="Calibri"/>
                <w:b/>
                <w:bCs/>
              </w:rPr>
              <w:t>3</w:t>
            </w:r>
          </w:p>
        </w:tc>
      </w:tr>
      <w:tr w:rsidR="00D43D20" w:rsidRPr="00922031" w14:paraId="6C5F81BE" w14:textId="77777777" w:rsidTr="005808FC">
        <w:trPr>
          <w:trHeight w:val="227"/>
        </w:trPr>
        <w:tc>
          <w:tcPr>
            <w:tcW w:w="3325" w:type="dxa"/>
            <w:shd w:val="clear" w:color="auto" w:fill="C6D9F1" w:themeFill="text2" w:themeFillTint="33"/>
          </w:tcPr>
          <w:p w14:paraId="11F4AEF7" w14:textId="77777777" w:rsidR="00D43D20" w:rsidRPr="005808FC" w:rsidRDefault="00D43D20" w:rsidP="005808FC">
            <w:pPr>
              <w:spacing w:after="0"/>
              <w:rPr>
                <w:rFonts w:eastAsia="Calibri"/>
                <w:b/>
                <w:bCs/>
              </w:rPr>
            </w:pPr>
            <w:r w:rsidRPr="00291DF5">
              <w:rPr>
                <w:rFonts w:eastAsia="Calibri"/>
                <w:b/>
                <w:bCs/>
              </w:rPr>
              <w:t>Ime mjere/aktivnost</w:t>
            </w:r>
          </w:p>
        </w:tc>
        <w:tc>
          <w:tcPr>
            <w:tcW w:w="5691" w:type="dxa"/>
            <w:shd w:val="clear" w:color="auto" w:fill="C6D9F1" w:themeFill="text2" w:themeFillTint="33"/>
          </w:tcPr>
          <w:p w14:paraId="72E8E9D5" w14:textId="77777777" w:rsidR="00D43D20" w:rsidRPr="005808FC" w:rsidRDefault="00D43D20" w:rsidP="005808FC">
            <w:pPr>
              <w:spacing w:after="0"/>
              <w:rPr>
                <w:rFonts w:eastAsia="Calibri"/>
                <w:b/>
                <w:bCs/>
              </w:rPr>
            </w:pPr>
            <w:r w:rsidRPr="00291DF5">
              <w:rPr>
                <w:rFonts w:eastAsia="Calibri"/>
                <w:b/>
                <w:bCs/>
              </w:rPr>
              <w:t>Korištenje geotermalnog potencijala u sklopu sustava daljinskog grijanja</w:t>
            </w:r>
          </w:p>
        </w:tc>
      </w:tr>
      <w:tr w:rsidR="00D43D20" w:rsidRPr="00922031" w14:paraId="5D04B27D" w14:textId="77777777" w:rsidTr="005808FC">
        <w:trPr>
          <w:trHeight w:val="227"/>
        </w:trPr>
        <w:tc>
          <w:tcPr>
            <w:tcW w:w="3325" w:type="dxa"/>
            <w:shd w:val="clear" w:color="auto" w:fill="F2DBDB" w:themeFill="accent2" w:themeFillTint="33"/>
          </w:tcPr>
          <w:p w14:paraId="27014F7C" w14:textId="77777777" w:rsidR="00D43D20" w:rsidRPr="005808FC" w:rsidRDefault="00D43D20" w:rsidP="005808FC">
            <w:pPr>
              <w:spacing w:after="0"/>
              <w:rPr>
                <w:rFonts w:eastAsia="Calibri"/>
                <w:b/>
                <w:bCs/>
              </w:rPr>
            </w:pPr>
            <w:r w:rsidRPr="00291DF5">
              <w:rPr>
                <w:rFonts w:eastAsia="Calibri"/>
                <w:b/>
                <w:bCs/>
              </w:rPr>
              <w:t>Nositelji aktivnosti :</w:t>
            </w:r>
          </w:p>
          <w:p w14:paraId="78530C74" w14:textId="77777777" w:rsidR="00D43D20" w:rsidRPr="00DF59AD" w:rsidRDefault="00D43D20" w:rsidP="00975CD4">
            <w:pPr>
              <w:spacing w:after="0"/>
              <w:rPr>
                <w:rFonts w:eastAsia="Calibri" w:cstheme="minorHAnsi"/>
                <w:b/>
              </w:rPr>
            </w:pPr>
          </w:p>
        </w:tc>
        <w:tc>
          <w:tcPr>
            <w:tcW w:w="5691" w:type="dxa"/>
          </w:tcPr>
          <w:p w14:paraId="2511B820" w14:textId="77777777" w:rsidR="00D43D20" w:rsidRPr="005808FC" w:rsidRDefault="00D43D20" w:rsidP="005808FC">
            <w:pPr>
              <w:numPr>
                <w:ilvl w:val="0"/>
                <w:numId w:val="10"/>
              </w:numPr>
              <w:spacing w:after="0"/>
              <w:contextualSpacing/>
              <w:rPr>
                <w:rFonts w:eastAsia="Calibri"/>
                <w:lang w:eastAsia="hr-HR"/>
              </w:rPr>
            </w:pPr>
            <w:r w:rsidRPr="00291DF5">
              <w:rPr>
                <w:rFonts w:eastAsia="Calibri"/>
                <w:lang w:eastAsia="hr-HR"/>
              </w:rPr>
              <w:t>HEP Toplinarstvo, d.o.o.</w:t>
            </w:r>
          </w:p>
          <w:p w14:paraId="33D17260" w14:textId="3F375D50" w:rsidR="00D43D20" w:rsidRPr="005808FC" w:rsidRDefault="00D43D20" w:rsidP="005808FC">
            <w:pPr>
              <w:numPr>
                <w:ilvl w:val="0"/>
                <w:numId w:val="10"/>
              </w:numPr>
              <w:spacing w:after="0"/>
              <w:contextualSpacing/>
              <w:rPr>
                <w:rFonts w:eastAsia="Calibri"/>
                <w:lang w:eastAsia="hr-HR"/>
              </w:rPr>
            </w:pPr>
            <w:r w:rsidRPr="005808FC">
              <w:rPr>
                <w:rFonts w:eastAsia="Calibri"/>
                <w:lang w:eastAsia="hr-HR"/>
              </w:rPr>
              <w:t>Gradski ured za gospodarstvo, energetiku</w:t>
            </w:r>
            <w:r w:rsidR="000509A0">
              <w:rPr>
                <w:rFonts w:eastAsia="Calibri"/>
                <w:lang w:eastAsia="hr-HR"/>
              </w:rPr>
              <w:t xml:space="preserve"> i </w:t>
            </w:r>
            <w:r w:rsidRPr="00291DF5">
              <w:rPr>
                <w:rFonts w:eastAsia="Calibri"/>
                <w:lang w:eastAsia="hr-HR"/>
              </w:rPr>
              <w:t>zaštitu okoliša</w:t>
            </w:r>
          </w:p>
          <w:p w14:paraId="051DA30C" w14:textId="77777777" w:rsidR="00D43D20" w:rsidRPr="005808FC" w:rsidRDefault="00D43D20" w:rsidP="005808FC">
            <w:pPr>
              <w:numPr>
                <w:ilvl w:val="0"/>
                <w:numId w:val="10"/>
              </w:numPr>
              <w:spacing w:after="0"/>
              <w:contextualSpacing/>
              <w:rPr>
                <w:rFonts w:eastAsia="Calibri"/>
                <w:lang w:eastAsia="hr-HR"/>
              </w:rPr>
            </w:pPr>
            <w:r w:rsidRPr="005808FC">
              <w:rPr>
                <w:rFonts w:eastAsia="Calibri"/>
                <w:lang w:eastAsia="hr-HR"/>
              </w:rPr>
              <w:t>Koncesionar Geotermalnog polja Zagreb</w:t>
            </w:r>
          </w:p>
        </w:tc>
      </w:tr>
      <w:tr w:rsidR="00D43D20" w:rsidRPr="00922031" w14:paraId="5133D205" w14:textId="77777777" w:rsidTr="005808FC">
        <w:trPr>
          <w:trHeight w:val="227"/>
        </w:trPr>
        <w:tc>
          <w:tcPr>
            <w:tcW w:w="3325" w:type="dxa"/>
            <w:shd w:val="clear" w:color="auto" w:fill="F2DBDB" w:themeFill="accent2" w:themeFillTint="33"/>
          </w:tcPr>
          <w:p w14:paraId="184048EB" w14:textId="77777777" w:rsidR="00D43D20" w:rsidRPr="005808FC" w:rsidRDefault="00D43D20" w:rsidP="005808FC">
            <w:pPr>
              <w:spacing w:after="0"/>
              <w:rPr>
                <w:rFonts w:eastAsia="Calibri"/>
                <w:b/>
                <w:bCs/>
              </w:rPr>
            </w:pPr>
            <w:r w:rsidRPr="005808FC">
              <w:rPr>
                <w:rFonts w:eastAsia="Calibri"/>
                <w:b/>
                <w:bCs/>
              </w:rPr>
              <w:t>Početak/kraj provedbe (godine)</w:t>
            </w:r>
          </w:p>
        </w:tc>
        <w:tc>
          <w:tcPr>
            <w:tcW w:w="5691" w:type="dxa"/>
          </w:tcPr>
          <w:p w14:paraId="753A1B3C" w14:textId="686FEE92" w:rsidR="00D43D20" w:rsidRPr="005808FC" w:rsidRDefault="00F86403" w:rsidP="005808FC">
            <w:pPr>
              <w:spacing w:after="0"/>
              <w:rPr>
                <w:rFonts w:eastAsia="Calibri"/>
                <w:b/>
              </w:rPr>
            </w:pPr>
            <w:r w:rsidRPr="005808FC">
              <w:rPr>
                <w:rFonts w:eastAsia="Calibri"/>
                <w:b/>
              </w:rPr>
              <w:t>2021-2030</w:t>
            </w:r>
          </w:p>
        </w:tc>
      </w:tr>
      <w:tr w:rsidR="00D43D20" w:rsidRPr="00922031" w14:paraId="78ACDD67" w14:textId="77777777" w:rsidTr="005808FC">
        <w:trPr>
          <w:trHeight w:val="227"/>
        </w:trPr>
        <w:tc>
          <w:tcPr>
            <w:tcW w:w="3325" w:type="dxa"/>
            <w:shd w:val="clear" w:color="auto" w:fill="F2DBDB" w:themeFill="accent2" w:themeFillTint="33"/>
          </w:tcPr>
          <w:p w14:paraId="25CAA9D4" w14:textId="4A038E85" w:rsidR="00D43D20" w:rsidRPr="005808FC" w:rsidRDefault="00D43D20" w:rsidP="005808FC">
            <w:pPr>
              <w:spacing w:after="0"/>
              <w:rPr>
                <w:rFonts w:eastAsia="Calibri"/>
                <w:b/>
                <w:bCs/>
              </w:rPr>
            </w:pPr>
            <w:r w:rsidRPr="00291DF5">
              <w:rPr>
                <w:rFonts w:eastAsia="Calibri"/>
                <w:b/>
                <w:bCs/>
              </w:rPr>
              <w:t>Procjena uštede (</w:t>
            </w:r>
            <w:r w:rsidR="00F86403" w:rsidRPr="005808FC">
              <w:rPr>
                <w:rFonts w:eastAsia="Calibri"/>
                <w:b/>
                <w:bCs/>
              </w:rPr>
              <w:t>M</w:t>
            </w:r>
            <w:r w:rsidR="00B25B9E" w:rsidRPr="00291DF5">
              <w:rPr>
                <w:rFonts w:eastAsia="Calibri"/>
                <w:b/>
                <w:bCs/>
              </w:rPr>
              <w:t>Wh</w:t>
            </w:r>
            <w:r w:rsidRPr="005808FC">
              <w:rPr>
                <w:rFonts w:eastAsia="Calibri"/>
                <w:b/>
                <w:bCs/>
              </w:rPr>
              <w:t>)</w:t>
            </w:r>
          </w:p>
        </w:tc>
        <w:tc>
          <w:tcPr>
            <w:tcW w:w="5691" w:type="dxa"/>
          </w:tcPr>
          <w:p w14:paraId="6AE1EF79" w14:textId="057F5099" w:rsidR="00D43D20" w:rsidRPr="005808FC" w:rsidRDefault="00DF59AD" w:rsidP="005808FC">
            <w:pPr>
              <w:spacing w:after="0"/>
              <w:rPr>
                <w:rFonts w:eastAsia="Calibri"/>
                <w:b/>
              </w:rPr>
            </w:pPr>
            <w:r w:rsidRPr="005808FC">
              <w:rPr>
                <w:rFonts w:eastAsia="Calibri"/>
                <w:b/>
              </w:rPr>
              <w:t>150</w:t>
            </w:r>
            <w:r w:rsidR="000509A0">
              <w:rPr>
                <w:rFonts w:eastAsia="Calibri"/>
                <w:b/>
              </w:rPr>
              <w:t>.</w:t>
            </w:r>
            <w:r w:rsidR="00F86403" w:rsidRPr="005808FC">
              <w:rPr>
                <w:rFonts w:eastAsia="Calibri"/>
                <w:b/>
              </w:rPr>
              <w:t>000</w:t>
            </w:r>
          </w:p>
        </w:tc>
      </w:tr>
      <w:tr w:rsidR="00D43D20" w:rsidRPr="00922031" w14:paraId="14F170C7" w14:textId="77777777" w:rsidTr="005808FC">
        <w:trPr>
          <w:trHeight w:val="227"/>
        </w:trPr>
        <w:tc>
          <w:tcPr>
            <w:tcW w:w="3325" w:type="dxa"/>
            <w:shd w:val="clear" w:color="auto" w:fill="F2DBDB" w:themeFill="accent2" w:themeFillTint="33"/>
          </w:tcPr>
          <w:p w14:paraId="1AB6C0B7" w14:textId="77777777" w:rsidR="00D43D20" w:rsidRPr="005808FC" w:rsidRDefault="00D43D20" w:rsidP="005808FC">
            <w:pPr>
              <w:spacing w:after="0"/>
              <w:rPr>
                <w:rFonts w:eastAsia="Calibri"/>
                <w:b/>
                <w:bCs/>
              </w:rPr>
            </w:pPr>
            <w:r w:rsidRPr="00291DF5">
              <w:rPr>
                <w:rFonts w:eastAsia="Calibri"/>
                <w:b/>
                <w:bCs/>
              </w:rPr>
              <w:t>Procjena smanjenja emisije (t CO</w:t>
            </w:r>
            <w:r w:rsidRPr="005808FC">
              <w:rPr>
                <w:rFonts w:eastAsia="Calibri"/>
                <w:b/>
                <w:bCs/>
                <w:vertAlign w:val="subscript"/>
              </w:rPr>
              <w:t>2</w:t>
            </w:r>
            <w:r w:rsidRPr="005808FC">
              <w:rPr>
                <w:rFonts w:eastAsia="Calibri"/>
                <w:b/>
                <w:bCs/>
              </w:rPr>
              <w:t>)</w:t>
            </w:r>
          </w:p>
        </w:tc>
        <w:tc>
          <w:tcPr>
            <w:tcW w:w="5691" w:type="dxa"/>
          </w:tcPr>
          <w:p w14:paraId="700BEF8A" w14:textId="4CECE148" w:rsidR="00D43D20" w:rsidRPr="005808FC" w:rsidRDefault="00DF59AD" w:rsidP="005808FC">
            <w:pPr>
              <w:spacing w:after="0"/>
              <w:rPr>
                <w:rFonts w:eastAsia="Calibri"/>
                <w:b/>
              </w:rPr>
            </w:pPr>
            <w:r w:rsidRPr="005808FC">
              <w:rPr>
                <w:rFonts w:eastAsia="Calibri"/>
                <w:b/>
              </w:rPr>
              <w:t>30</w:t>
            </w:r>
            <w:r w:rsidR="000509A0">
              <w:rPr>
                <w:rFonts w:eastAsia="Calibri"/>
                <w:b/>
              </w:rPr>
              <w:t>.</w:t>
            </w:r>
            <w:r w:rsidRPr="005808FC">
              <w:rPr>
                <w:rFonts w:eastAsia="Calibri"/>
                <w:b/>
              </w:rPr>
              <w:t>000</w:t>
            </w:r>
          </w:p>
        </w:tc>
      </w:tr>
      <w:tr w:rsidR="00D43D20" w:rsidRPr="00922031" w14:paraId="3E04B212" w14:textId="77777777" w:rsidTr="005808FC">
        <w:trPr>
          <w:trHeight w:val="227"/>
        </w:trPr>
        <w:tc>
          <w:tcPr>
            <w:tcW w:w="3325" w:type="dxa"/>
            <w:shd w:val="clear" w:color="auto" w:fill="F2DBDB" w:themeFill="accent2" w:themeFillTint="33"/>
          </w:tcPr>
          <w:p w14:paraId="180733C5" w14:textId="77777777" w:rsidR="00D43D20" w:rsidRPr="005808FC" w:rsidRDefault="00D43D20" w:rsidP="005808FC">
            <w:pPr>
              <w:spacing w:after="0"/>
              <w:rPr>
                <w:rFonts w:eastAsia="Calibri"/>
                <w:b/>
                <w:bCs/>
              </w:rPr>
            </w:pPr>
            <w:r w:rsidRPr="00291DF5">
              <w:rPr>
                <w:rFonts w:eastAsia="Calibri"/>
                <w:b/>
                <w:bCs/>
              </w:rPr>
              <w:t>Izvor sredstava za provedbu</w:t>
            </w:r>
          </w:p>
        </w:tc>
        <w:tc>
          <w:tcPr>
            <w:tcW w:w="5691" w:type="dxa"/>
          </w:tcPr>
          <w:p w14:paraId="6759C609" w14:textId="77777777" w:rsidR="00D43D20" w:rsidRPr="005808FC" w:rsidRDefault="00D43D20" w:rsidP="005808FC">
            <w:pPr>
              <w:numPr>
                <w:ilvl w:val="0"/>
                <w:numId w:val="11"/>
              </w:numPr>
              <w:spacing w:after="0"/>
              <w:contextualSpacing/>
              <w:rPr>
                <w:rFonts w:eastAsia="Calibri"/>
              </w:rPr>
            </w:pPr>
            <w:r w:rsidRPr="00291DF5">
              <w:rPr>
                <w:rFonts w:eastAsia="Calibri"/>
              </w:rPr>
              <w:t>Sredstva koncesionara</w:t>
            </w:r>
          </w:p>
          <w:p w14:paraId="7A0F2D52" w14:textId="77777777" w:rsidR="00D43D20" w:rsidRPr="005808FC" w:rsidRDefault="00D43D20" w:rsidP="005808FC">
            <w:pPr>
              <w:numPr>
                <w:ilvl w:val="0"/>
                <w:numId w:val="11"/>
              </w:numPr>
              <w:spacing w:after="0"/>
              <w:contextualSpacing/>
              <w:rPr>
                <w:rFonts w:eastAsia="Calibri"/>
              </w:rPr>
            </w:pPr>
            <w:r w:rsidRPr="005808FC">
              <w:rPr>
                <w:rFonts w:eastAsia="Calibri"/>
              </w:rPr>
              <w:t>H2020</w:t>
            </w:r>
          </w:p>
          <w:p w14:paraId="334A8BC4" w14:textId="77777777" w:rsidR="00D43D20" w:rsidRPr="005808FC" w:rsidRDefault="00D43D20" w:rsidP="005808FC">
            <w:pPr>
              <w:numPr>
                <w:ilvl w:val="0"/>
                <w:numId w:val="11"/>
              </w:numPr>
              <w:spacing w:after="0"/>
              <w:contextualSpacing/>
              <w:rPr>
                <w:rFonts w:eastAsia="Calibri"/>
              </w:rPr>
            </w:pPr>
            <w:r w:rsidRPr="005808FC">
              <w:rPr>
                <w:rFonts w:eastAsia="Calibri"/>
              </w:rPr>
              <w:t>JPP</w:t>
            </w:r>
          </w:p>
          <w:p w14:paraId="4DE0A41C" w14:textId="77777777" w:rsidR="00D43D20" w:rsidRPr="005808FC" w:rsidRDefault="00D43D20" w:rsidP="005808FC">
            <w:pPr>
              <w:numPr>
                <w:ilvl w:val="0"/>
                <w:numId w:val="11"/>
              </w:numPr>
              <w:spacing w:after="0"/>
              <w:contextualSpacing/>
              <w:rPr>
                <w:rFonts w:eastAsia="Calibri"/>
              </w:rPr>
            </w:pPr>
            <w:r w:rsidRPr="005808FC">
              <w:rPr>
                <w:rFonts w:eastAsia="Calibri"/>
              </w:rPr>
              <w:t>EIB</w:t>
            </w:r>
          </w:p>
        </w:tc>
      </w:tr>
      <w:tr w:rsidR="00D43D20" w:rsidRPr="00922031" w14:paraId="5A75483C" w14:textId="77777777" w:rsidTr="005808FC">
        <w:trPr>
          <w:trHeight w:val="227"/>
        </w:trPr>
        <w:tc>
          <w:tcPr>
            <w:tcW w:w="3325" w:type="dxa"/>
            <w:shd w:val="clear" w:color="auto" w:fill="F2DBDB" w:themeFill="accent2" w:themeFillTint="33"/>
          </w:tcPr>
          <w:p w14:paraId="55302598" w14:textId="77777777" w:rsidR="00D43D20" w:rsidRPr="005808FC" w:rsidRDefault="00D43D20" w:rsidP="005808FC">
            <w:pPr>
              <w:spacing w:after="0"/>
              <w:rPr>
                <w:rFonts w:eastAsia="Calibri"/>
                <w:b/>
                <w:bCs/>
              </w:rPr>
            </w:pPr>
            <w:r w:rsidRPr="00291DF5">
              <w:rPr>
                <w:rFonts w:eastAsia="Calibri"/>
                <w:b/>
                <w:bCs/>
              </w:rPr>
              <w:t>Kratki opis/komentar</w:t>
            </w:r>
          </w:p>
        </w:tc>
        <w:tc>
          <w:tcPr>
            <w:tcW w:w="5691" w:type="dxa"/>
          </w:tcPr>
          <w:p w14:paraId="25C6E614" w14:textId="457A0DF4" w:rsidR="00D43D20" w:rsidRPr="005808FC" w:rsidRDefault="00D43D20" w:rsidP="005808FC">
            <w:pPr>
              <w:spacing w:after="0"/>
              <w:contextualSpacing/>
              <w:rPr>
                <w:rFonts w:eastAsia="Calibri"/>
              </w:rPr>
            </w:pPr>
            <w:r w:rsidRPr="00291DF5">
              <w:rPr>
                <w:rFonts w:eastAsia="Calibri"/>
              </w:rPr>
              <w:t xml:space="preserve">Potencijal geotermalnog polja </w:t>
            </w:r>
            <w:r w:rsidRPr="005808FC">
              <w:rPr>
                <w:rFonts w:eastAsia="Calibri"/>
              </w:rPr>
              <w:t>Zagreb trenutno se koristi svega 3%. Geotermalno polje Zagreb je srednje-temperaturno ležište koje nije pogodno za troškovno učinkovitu proizvodnju električne energije, no idealnih je fizičkih parametara za kaskadno korištenje, između ostalog</w:t>
            </w:r>
            <w:r w:rsidR="000509A0">
              <w:rPr>
                <w:rFonts w:eastAsia="Calibri"/>
              </w:rPr>
              <w:t xml:space="preserve"> i </w:t>
            </w:r>
            <w:r w:rsidRPr="00291DF5">
              <w:rPr>
                <w:rFonts w:eastAsia="Calibri"/>
              </w:rPr>
              <w:t>za potre</w:t>
            </w:r>
            <w:r w:rsidRPr="005808FC">
              <w:rPr>
                <w:rFonts w:eastAsia="Calibri"/>
              </w:rPr>
              <w:t>be daljinskog grijanja. Samo polje je reverzibilnog tipa</w:t>
            </w:r>
            <w:r w:rsidR="000509A0">
              <w:rPr>
                <w:rFonts w:eastAsia="Calibri"/>
              </w:rPr>
              <w:t xml:space="preserve"> i </w:t>
            </w:r>
            <w:r w:rsidRPr="00291DF5">
              <w:rPr>
                <w:rFonts w:eastAsia="Calibri"/>
              </w:rPr>
              <w:t>funkcionira na principu proizvodnje geotermalne vode</w:t>
            </w:r>
            <w:r w:rsidR="000509A0">
              <w:rPr>
                <w:rFonts w:eastAsia="Calibri"/>
              </w:rPr>
              <w:t xml:space="preserve"> i </w:t>
            </w:r>
            <w:r w:rsidRPr="00291DF5">
              <w:rPr>
                <w:rFonts w:eastAsia="Calibri"/>
              </w:rPr>
              <w:t>ponovnog utiskivanja u ležište. Korištenje geotermalne energije visoko je na ljestvici prioriteta SET Plana (</w:t>
            </w:r>
            <w:r w:rsidRPr="00291DF5">
              <w:rPr>
                <w:rFonts w:eastAsia="Calibri"/>
                <w:i/>
                <w:iCs/>
              </w:rPr>
              <w:t>Strategic Energy Technology</w:t>
            </w:r>
            <w:r w:rsidRPr="005808FC">
              <w:rPr>
                <w:rFonts w:eastAsia="Calibri"/>
                <w:i/>
                <w:iCs/>
              </w:rPr>
              <w:t xml:space="preserve"> Plan</w:t>
            </w:r>
            <w:r w:rsidRPr="00291DF5">
              <w:rPr>
                <w:rFonts w:eastAsia="Calibri"/>
              </w:rPr>
              <w:t>). Sinergijom s sustavom daljinskog centralnog grijanja mogu se ostvariti znatne energetske uštede u vidu smanjenje potrošnje prirodnog plina</w:t>
            </w:r>
            <w:r w:rsidR="000509A0">
              <w:rPr>
                <w:rFonts w:eastAsia="Calibri"/>
              </w:rPr>
              <w:t xml:space="preserve"> i </w:t>
            </w:r>
            <w:r w:rsidRPr="00291DF5">
              <w:rPr>
                <w:rFonts w:eastAsia="Calibri"/>
              </w:rPr>
              <w:t>smanjenje emisije CO</w:t>
            </w:r>
            <w:r w:rsidRPr="005808FC">
              <w:rPr>
                <w:rFonts w:eastAsia="Calibri"/>
                <w:vertAlign w:val="subscript"/>
              </w:rPr>
              <w:t>2</w:t>
            </w:r>
            <w:r w:rsidRPr="005808FC">
              <w:rPr>
                <w:rFonts w:eastAsia="Calibri"/>
              </w:rPr>
              <w:t xml:space="preserve">. </w:t>
            </w:r>
          </w:p>
        </w:tc>
      </w:tr>
    </w:tbl>
    <w:p w14:paraId="64B1CA3E" w14:textId="3EBEE6A2" w:rsidR="00C4176C" w:rsidRPr="00922031" w:rsidRDefault="00B31F90" w:rsidP="0DFBE047">
      <w:pPr>
        <w:pStyle w:val="Heading1"/>
      </w:pPr>
      <w:bookmarkStart w:id="243" w:name="_Toc4156107"/>
      <w:r>
        <w:lastRenderedPageBreak/>
        <w:t xml:space="preserve">PRILAGODBA KLIMATSKIM PROMJENAMA (engl. </w:t>
      </w:r>
      <w:r w:rsidRPr="00291DF5">
        <w:rPr>
          <w:i/>
          <w:iCs/>
        </w:rPr>
        <w:t>Adaptation</w:t>
      </w:r>
      <w:r w:rsidRPr="0DFBE047">
        <w:t xml:space="preserve">) - </w:t>
      </w:r>
      <w:r w:rsidRPr="00922031">
        <w:t>P</w:t>
      </w:r>
      <w:r>
        <w:t>lan prioritetnih mjera za prilagodbu klimatskim promjenama</w:t>
      </w:r>
      <w:bookmarkEnd w:id="243"/>
    </w:p>
    <w:p w14:paraId="13A8AB4E" w14:textId="77777777" w:rsidR="009B3458" w:rsidRPr="00922031" w:rsidRDefault="009B3458" w:rsidP="00F264B1"/>
    <w:p w14:paraId="233ED2C3" w14:textId="1BE974A6" w:rsidR="00F264B1" w:rsidRPr="005808FC" w:rsidRDefault="00F264B1" w:rsidP="005808FC">
      <w:pPr>
        <w:pStyle w:val="NoSpacing"/>
        <w:spacing w:line="276" w:lineRule="auto"/>
        <w:rPr>
          <w:rFonts w:asciiTheme="minorHAnsi" w:hAnsiTheme="minorHAnsi" w:cstheme="minorBidi"/>
        </w:rPr>
      </w:pPr>
      <w:bookmarkStart w:id="244" w:name="_Toc493666254"/>
      <w:r w:rsidRPr="00291DF5">
        <w:rPr>
          <w:rFonts w:asciiTheme="minorHAnsi" w:hAnsiTheme="minorHAnsi" w:cstheme="minorBidi"/>
        </w:rPr>
        <w:t>Prilagodba klimatskim promjenama je Zakonom o zaštiti zraka (Narodne novine, broj 130/11, 47/14</w:t>
      </w:r>
      <w:r w:rsidR="000509A0">
        <w:rPr>
          <w:rFonts w:asciiTheme="minorHAnsi" w:hAnsiTheme="minorHAnsi" w:cstheme="minorBidi"/>
        </w:rPr>
        <w:t xml:space="preserve"> i </w:t>
      </w:r>
      <w:r w:rsidRPr="00291DF5">
        <w:rPr>
          <w:rFonts w:asciiTheme="minorHAnsi" w:hAnsiTheme="minorHAnsi" w:cstheme="minorBidi"/>
        </w:rPr>
        <w:t>61/17</w:t>
      </w:r>
      <w:r w:rsidR="00D05D04">
        <w:rPr>
          <w:rFonts w:asciiTheme="minorHAnsi" w:hAnsiTheme="minorHAnsi" w:cstheme="minorBidi"/>
        </w:rPr>
        <w:t>, 118/18</w:t>
      </w:r>
      <w:r w:rsidRPr="00291DF5">
        <w:rPr>
          <w:rFonts w:asciiTheme="minorHAnsi" w:hAnsiTheme="minorHAnsi" w:cstheme="minorBidi"/>
        </w:rPr>
        <w:t xml:space="preserve">) definirana kao proces koji </w:t>
      </w:r>
      <w:r w:rsidRPr="005808FC">
        <w:rPr>
          <w:rFonts w:asciiTheme="minorHAnsi" w:hAnsiTheme="minorHAnsi" w:cstheme="minorBidi"/>
        </w:rPr>
        <w:t>podrazumijeva procjenu štetnih utjecaja klimatskih promjena</w:t>
      </w:r>
      <w:r w:rsidR="000509A0">
        <w:rPr>
          <w:rFonts w:asciiTheme="minorHAnsi" w:hAnsiTheme="minorHAnsi" w:cstheme="minorBidi"/>
        </w:rPr>
        <w:t xml:space="preserve"> i </w:t>
      </w:r>
      <w:r w:rsidRPr="00291DF5">
        <w:rPr>
          <w:rFonts w:asciiTheme="minorHAnsi" w:hAnsiTheme="minorHAnsi" w:cstheme="minorBidi"/>
        </w:rPr>
        <w:t xml:space="preserve">poduzimanje primjerenih mjera s ciljem sprječavanja ili smanjenja potencijalne štete koje one mogu uzrokovati. </w:t>
      </w:r>
    </w:p>
    <w:p w14:paraId="2C5C15EC" w14:textId="77777777" w:rsidR="00FB71C2" w:rsidRDefault="00FB71C2" w:rsidP="00FB71C2">
      <w:pPr>
        <w:pStyle w:val="NoSpacing"/>
        <w:spacing w:line="276" w:lineRule="auto"/>
        <w:rPr>
          <w:rFonts w:asciiTheme="minorHAnsi" w:hAnsiTheme="minorHAnsi" w:cstheme="minorHAnsi"/>
        </w:rPr>
      </w:pPr>
    </w:p>
    <w:p w14:paraId="19E9D6CA" w14:textId="238B35D6" w:rsidR="008F1799" w:rsidRPr="005808FC" w:rsidRDefault="00F264B1" w:rsidP="005808FC">
      <w:pPr>
        <w:pStyle w:val="NoSpacing"/>
        <w:spacing w:line="276" w:lineRule="auto"/>
        <w:rPr>
          <w:rFonts w:asciiTheme="minorHAnsi" w:hAnsiTheme="minorHAnsi" w:cstheme="minorBidi"/>
        </w:rPr>
      </w:pPr>
      <w:r w:rsidRPr="00291DF5">
        <w:rPr>
          <w:rFonts w:asciiTheme="minorHAnsi" w:hAnsiTheme="minorHAnsi" w:cstheme="minorBidi"/>
        </w:rPr>
        <w:t>Prilagodba klimatskim promjenama</w:t>
      </w:r>
      <w:r w:rsidR="00CB3D7A" w:rsidRPr="005808FC">
        <w:rPr>
          <w:rFonts w:asciiTheme="minorHAnsi" w:hAnsiTheme="minorHAnsi" w:cstheme="minorBidi"/>
        </w:rPr>
        <w:t xml:space="preserve"> predstavlja obaveznu temu Akcijskog plana energetski održivog razvitka</w:t>
      </w:r>
      <w:r w:rsidR="000509A0">
        <w:rPr>
          <w:rFonts w:asciiTheme="minorHAnsi" w:hAnsiTheme="minorHAnsi" w:cstheme="minorBidi"/>
        </w:rPr>
        <w:t xml:space="preserve"> i </w:t>
      </w:r>
      <w:r w:rsidR="00CB3D7A" w:rsidRPr="00291DF5">
        <w:rPr>
          <w:rFonts w:asciiTheme="minorHAnsi" w:hAnsiTheme="minorHAnsi" w:cstheme="minorBidi"/>
        </w:rPr>
        <w:t xml:space="preserve">prilagodbe klimatskim promjenama. Aktivnosti vezane uz prilagodbu klimatskim promjenama usmjerene su prema </w:t>
      </w:r>
      <w:r w:rsidRPr="005808FC">
        <w:rPr>
          <w:rFonts w:asciiTheme="minorHAnsi" w:hAnsiTheme="minorHAnsi" w:cstheme="minorBidi"/>
        </w:rPr>
        <w:t>smanjenj</w:t>
      </w:r>
      <w:r w:rsidR="00CB3D7A" w:rsidRPr="005808FC">
        <w:rPr>
          <w:rFonts w:asciiTheme="minorHAnsi" w:hAnsiTheme="minorHAnsi" w:cstheme="minorBidi"/>
        </w:rPr>
        <w:t>u</w:t>
      </w:r>
      <w:r w:rsidRPr="005808FC">
        <w:rPr>
          <w:rFonts w:asciiTheme="minorHAnsi" w:hAnsiTheme="minorHAnsi" w:cstheme="minorBidi"/>
        </w:rPr>
        <w:t xml:space="preserve"> ranjivosti prirodnih</w:t>
      </w:r>
      <w:r w:rsidR="000509A0">
        <w:rPr>
          <w:rFonts w:asciiTheme="minorHAnsi" w:hAnsiTheme="minorHAnsi" w:cstheme="minorBidi"/>
        </w:rPr>
        <w:t xml:space="preserve"> i </w:t>
      </w:r>
      <w:r w:rsidRPr="00291DF5">
        <w:rPr>
          <w:rFonts w:asciiTheme="minorHAnsi" w:hAnsiTheme="minorHAnsi" w:cstheme="minorBidi"/>
        </w:rPr>
        <w:t>društvenih sustava na klimatske promjen</w:t>
      </w:r>
      <w:r w:rsidR="00FB71C2" w:rsidRPr="005808FC">
        <w:rPr>
          <w:rFonts w:asciiTheme="minorHAnsi" w:hAnsiTheme="minorHAnsi" w:cstheme="minorBidi"/>
        </w:rPr>
        <w:t>e</w:t>
      </w:r>
      <w:r w:rsidR="000509A0">
        <w:rPr>
          <w:rFonts w:asciiTheme="minorHAnsi" w:hAnsiTheme="minorHAnsi" w:cstheme="minorBidi"/>
        </w:rPr>
        <w:t xml:space="preserve"> i </w:t>
      </w:r>
      <w:r w:rsidRPr="00291DF5">
        <w:rPr>
          <w:rFonts w:asciiTheme="minorHAnsi" w:hAnsiTheme="minorHAnsi" w:cstheme="minorBidi"/>
        </w:rPr>
        <w:t>povećanj</w:t>
      </w:r>
      <w:r w:rsidR="00CB3D7A" w:rsidRPr="005808FC">
        <w:rPr>
          <w:rFonts w:asciiTheme="minorHAnsi" w:hAnsiTheme="minorHAnsi" w:cstheme="minorBidi"/>
        </w:rPr>
        <w:t>u</w:t>
      </w:r>
      <w:r w:rsidRPr="005808FC">
        <w:rPr>
          <w:rFonts w:asciiTheme="minorHAnsi" w:hAnsiTheme="minorHAnsi" w:cstheme="minorBidi"/>
        </w:rPr>
        <w:t xml:space="preserve"> njihove </w:t>
      </w:r>
      <w:r w:rsidR="00FB71C2" w:rsidRPr="005808FC">
        <w:rPr>
          <w:rFonts w:asciiTheme="minorHAnsi" w:hAnsiTheme="minorHAnsi" w:cstheme="minorBidi"/>
        </w:rPr>
        <w:t>otpornosti na</w:t>
      </w:r>
      <w:r w:rsidRPr="005808FC">
        <w:rPr>
          <w:rFonts w:asciiTheme="minorHAnsi" w:hAnsiTheme="minorHAnsi" w:cstheme="minorBidi"/>
        </w:rPr>
        <w:t xml:space="preserve"> </w:t>
      </w:r>
      <w:r w:rsidR="00FB71C2" w:rsidRPr="005808FC">
        <w:rPr>
          <w:rFonts w:asciiTheme="minorHAnsi" w:hAnsiTheme="minorHAnsi" w:cstheme="minorBidi"/>
        </w:rPr>
        <w:t>utjecaje</w:t>
      </w:r>
      <w:r w:rsidRPr="005808FC">
        <w:rPr>
          <w:rFonts w:asciiTheme="minorHAnsi" w:hAnsiTheme="minorHAnsi" w:cstheme="minorBidi"/>
        </w:rPr>
        <w:t xml:space="preserve"> klimatskih promjena, ali</w:t>
      </w:r>
      <w:r w:rsidR="000509A0">
        <w:rPr>
          <w:rFonts w:asciiTheme="minorHAnsi" w:hAnsiTheme="minorHAnsi" w:cstheme="minorBidi"/>
        </w:rPr>
        <w:t xml:space="preserve"> i </w:t>
      </w:r>
      <w:r w:rsidRPr="00291DF5">
        <w:rPr>
          <w:rFonts w:asciiTheme="minorHAnsi" w:hAnsiTheme="minorHAnsi" w:cstheme="minorBidi"/>
        </w:rPr>
        <w:t>iskorištavanja potencijalnih pozitivnih učinaka koji također mogu biti posljedica klimatskih promjena.</w:t>
      </w:r>
      <w:r w:rsidR="008F1799" w:rsidRPr="005808FC">
        <w:rPr>
          <w:rFonts w:asciiTheme="minorHAnsi" w:hAnsiTheme="minorHAnsi" w:cstheme="minorBidi"/>
        </w:rPr>
        <w:t xml:space="preserve"> </w:t>
      </w:r>
    </w:p>
    <w:p w14:paraId="7F818F7B" w14:textId="77777777" w:rsidR="008F1799" w:rsidRDefault="008F1799" w:rsidP="00FB71C2">
      <w:pPr>
        <w:pStyle w:val="NoSpacing"/>
        <w:spacing w:line="276" w:lineRule="auto"/>
        <w:rPr>
          <w:rFonts w:asciiTheme="minorHAnsi" w:hAnsiTheme="minorHAnsi" w:cstheme="minorHAnsi"/>
        </w:rPr>
      </w:pPr>
    </w:p>
    <w:p w14:paraId="4A39E71E" w14:textId="60207946" w:rsidR="00F264B1" w:rsidRPr="005808FC" w:rsidRDefault="0064403C" w:rsidP="005808FC">
      <w:pPr>
        <w:pStyle w:val="NoSpacing"/>
        <w:spacing w:line="276" w:lineRule="auto"/>
        <w:rPr>
          <w:rFonts w:asciiTheme="minorHAnsi" w:hAnsiTheme="minorHAnsi" w:cstheme="minorBidi"/>
        </w:rPr>
      </w:pPr>
      <w:r w:rsidRPr="00291DF5">
        <w:rPr>
          <w:rFonts w:asciiTheme="minorHAnsi" w:hAnsiTheme="minorHAnsi" w:cstheme="minorBidi"/>
        </w:rPr>
        <w:t>Prilagodba klimatskim promjenama</w:t>
      </w:r>
      <w:r w:rsidR="008F1799" w:rsidRPr="005808FC">
        <w:rPr>
          <w:rFonts w:asciiTheme="minorHAnsi" w:hAnsiTheme="minorHAnsi" w:cstheme="minorBidi"/>
        </w:rPr>
        <w:t xml:space="preserve"> je unutar SECAP-a razrađena</w:t>
      </w:r>
      <w:r w:rsidRPr="005808FC">
        <w:rPr>
          <w:rFonts w:asciiTheme="minorHAnsi" w:hAnsiTheme="minorHAnsi" w:cstheme="minorBidi"/>
        </w:rPr>
        <w:t xml:space="preserve"> kroz plan </w:t>
      </w:r>
      <w:r w:rsidR="008F1799" w:rsidRPr="005808FC">
        <w:rPr>
          <w:rFonts w:asciiTheme="minorHAnsi" w:hAnsiTheme="minorHAnsi" w:cstheme="minorBidi"/>
        </w:rPr>
        <w:t xml:space="preserve">mjera prilagodbe na klimatske promjene. </w:t>
      </w:r>
      <w:r w:rsidR="0074074B" w:rsidRPr="005808FC">
        <w:rPr>
          <w:rFonts w:asciiTheme="minorHAnsi" w:hAnsiTheme="minorHAnsi" w:cstheme="minorBidi"/>
        </w:rPr>
        <w:t xml:space="preserve">Mjere prilagodbe na klimatske promjene odgovor su na izrađenu </w:t>
      </w:r>
      <w:bookmarkStart w:id="245" w:name="_Hlk516144562"/>
      <w:r w:rsidR="0074074B" w:rsidRPr="005808FC">
        <w:rPr>
          <w:rFonts w:asciiTheme="minorHAnsi" w:hAnsiTheme="minorHAnsi" w:cstheme="minorBidi"/>
          <w:b/>
          <w:bCs/>
        </w:rPr>
        <w:t>A</w:t>
      </w:r>
      <w:r w:rsidR="008F1799" w:rsidRPr="005808FC">
        <w:rPr>
          <w:rFonts w:asciiTheme="minorHAnsi" w:hAnsiTheme="minorHAnsi" w:cstheme="minorBidi"/>
          <w:b/>
          <w:bCs/>
        </w:rPr>
        <w:t>naliz</w:t>
      </w:r>
      <w:r w:rsidR="0074074B" w:rsidRPr="005808FC">
        <w:rPr>
          <w:rFonts w:asciiTheme="minorHAnsi" w:hAnsiTheme="minorHAnsi" w:cstheme="minorBidi"/>
          <w:b/>
          <w:bCs/>
        </w:rPr>
        <w:t>u</w:t>
      </w:r>
      <w:r w:rsidR="008F1799" w:rsidRPr="005808FC">
        <w:rPr>
          <w:rFonts w:asciiTheme="minorHAnsi" w:hAnsiTheme="minorHAnsi" w:cstheme="minorBidi"/>
          <w:b/>
          <w:bCs/>
        </w:rPr>
        <w:t xml:space="preserve"> klime</w:t>
      </w:r>
      <w:r w:rsidR="000509A0">
        <w:rPr>
          <w:rFonts w:asciiTheme="minorHAnsi" w:hAnsiTheme="minorHAnsi" w:cstheme="minorBidi"/>
          <w:b/>
          <w:bCs/>
        </w:rPr>
        <w:t xml:space="preserve"> i </w:t>
      </w:r>
      <w:r w:rsidR="008F1799" w:rsidRPr="00291DF5">
        <w:rPr>
          <w:rFonts w:asciiTheme="minorHAnsi" w:hAnsiTheme="minorHAnsi" w:cstheme="minorBidi"/>
          <w:b/>
          <w:bCs/>
        </w:rPr>
        <w:t>klimatskih promjena u Gradu Zagrebu</w:t>
      </w:r>
      <w:r w:rsidR="008F1799" w:rsidRPr="005808FC">
        <w:rPr>
          <w:rFonts w:asciiTheme="minorHAnsi" w:hAnsiTheme="minorHAnsi" w:cstheme="minorBidi"/>
        </w:rPr>
        <w:t xml:space="preserve"> te</w:t>
      </w:r>
      <w:r w:rsidR="0074074B" w:rsidRPr="005808FC">
        <w:rPr>
          <w:rFonts w:asciiTheme="minorHAnsi" w:hAnsiTheme="minorHAnsi" w:cstheme="minorBidi"/>
        </w:rPr>
        <w:t xml:space="preserve"> </w:t>
      </w:r>
      <w:r w:rsidR="0074074B" w:rsidRPr="005808FC">
        <w:rPr>
          <w:rFonts w:asciiTheme="minorHAnsi" w:hAnsiTheme="minorHAnsi" w:cstheme="minorBidi"/>
          <w:b/>
          <w:bCs/>
        </w:rPr>
        <w:t>Analizu rizika</w:t>
      </w:r>
      <w:r w:rsidR="000509A0">
        <w:rPr>
          <w:rFonts w:asciiTheme="minorHAnsi" w:hAnsiTheme="minorHAnsi" w:cstheme="minorBidi"/>
          <w:b/>
          <w:bCs/>
        </w:rPr>
        <w:t xml:space="preserve"> i </w:t>
      </w:r>
      <w:r w:rsidR="0074074B" w:rsidRPr="00291DF5">
        <w:rPr>
          <w:rFonts w:asciiTheme="minorHAnsi" w:hAnsiTheme="minorHAnsi" w:cstheme="minorBidi"/>
          <w:b/>
          <w:bCs/>
        </w:rPr>
        <w:t>procjene ranjivosti pojedinih sektora na utjecaje klimatskih promjena</w:t>
      </w:r>
      <w:bookmarkEnd w:id="245"/>
      <w:r w:rsidR="008F1799" w:rsidRPr="005808FC">
        <w:rPr>
          <w:rFonts w:asciiTheme="minorHAnsi" w:hAnsiTheme="minorHAnsi" w:cstheme="minorBidi"/>
        </w:rPr>
        <w:t xml:space="preserve">. </w:t>
      </w:r>
      <w:r w:rsidR="0074074B" w:rsidRPr="005808FC">
        <w:rPr>
          <w:rFonts w:asciiTheme="minorHAnsi" w:hAnsiTheme="minorHAnsi" w:cstheme="minorBidi"/>
        </w:rPr>
        <w:t>Analiza klime</w:t>
      </w:r>
      <w:r w:rsidR="000509A0">
        <w:rPr>
          <w:rFonts w:asciiTheme="minorHAnsi" w:hAnsiTheme="minorHAnsi" w:cstheme="minorBidi"/>
        </w:rPr>
        <w:t xml:space="preserve"> i </w:t>
      </w:r>
      <w:r w:rsidR="0074074B" w:rsidRPr="00291DF5">
        <w:rPr>
          <w:rFonts w:asciiTheme="minorHAnsi" w:hAnsiTheme="minorHAnsi" w:cstheme="minorBidi"/>
        </w:rPr>
        <w:t>klimatskih promjena u Gradu Zagrebu te Analiza rizika</w:t>
      </w:r>
      <w:r w:rsidR="000509A0">
        <w:rPr>
          <w:rFonts w:asciiTheme="minorHAnsi" w:hAnsiTheme="minorHAnsi" w:cstheme="minorBidi"/>
        </w:rPr>
        <w:t xml:space="preserve"> i </w:t>
      </w:r>
      <w:r w:rsidR="0074074B" w:rsidRPr="00291DF5">
        <w:rPr>
          <w:rFonts w:asciiTheme="minorHAnsi" w:hAnsiTheme="minorHAnsi" w:cstheme="minorBidi"/>
        </w:rPr>
        <w:t>procjene ranjivosti pojedinih sektora na utjecaje klimatskih promjena</w:t>
      </w:r>
      <w:r w:rsidR="00316500" w:rsidRPr="005808FC">
        <w:rPr>
          <w:rFonts w:asciiTheme="minorHAnsi" w:hAnsiTheme="minorHAnsi" w:cstheme="minorBidi"/>
        </w:rPr>
        <w:t xml:space="preserve"> nalaze se unutar </w:t>
      </w:r>
      <w:r w:rsidR="00316500" w:rsidRPr="005808FC">
        <w:rPr>
          <w:rFonts w:asciiTheme="minorHAnsi" w:hAnsiTheme="minorHAnsi" w:cstheme="minorBidi"/>
          <w:i/>
          <w:iCs/>
        </w:rPr>
        <w:t>Priloga 8</w:t>
      </w:r>
      <w:r w:rsidR="00F12B79" w:rsidRPr="00291DF5">
        <w:rPr>
          <w:rFonts w:asciiTheme="minorHAnsi" w:hAnsiTheme="minorHAnsi" w:cstheme="minorBidi"/>
        </w:rPr>
        <w:t xml:space="preserve"> </w:t>
      </w:r>
      <w:r w:rsidR="00D05D04">
        <w:rPr>
          <w:rFonts w:asciiTheme="minorHAnsi" w:hAnsiTheme="minorHAnsi" w:cstheme="minorBidi"/>
        </w:rPr>
        <w:t>–</w:t>
      </w:r>
      <w:r w:rsidR="00F12B79" w:rsidRPr="00291DF5">
        <w:rPr>
          <w:rFonts w:asciiTheme="minorHAnsi" w:hAnsiTheme="minorHAnsi" w:cstheme="minorBidi"/>
        </w:rPr>
        <w:t xml:space="preserve"> </w:t>
      </w:r>
      <w:r w:rsidR="00982332" w:rsidRPr="005808FC">
        <w:rPr>
          <w:rFonts w:asciiTheme="minorHAnsi" w:hAnsiTheme="minorHAnsi" w:cstheme="minorBidi"/>
          <w:i/>
          <w:iCs/>
        </w:rPr>
        <w:t>Analiza klimatskih promjena, rizika</w:t>
      </w:r>
      <w:r w:rsidR="000509A0">
        <w:rPr>
          <w:rFonts w:asciiTheme="minorHAnsi" w:hAnsiTheme="minorHAnsi" w:cstheme="minorBidi"/>
          <w:i/>
          <w:iCs/>
        </w:rPr>
        <w:t xml:space="preserve"> i </w:t>
      </w:r>
      <w:r w:rsidR="00982332" w:rsidRPr="005808FC">
        <w:rPr>
          <w:rFonts w:asciiTheme="minorHAnsi" w:hAnsiTheme="minorHAnsi" w:cstheme="minorBidi"/>
          <w:i/>
          <w:iCs/>
        </w:rPr>
        <w:t>ranjivosti</w:t>
      </w:r>
      <w:r w:rsidR="00316500" w:rsidRPr="00291DF5">
        <w:rPr>
          <w:rFonts w:asciiTheme="minorHAnsi" w:hAnsiTheme="minorHAnsi" w:cstheme="minorBidi"/>
        </w:rPr>
        <w:t>.</w:t>
      </w:r>
    </w:p>
    <w:p w14:paraId="4ED8DF85" w14:textId="34A7D6FB" w:rsidR="0064403C" w:rsidRDefault="0064403C" w:rsidP="00FB71C2">
      <w:pPr>
        <w:pStyle w:val="NoSpacing"/>
        <w:spacing w:line="276" w:lineRule="auto"/>
        <w:rPr>
          <w:rFonts w:asciiTheme="minorHAnsi" w:hAnsiTheme="minorHAnsi" w:cstheme="minorHAnsi"/>
        </w:rPr>
      </w:pPr>
    </w:p>
    <w:p w14:paraId="25EF2849" w14:textId="25D0C7E7" w:rsidR="0011454E" w:rsidRPr="005808FC" w:rsidRDefault="0011454E" w:rsidP="005808FC">
      <w:pPr>
        <w:pStyle w:val="NoSpacing"/>
        <w:spacing w:line="276" w:lineRule="auto"/>
        <w:rPr>
          <w:rFonts w:asciiTheme="minorHAnsi" w:hAnsiTheme="minorHAnsi" w:cstheme="minorBidi"/>
        </w:rPr>
      </w:pPr>
      <w:r w:rsidRPr="00291DF5">
        <w:rPr>
          <w:rFonts w:asciiTheme="minorHAnsi" w:hAnsiTheme="minorHAnsi" w:cstheme="minorBidi"/>
        </w:rPr>
        <w:t xml:space="preserve">U </w:t>
      </w:r>
      <w:r w:rsidRPr="005808FC">
        <w:rPr>
          <w:rFonts w:asciiTheme="minorHAnsi" w:hAnsiTheme="minorHAnsi" w:cstheme="minorBidi"/>
          <w:i/>
          <w:iCs/>
        </w:rPr>
        <w:t>Prilogu 8</w:t>
      </w:r>
      <w:r w:rsidRPr="00291DF5">
        <w:rPr>
          <w:rFonts w:asciiTheme="minorHAnsi" w:hAnsiTheme="minorHAnsi" w:cstheme="minorBidi"/>
        </w:rPr>
        <w:t xml:space="preserve"> </w:t>
      </w:r>
      <w:r w:rsidR="00D05D04">
        <w:rPr>
          <w:rFonts w:asciiTheme="minorHAnsi" w:hAnsiTheme="minorHAnsi" w:cstheme="minorBidi"/>
        </w:rPr>
        <w:t>–</w:t>
      </w:r>
      <w:r w:rsidR="00982332" w:rsidRPr="005808FC">
        <w:rPr>
          <w:rFonts w:asciiTheme="minorHAnsi" w:hAnsiTheme="minorHAnsi" w:cstheme="minorBidi"/>
        </w:rPr>
        <w:t xml:space="preserve"> </w:t>
      </w:r>
      <w:r w:rsidR="00982332" w:rsidRPr="00291DF5">
        <w:rPr>
          <w:rFonts w:asciiTheme="minorHAnsi" w:hAnsiTheme="minorHAnsi" w:cstheme="minorBidi"/>
          <w:i/>
          <w:iCs/>
        </w:rPr>
        <w:t xml:space="preserve">Analiza </w:t>
      </w:r>
      <w:r w:rsidR="00982332" w:rsidRPr="005808FC">
        <w:rPr>
          <w:rFonts w:asciiTheme="minorHAnsi" w:hAnsiTheme="minorHAnsi" w:cstheme="minorBidi"/>
          <w:i/>
          <w:iCs/>
        </w:rPr>
        <w:t>klimatskih promjena, rizika</w:t>
      </w:r>
      <w:r w:rsidR="000509A0">
        <w:rPr>
          <w:rFonts w:asciiTheme="minorHAnsi" w:hAnsiTheme="minorHAnsi" w:cstheme="minorBidi"/>
          <w:i/>
          <w:iCs/>
        </w:rPr>
        <w:t xml:space="preserve"> i </w:t>
      </w:r>
      <w:r w:rsidR="00982332" w:rsidRPr="00291DF5">
        <w:rPr>
          <w:rFonts w:asciiTheme="minorHAnsi" w:hAnsiTheme="minorHAnsi" w:cstheme="minorBidi"/>
          <w:i/>
          <w:iCs/>
        </w:rPr>
        <w:t>ranjivosti</w:t>
      </w:r>
      <w:r w:rsidR="00982332" w:rsidRPr="00291DF5">
        <w:rPr>
          <w:rFonts w:asciiTheme="minorHAnsi" w:hAnsiTheme="minorHAnsi" w:cstheme="minorBidi"/>
        </w:rPr>
        <w:t xml:space="preserve"> , </w:t>
      </w:r>
      <w:r w:rsidRPr="005808FC">
        <w:rPr>
          <w:rFonts w:asciiTheme="minorHAnsi" w:hAnsiTheme="minorHAnsi" w:cstheme="minorBidi"/>
        </w:rPr>
        <w:t xml:space="preserve">iznesena je </w:t>
      </w:r>
      <w:r w:rsidR="00316500" w:rsidRPr="005808FC">
        <w:rPr>
          <w:rFonts w:asciiTheme="minorHAnsi" w:hAnsiTheme="minorHAnsi" w:cstheme="minorBidi"/>
        </w:rPr>
        <w:t>t</w:t>
      </w:r>
      <w:r w:rsidRPr="005808FC">
        <w:rPr>
          <w:rFonts w:asciiTheme="minorHAnsi" w:hAnsiTheme="minorHAnsi" w:cstheme="minorBidi"/>
        </w:rPr>
        <w:t>eorijska podloga vezana uz klimu</w:t>
      </w:r>
      <w:r w:rsidR="000509A0">
        <w:rPr>
          <w:rFonts w:asciiTheme="minorHAnsi" w:hAnsiTheme="minorHAnsi" w:cstheme="minorBidi"/>
        </w:rPr>
        <w:t xml:space="preserve"> i </w:t>
      </w:r>
      <w:r w:rsidRPr="00291DF5">
        <w:rPr>
          <w:rFonts w:asciiTheme="minorHAnsi" w:hAnsiTheme="minorHAnsi" w:cstheme="minorBidi"/>
        </w:rPr>
        <w:t xml:space="preserve">klimatske promjene te metodologija modeliranja klime na temelju kojih su izrađene Analize klimatskih promjena u Gradu Zagrebu </w:t>
      </w:r>
      <w:r w:rsidR="00316500" w:rsidRPr="005808FC">
        <w:rPr>
          <w:rFonts w:asciiTheme="minorHAnsi" w:hAnsiTheme="minorHAnsi" w:cstheme="minorBidi"/>
        </w:rPr>
        <w:t>te pripadajućih rizika</w:t>
      </w:r>
      <w:r w:rsidR="000509A0">
        <w:rPr>
          <w:rFonts w:asciiTheme="minorHAnsi" w:hAnsiTheme="minorHAnsi" w:cstheme="minorBidi"/>
        </w:rPr>
        <w:t xml:space="preserve"> i </w:t>
      </w:r>
      <w:r w:rsidR="00316500" w:rsidRPr="00291DF5">
        <w:rPr>
          <w:rFonts w:asciiTheme="minorHAnsi" w:hAnsiTheme="minorHAnsi" w:cstheme="minorBidi"/>
        </w:rPr>
        <w:t>ranjivos</w:t>
      </w:r>
      <w:r w:rsidR="00316500" w:rsidRPr="005808FC">
        <w:rPr>
          <w:rFonts w:asciiTheme="minorHAnsi" w:hAnsiTheme="minorHAnsi" w:cstheme="minorBidi"/>
        </w:rPr>
        <w:t>ti</w:t>
      </w:r>
      <w:r w:rsidR="00982332" w:rsidRPr="00291DF5">
        <w:rPr>
          <w:rFonts w:asciiTheme="minorHAnsi" w:hAnsiTheme="minorHAnsi" w:cstheme="minorBidi"/>
        </w:rPr>
        <w:t>. Sve analize vezane uz klimatske parametre</w:t>
      </w:r>
      <w:r w:rsidR="000509A0">
        <w:rPr>
          <w:rFonts w:asciiTheme="minorHAnsi" w:hAnsiTheme="minorHAnsi" w:cstheme="minorBidi"/>
        </w:rPr>
        <w:t xml:space="preserve"> i </w:t>
      </w:r>
      <w:r w:rsidR="00E16DFD" w:rsidRPr="00291DF5">
        <w:rPr>
          <w:rFonts w:asciiTheme="minorHAnsi" w:hAnsiTheme="minorHAnsi" w:cstheme="minorBidi"/>
        </w:rPr>
        <w:t>relevantne</w:t>
      </w:r>
      <w:r w:rsidR="00982332" w:rsidRPr="00291DF5">
        <w:rPr>
          <w:rFonts w:asciiTheme="minorHAnsi" w:hAnsiTheme="minorHAnsi" w:cstheme="minorBidi"/>
        </w:rPr>
        <w:t xml:space="preserve"> podloge, analize klimatskih </w:t>
      </w:r>
      <w:r w:rsidR="00982332" w:rsidRPr="005808FC">
        <w:rPr>
          <w:rFonts w:asciiTheme="minorHAnsi" w:hAnsiTheme="minorHAnsi" w:cstheme="minorBidi"/>
        </w:rPr>
        <w:t>promjena</w:t>
      </w:r>
      <w:r w:rsidR="000509A0">
        <w:rPr>
          <w:rFonts w:asciiTheme="minorHAnsi" w:hAnsiTheme="minorHAnsi" w:cstheme="minorBidi"/>
        </w:rPr>
        <w:t xml:space="preserve"> i </w:t>
      </w:r>
      <w:r w:rsidR="00982332" w:rsidRPr="00291DF5">
        <w:rPr>
          <w:rFonts w:asciiTheme="minorHAnsi" w:hAnsiTheme="minorHAnsi" w:cstheme="minorBidi"/>
        </w:rPr>
        <w:t xml:space="preserve">slično, iznesene su unutar </w:t>
      </w:r>
      <w:r w:rsidR="00982332" w:rsidRPr="005808FC">
        <w:rPr>
          <w:rFonts w:asciiTheme="minorHAnsi" w:hAnsiTheme="minorHAnsi" w:cstheme="minorBidi"/>
          <w:i/>
          <w:iCs/>
        </w:rPr>
        <w:t>Priloga 8</w:t>
      </w:r>
      <w:r w:rsidR="00982332" w:rsidRPr="00291DF5">
        <w:rPr>
          <w:rFonts w:asciiTheme="minorHAnsi" w:hAnsiTheme="minorHAnsi" w:cstheme="minorBidi"/>
          <w:i/>
          <w:iCs/>
        </w:rPr>
        <w:t xml:space="preserve"> </w:t>
      </w:r>
      <w:r w:rsidR="00D05D04">
        <w:rPr>
          <w:rFonts w:asciiTheme="minorHAnsi" w:hAnsiTheme="minorHAnsi" w:cstheme="minorBidi"/>
          <w:i/>
          <w:iCs/>
        </w:rPr>
        <w:t>–</w:t>
      </w:r>
      <w:r w:rsidR="00982332" w:rsidRPr="00291DF5">
        <w:rPr>
          <w:rFonts w:asciiTheme="minorHAnsi" w:hAnsiTheme="minorHAnsi" w:cstheme="minorBidi"/>
          <w:i/>
          <w:iCs/>
        </w:rPr>
        <w:t xml:space="preserve"> Analiza klimatskih promjena, rizika</w:t>
      </w:r>
      <w:r w:rsidR="000509A0">
        <w:rPr>
          <w:rFonts w:asciiTheme="minorHAnsi" w:hAnsiTheme="minorHAnsi" w:cstheme="minorBidi"/>
          <w:i/>
          <w:iCs/>
        </w:rPr>
        <w:t xml:space="preserve"> i </w:t>
      </w:r>
      <w:r w:rsidR="00982332" w:rsidRPr="00291DF5">
        <w:rPr>
          <w:rFonts w:asciiTheme="minorHAnsi" w:hAnsiTheme="minorHAnsi" w:cstheme="minorBidi"/>
          <w:i/>
          <w:iCs/>
        </w:rPr>
        <w:t>ranjivosti.</w:t>
      </w:r>
    </w:p>
    <w:p w14:paraId="601ECBD7" w14:textId="24918FF5" w:rsidR="006F376D" w:rsidRPr="00693B4B" w:rsidRDefault="00DB0FE4" w:rsidP="00693B4B">
      <w:pPr>
        <w:pStyle w:val="Heading2"/>
        <w:rPr>
          <w:rFonts w:cstheme="minorHAnsi"/>
        </w:rPr>
      </w:pPr>
      <w:bookmarkStart w:id="246" w:name="_Toc4156108"/>
      <w:bookmarkEnd w:id="244"/>
      <w:r w:rsidRPr="00D21C4A">
        <w:t xml:space="preserve">Mjere </w:t>
      </w:r>
      <w:r w:rsidR="00AD50CA" w:rsidRPr="00D21C4A">
        <w:t>prilagodbe</w:t>
      </w:r>
      <w:r w:rsidRPr="00D21C4A">
        <w:t xml:space="preserve"> klimatskim promjenama</w:t>
      </w:r>
      <w:r w:rsidR="00AD50CA" w:rsidRPr="00982332">
        <w:t xml:space="preserve"> iz sektora zgrad</w:t>
      </w:r>
      <w:r w:rsidR="00E16DFD">
        <w:t>a</w:t>
      </w:r>
      <w:r w:rsidR="00AD50CA" w:rsidRPr="00982332">
        <w:t>rstva</w:t>
      </w:r>
      <w:bookmarkEnd w:id="246"/>
    </w:p>
    <w:p w14:paraId="6A99C06A" w14:textId="199D4115" w:rsidR="00153C0D" w:rsidRPr="008514FE" w:rsidRDefault="00153C0D">
      <w:pPr>
        <w:pStyle w:val="ListParagraph"/>
        <w:ind w:left="0"/>
        <w:rPr>
          <w:rFonts w:eastAsia="Calibri"/>
        </w:rPr>
      </w:pPr>
      <w:r w:rsidRPr="008514FE">
        <w:rPr>
          <w:rFonts w:eastAsia="Calibri"/>
        </w:rPr>
        <w:t>Razvoj</w:t>
      </w:r>
      <w:r w:rsidR="000509A0" w:rsidRPr="008514FE">
        <w:rPr>
          <w:rFonts w:eastAsia="Calibri"/>
        </w:rPr>
        <w:t xml:space="preserve"> i </w:t>
      </w:r>
      <w:r w:rsidRPr="008514FE">
        <w:rPr>
          <w:rFonts w:eastAsia="Calibri"/>
        </w:rPr>
        <w:t>ulaganje u sektor zgradarstva konstantno je pod pritiskom promjene klimatskih uvjeta</w:t>
      </w:r>
      <w:r w:rsidR="00943072" w:rsidRPr="008514FE">
        <w:rPr>
          <w:rFonts w:eastAsia="Calibri"/>
        </w:rPr>
        <w:t xml:space="preserve"> i</w:t>
      </w:r>
      <w:r w:rsidRPr="008514FE">
        <w:rPr>
          <w:rFonts w:eastAsia="Calibri"/>
        </w:rPr>
        <w:t xml:space="preserve"> s njima povezanih ekstremnih vremenskih događaja. Zbog potrebe dugotrajnosti zgrada</w:t>
      </w:r>
      <w:r w:rsidR="000509A0" w:rsidRPr="008514FE">
        <w:rPr>
          <w:rFonts w:eastAsia="Calibri"/>
        </w:rPr>
        <w:t xml:space="preserve"> i </w:t>
      </w:r>
      <w:r w:rsidRPr="008514FE">
        <w:rPr>
          <w:rFonts w:eastAsia="Calibri"/>
        </w:rPr>
        <w:t>povezne infrastrukture, te njihove velike ekonomske vrijednosti, pripravnost</w:t>
      </w:r>
      <w:r w:rsidR="000509A0" w:rsidRPr="008514FE">
        <w:rPr>
          <w:rFonts w:eastAsia="Calibri"/>
        </w:rPr>
        <w:t xml:space="preserve"> i </w:t>
      </w:r>
      <w:r w:rsidRPr="008514FE">
        <w:rPr>
          <w:rFonts w:eastAsia="Calibri"/>
        </w:rPr>
        <w:t xml:space="preserve">otpornost na buduće utjecaje uzrokovane klimatskim promjenama je od iznimne važnosti.  </w:t>
      </w:r>
    </w:p>
    <w:p w14:paraId="33A9F1CA" w14:textId="55D042AC" w:rsidR="00153C0D" w:rsidRPr="008514FE" w:rsidRDefault="00153C0D" w:rsidP="00CC641E">
      <w:pPr>
        <w:pStyle w:val="ListParagraph"/>
        <w:ind w:left="0"/>
        <w:rPr>
          <w:rFonts w:eastAsia="Calibri"/>
        </w:rPr>
      </w:pPr>
      <w:r w:rsidRPr="008514FE">
        <w:rPr>
          <w:rFonts w:eastAsia="Calibri"/>
        </w:rPr>
        <w:t xml:space="preserve">Utjecaj klimatskih promjena </w:t>
      </w:r>
      <w:r w:rsidR="00943072" w:rsidRPr="008514FE">
        <w:rPr>
          <w:rFonts w:eastAsia="Calibri"/>
        </w:rPr>
        <w:t>posebno utječe</w:t>
      </w:r>
      <w:r w:rsidRPr="008514FE">
        <w:rPr>
          <w:rFonts w:eastAsia="Calibri"/>
        </w:rPr>
        <w:t xml:space="preserve"> na građevinsku industriju zbog očekivanog životnog vijeka građevina</w:t>
      </w:r>
      <w:r w:rsidR="000509A0" w:rsidRPr="008514FE">
        <w:rPr>
          <w:rFonts w:eastAsia="Calibri"/>
        </w:rPr>
        <w:t xml:space="preserve"> i </w:t>
      </w:r>
      <w:r w:rsidRPr="008514FE">
        <w:rPr>
          <w:rFonts w:eastAsia="Calibri"/>
        </w:rPr>
        <w:t>činjenice o nužnosti potrebe obnove postojećih građevina kako bi se iste mogle nositi s klimatskim uvjetima koji jesu ili će biti drugačiji od onih u vrijeme kada su projektirane</w:t>
      </w:r>
      <w:r w:rsidR="000509A0" w:rsidRPr="008514FE">
        <w:rPr>
          <w:rFonts w:eastAsia="Calibri"/>
        </w:rPr>
        <w:t xml:space="preserve"> i </w:t>
      </w:r>
      <w:r w:rsidRPr="008514FE">
        <w:rPr>
          <w:rFonts w:eastAsia="Calibri"/>
        </w:rPr>
        <w:t>građene. Glavni izazovi građevinskom sektoru</w:t>
      </w:r>
      <w:r w:rsidR="000509A0" w:rsidRPr="008514FE">
        <w:rPr>
          <w:rFonts w:eastAsia="Calibri"/>
        </w:rPr>
        <w:t xml:space="preserve"> i </w:t>
      </w:r>
      <w:r w:rsidRPr="008514FE">
        <w:rPr>
          <w:rFonts w:eastAsia="Calibri"/>
        </w:rPr>
        <w:t>zgradama koji zahtijevaju aktivnosti koje bi se trebale odviti u relativno kratkom vremenskom horizontu su:</w:t>
      </w:r>
    </w:p>
    <w:p w14:paraId="19ADABC6" w14:textId="25FEFE0E" w:rsidR="00153C0D" w:rsidRPr="008514FE" w:rsidRDefault="00153C0D" w:rsidP="005808FC">
      <w:pPr>
        <w:pStyle w:val="ListParagraph"/>
        <w:numPr>
          <w:ilvl w:val="0"/>
          <w:numId w:val="87"/>
        </w:numPr>
        <w:spacing w:after="0" w:line="240" w:lineRule="auto"/>
        <w:rPr>
          <w:rFonts w:eastAsia="Calibri"/>
        </w:rPr>
      </w:pPr>
      <w:r w:rsidRPr="008514FE">
        <w:rPr>
          <w:rFonts w:eastAsia="Calibri"/>
        </w:rPr>
        <w:t>Ekstremne količine oborina, uzrokujući npr. prodor vode, štetu na temeljima</w:t>
      </w:r>
      <w:r w:rsidR="000509A0" w:rsidRPr="008514FE">
        <w:rPr>
          <w:rFonts w:eastAsia="Calibri"/>
        </w:rPr>
        <w:t xml:space="preserve"> i </w:t>
      </w:r>
      <w:r w:rsidRPr="008514FE">
        <w:rPr>
          <w:rFonts w:eastAsia="Calibri"/>
        </w:rPr>
        <w:t>u podzemnim dijelovima građevina, uništenje građevina</w:t>
      </w:r>
      <w:r w:rsidR="000509A0" w:rsidRPr="008514FE">
        <w:rPr>
          <w:rFonts w:eastAsia="Calibri"/>
        </w:rPr>
        <w:t xml:space="preserve"> i </w:t>
      </w:r>
      <w:r w:rsidRPr="008514FE">
        <w:rPr>
          <w:rFonts w:eastAsia="Calibri"/>
        </w:rPr>
        <w:t>infrastrukture, itd.;</w:t>
      </w:r>
    </w:p>
    <w:p w14:paraId="36A39928" w14:textId="3E8DE18F" w:rsidR="00153C0D" w:rsidRPr="008514FE" w:rsidRDefault="00153C0D" w:rsidP="005808FC">
      <w:pPr>
        <w:pStyle w:val="ListParagraph"/>
        <w:numPr>
          <w:ilvl w:val="0"/>
          <w:numId w:val="87"/>
        </w:numPr>
        <w:spacing w:after="0" w:line="240" w:lineRule="auto"/>
        <w:rPr>
          <w:rFonts w:eastAsia="Calibri"/>
        </w:rPr>
      </w:pPr>
      <w:r w:rsidRPr="008514FE">
        <w:rPr>
          <w:rFonts w:eastAsia="Calibri"/>
        </w:rPr>
        <w:t>Ekstremni toplinski valovi, uzrokujući npr. zamor</w:t>
      </w:r>
      <w:r w:rsidR="000509A0" w:rsidRPr="008514FE">
        <w:rPr>
          <w:rFonts w:eastAsia="Calibri"/>
        </w:rPr>
        <w:t xml:space="preserve"> i </w:t>
      </w:r>
      <w:r w:rsidRPr="008514FE">
        <w:rPr>
          <w:rFonts w:eastAsia="Calibri"/>
        </w:rPr>
        <w:t>ubrzano starenje materijala, smanjenu ugodu stanovanja</w:t>
      </w:r>
      <w:r w:rsidR="000509A0" w:rsidRPr="008514FE">
        <w:rPr>
          <w:rFonts w:eastAsia="Calibri"/>
        </w:rPr>
        <w:t xml:space="preserve"> i </w:t>
      </w:r>
      <w:r w:rsidRPr="008514FE">
        <w:rPr>
          <w:rFonts w:eastAsia="Calibri"/>
        </w:rPr>
        <w:t>potencijalne negativne učinke na zdravlje ljudi, velike količine energije potrebne za hlađenje, itd.;</w:t>
      </w:r>
    </w:p>
    <w:p w14:paraId="3D375F49" w14:textId="77777777" w:rsidR="00153C0D" w:rsidRPr="006B1383" w:rsidRDefault="00153C0D" w:rsidP="005808FC">
      <w:pPr>
        <w:pStyle w:val="ListParagraph"/>
        <w:numPr>
          <w:ilvl w:val="0"/>
          <w:numId w:val="87"/>
        </w:numPr>
        <w:spacing w:after="0" w:line="240" w:lineRule="auto"/>
      </w:pPr>
      <w:r w:rsidRPr="00291DF5">
        <w:lastRenderedPageBreak/>
        <w:t>Izloženost građevin</w:t>
      </w:r>
      <w:r w:rsidRPr="005808FC">
        <w:t>a velikim količinama snježnih padavina;</w:t>
      </w:r>
    </w:p>
    <w:p w14:paraId="104F3F80" w14:textId="319AA08C" w:rsidR="00153C0D" w:rsidRPr="006B1383" w:rsidRDefault="00153C0D" w:rsidP="444D10F8">
      <w:pPr>
        <w:pStyle w:val="ListParagraph"/>
        <w:numPr>
          <w:ilvl w:val="0"/>
          <w:numId w:val="87"/>
        </w:numPr>
        <w:spacing w:after="0" w:line="240" w:lineRule="auto"/>
      </w:pPr>
      <w:r w:rsidRPr="006B1383">
        <w:t>Rizik od slijeganja tla, a ovisno o stabilnosti građevnih struktura</w:t>
      </w:r>
      <w:r w:rsidR="00943072">
        <w:t>,</w:t>
      </w:r>
      <w:r w:rsidR="000509A0">
        <w:t xml:space="preserve"> i </w:t>
      </w:r>
      <w:r w:rsidRPr="006B1383">
        <w:t>temelja</w:t>
      </w:r>
      <w:r w:rsidR="00943072" w:rsidRPr="00943072">
        <w:t xml:space="preserve"> </w:t>
      </w:r>
      <w:r w:rsidR="00943072" w:rsidRPr="006B1383">
        <w:t>se može povećati</w:t>
      </w:r>
      <w:r w:rsidRPr="006B1383">
        <w:t>.</w:t>
      </w:r>
    </w:p>
    <w:p w14:paraId="4B43CC05" w14:textId="77777777" w:rsidR="00153C0D" w:rsidRPr="006B1383" w:rsidRDefault="00153C0D" w:rsidP="00CC641E">
      <w:pPr>
        <w:pStyle w:val="ListParagraph"/>
        <w:ind w:left="0"/>
      </w:pPr>
    </w:p>
    <w:p w14:paraId="02F6B057" w14:textId="087C5277" w:rsidR="00153C0D" w:rsidRPr="008514FE" w:rsidRDefault="00153C0D" w:rsidP="00153C0D">
      <w:pPr>
        <w:autoSpaceDE w:val="0"/>
        <w:autoSpaceDN w:val="0"/>
        <w:adjustRightInd w:val="0"/>
      </w:pPr>
      <w:r w:rsidRPr="008514FE">
        <w:t xml:space="preserve">Zgrade mogu biti ranjive na klimatske promjene zbog načina na koji su projektirane (npr. niska otpornost na ekstremne vremenske događaje kao što su oluje) ili zbog lokacije na kojoj su izgrađene. </w:t>
      </w:r>
    </w:p>
    <w:p w14:paraId="1DB839E0" w14:textId="77777777" w:rsidR="00A35C91" w:rsidRPr="003D373D" w:rsidRDefault="00A35C91" w:rsidP="00A35C91">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A35C91" w:rsidRPr="003D373D" w14:paraId="293CBFE6" w14:textId="77777777" w:rsidTr="005808FC">
        <w:trPr>
          <w:trHeight w:val="350"/>
        </w:trPr>
        <w:tc>
          <w:tcPr>
            <w:tcW w:w="3325" w:type="dxa"/>
            <w:shd w:val="clear" w:color="auto" w:fill="C6D9F1" w:themeFill="text2" w:themeFillTint="33"/>
          </w:tcPr>
          <w:p w14:paraId="3F9114AD" w14:textId="77777777" w:rsidR="00A35C91" w:rsidRPr="005808FC" w:rsidRDefault="00A35C91">
            <w:pPr>
              <w:rPr>
                <w:b/>
                <w:bCs/>
              </w:rPr>
            </w:pPr>
            <w:r w:rsidRPr="00291DF5">
              <w:rPr>
                <w:b/>
                <w:bCs/>
              </w:rPr>
              <w:t>Redni broj mjere</w:t>
            </w:r>
          </w:p>
        </w:tc>
        <w:tc>
          <w:tcPr>
            <w:tcW w:w="5691" w:type="dxa"/>
            <w:shd w:val="clear" w:color="auto" w:fill="C6D9F1" w:themeFill="text2" w:themeFillTint="33"/>
          </w:tcPr>
          <w:p w14:paraId="3BD30392" w14:textId="77777777" w:rsidR="00A35C91" w:rsidRPr="005808FC" w:rsidRDefault="00A35C91">
            <w:pPr>
              <w:rPr>
                <w:rFonts w:eastAsia="Calibri"/>
                <w:b/>
                <w:bCs/>
              </w:rPr>
            </w:pPr>
            <w:r w:rsidRPr="00291DF5">
              <w:rPr>
                <w:rFonts w:eastAsia="Calibri"/>
                <w:b/>
                <w:bCs/>
              </w:rPr>
              <w:t>1</w:t>
            </w:r>
          </w:p>
        </w:tc>
      </w:tr>
      <w:tr w:rsidR="00A35C91" w:rsidRPr="003D373D" w14:paraId="193CEC55" w14:textId="77777777" w:rsidTr="005808FC">
        <w:trPr>
          <w:trHeight w:val="818"/>
        </w:trPr>
        <w:tc>
          <w:tcPr>
            <w:tcW w:w="3325" w:type="dxa"/>
            <w:shd w:val="clear" w:color="auto" w:fill="C6D9F1" w:themeFill="text2" w:themeFillTint="33"/>
          </w:tcPr>
          <w:p w14:paraId="1A9A9573" w14:textId="77777777" w:rsidR="00A35C91" w:rsidRPr="005808FC" w:rsidRDefault="00A35C91">
            <w:pPr>
              <w:rPr>
                <w:b/>
                <w:bCs/>
              </w:rPr>
            </w:pPr>
            <w:r w:rsidRPr="00291DF5">
              <w:rPr>
                <w:b/>
                <w:bCs/>
              </w:rPr>
              <w:br w:type="page"/>
              <w:t>Ime mjere/aktivnost</w:t>
            </w:r>
          </w:p>
        </w:tc>
        <w:tc>
          <w:tcPr>
            <w:tcW w:w="5691" w:type="dxa"/>
            <w:shd w:val="clear" w:color="auto" w:fill="C6D9F1" w:themeFill="text2" w:themeFillTint="33"/>
          </w:tcPr>
          <w:p w14:paraId="37642DC7" w14:textId="77777777" w:rsidR="00A35C91" w:rsidRPr="005808FC" w:rsidRDefault="00A35C91">
            <w:pPr>
              <w:rPr>
                <w:rFonts w:eastAsia="Calibri"/>
                <w:b/>
                <w:bCs/>
              </w:rPr>
            </w:pPr>
            <w:r w:rsidRPr="00291DF5">
              <w:rPr>
                <w:b/>
                <w:bCs/>
              </w:rPr>
              <w:t>Mapiranje</w:t>
            </w:r>
            <w:r w:rsidRPr="005808FC">
              <w:rPr>
                <w:b/>
                <w:bCs/>
              </w:rPr>
              <w:t xml:space="preserve"> građevina Grada Zagreba u svrhu određivanja potencijala primjene zelenih tehnologija </w:t>
            </w:r>
          </w:p>
        </w:tc>
      </w:tr>
      <w:tr w:rsidR="00A35C91" w:rsidRPr="003D373D" w14:paraId="1B7FB652" w14:textId="77777777" w:rsidTr="005808FC">
        <w:trPr>
          <w:trHeight w:val="227"/>
        </w:trPr>
        <w:tc>
          <w:tcPr>
            <w:tcW w:w="3325" w:type="dxa"/>
            <w:shd w:val="clear" w:color="auto" w:fill="F2DBDB" w:themeFill="accent2" w:themeFillTint="33"/>
          </w:tcPr>
          <w:p w14:paraId="514345D4" w14:textId="77777777" w:rsidR="00A35C91" w:rsidRPr="005808FC" w:rsidRDefault="00A35C91">
            <w:pPr>
              <w:rPr>
                <w:b/>
                <w:bCs/>
              </w:rPr>
            </w:pPr>
            <w:r w:rsidRPr="00291DF5">
              <w:rPr>
                <w:b/>
                <w:bCs/>
              </w:rPr>
              <w:t>Nositelj aktivnosti:</w:t>
            </w:r>
          </w:p>
        </w:tc>
        <w:tc>
          <w:tcPr>
            <w:tcW w:w="5691" w:type="dxa"/>
          </w:tcPr>
          <w:p w14:paraId="67F90E26" w14:textId="77777777" w:rsidR="00601D46" w:rsidRDefault="00601D46" w:rsidP="00601D46">
            <w:pPr>
              <w:numPr>
                <w:ilvl w:val="0"/>
                <w:numId w:val="9"/>
              </w:numPr>
              <w:spacing w:after="0"/>
              <w:ind w:left="496"/>
              <w:jc w:val="left"/>
            </w:pPr>
            <w:r w:rsidRPr="00291DF5">
              <w:t>Zavod za prostorno uređenje Grada Zagreba</w:t>
            </w:r>
          </w:p>
          <w:p w14:paraId="0FBB3227" w14:textId="79B3DA57" w:rsidR="00A35C91" w:rsidRPr="003D373D" w:rsidRDefault="00A35C91" w:rsidP="00601D46">
            <w:pPr>
              <w:spacing w:after="0"/>
              <w:ind w:left="482"/>
              <w:jc w:val="left"/>
            </w:pPr>
          </w:p>
        </w:tc>
      </w:tr>
      <w:tr w:rsidR="00A35C91" w:rsidRPr="003D373D" w14:paraId="77406460" w14:textId="77777777" w:rsidTr="005808FC">
        <w:trPr>
          <w:trHeight w:val="227"/>
        </w:trPr>
        <w:tc>
          <w:tcPr>
            <w:tcW w:w="3325" w:type="dxa"/>
            <w:shd w:val="clear" w:color="auto" w:fill="F2DBDB" w:themeFill="accent2" w:themeFillTint="33"/>
          </w:tcPr>
          <w:p w14:paraId="0D822B74" w14:textId="77777777" w:rsidR="00A35C91" w:rsidRPr="005808FC" w:rsidRDefault="00A35C91">
            <w:pPr>
              <w:rPr>
                <w:b/>
                <w:bCs/>
              </w:rPr>
            </w:pPr>
            <w:r w:rsidRPr="00291DF5">
              <w:rPr>
                <w:b/>
                <w:bCs/>
              </w:rPr>
              <w:t>Partneri u provođenju aktivnosti:</w:t>
            </w:r>
          </w:p>
        </w:tc>
        <w:tc>
          <w:tcPr>
            <w:tcW w:w="5691" w:type="dxa"/>
          </w:tcPr>
          <w:p w14:paraId="364281A6" w14:textId="6173A016" w:rsidR="00A35C91" w:rsidRPr="003D373D" w:rsidRDefault="00601D46" w:rsidP="005808FC">
            <w:pPr>
              <w:numPr>
                <w:ilvl w:val="0"/>
                <w:numId w:val="9"/>
              </w:numPr>
              <w:spacing w:after="0"/>
              <w:ind w:left="496"/>
              <w:jc w:val="left"/>
            </w:pPr>
            <w:r w:rsidRPr="00291DF5">
              <w:t>Gradski ured za strategijsko planiranje</w:t>
            </w:r>
            <w:r>
              <w:t xml:space="preserve"> i </w:t>
            </w:r>
            <w:r w:rsidRPr="00291DF5">
              <w:t>razvoj grada</w:t>
            </w:r>
            <w:r w:rsidRPr="00291DF5" w:rsidDel="00601D46">
              <w:t xml:space="preserve"> </w:t>
            </w:r>
            <w:r w:rsidR="00A35C91" w:rsidRPr="00291DF5">
              <w:t>Gradski ured za prostorno uređenje, izgradnju Grada, graditeljstvo, komunalne poslove</w:t>
            </w:r>
            <w:r w:rsidR="000509A0">
              <w:t xml:space="preserve"> i </w:t>
            </w:r>
            <w:r w:rsidR="00A35C91" w:rsidRPr="00291DF5">
              <w:t>promet</w:t>
            </w:r>
          </w:p>
          <w:p w14:paraId="30748FBA" w14:textId="43D7B7BB" w:rsidR="00A35C91" w:rsidRDefault="00A35C91"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02BAA4EC" w14:textId="77777777" w:rsidR="00A35C91" w:rsidRDefault="00A35C91" w:rsidP="005808FC">
            <w:pPr>
              <w:numPr>
                <w:ilvl w:val="0"/>
                <w:numId w:val="9"/>
              </w:numPr>
              <w:spacing w:after="0"/>
              <w:ind w:left="482" w:hanging="357"/>
              <w:jc w:val="left"/>
            </w:pPr>
            <w:r w:rsidRPr="00291DF5">
              <w:t>GSKG</w:t>
            </w:r>
          </w:p>
          <w:p w14:paraId="4D5596C0" w14:textId="77777777" w:rsidR="00A35C91" w:rsidRDefault="00A35C91" w:rsidP="005808FC">
            <w:pPr>
              <w:numPr>
                <w:ilvl w:val="0"/>
                <w:numId w:val="9"/>
              </w:numPr>
              <w:spacing w:after="0"/>
              <w:ind w:left="482" w:hanging="357"/>
              <w:jc w:val="left"/>
            </w:pPr>
            <w:r w:rsidRPr="00291DF5">
              <w:t>Zagrebački holding, d.o.o.</w:t>
            </w:r>
          </w:p>
          <w:p w14:paraId="5121625E" w14:textId="77777777" w:rsidR="00A35C91" w:rsidRDefault="00A35C91" w:rsidP="005808FC">
            <w:pPr>
              <w:numPr>
                <w:ilvl w:val="0"/>
                <w:numId w:val="9"/>
              </w:numPr>
              <w:spacing w:after="0"/>
              <w:ind w:left="496"/>
              <w:jc w:val="left"/>
            </w:pPr>
            <w:r w:rsidRPr="00291DF5">
              <w:t>REGEA</w:t>
            </w:r>
          </w:p>
          <w:p w14:paraId="67851340" w14:textId="563F0EDD" w:rsidR="00A21AB1" w:rsidRPr="003D373D" w:rsidDel="00436CBA" w:rsidRDefault="00A21AB1" w:rsidP="005808FC">
            <w:pPr>
              <w:numPr>
                <w:ilvl w:val="0"/>
                <w:numId w:val="9"/>
              </w:numPr>
              <w:spacing w:after="0"/>
              <w:ind w:left="496"/>
              <w:jc w:val="left"/>
            </w:pPr>
            <w:r>
              <w:t>Nastavni zavod za javno zdravstvo „Dr. Andrija Štampar“</w:t>
            </w:r>
          </w:p>
        </w:tc>
      </w:tr>
      <w:tr w:rsidR="00A35C91" w:rsidRPr="003D373D" w14:paraId="314726A5" w14:textId="77777777" w:rsidTr="005808FC">
        <w:trPr>
          <w:trHeight w:val="227"/>
        </w:trPr>
        <w:tc>
          <w:tcPr>
            <w:tcW w:w="3325" w:type="dxa"/>
            <w:shd w:val="clear" w:color="auto" w:fill="F2DBDB" w:themeFill="accent2" w:themeFillTint="33"/>
          </w:tcPr>
          <w:p w14:paraId="7C57A6D1" w14:textId="77777777" w:rsidR="00A35C91" w:rsidRPr="005808FC" w:rsidRDefault="00A35C91">
            <w:pPr>
              <w:rPr>
                <w:b/>
                <w:bCs/>
              </w:rPr>
            </w:pPr>
            <w:r w:rsidRPr="00291DF5">
              <w:rPr>
                <w:b/>
                <w:bCs/>
              </w:rPr>
              <w:t>Ostali uključeni dionici:</w:t>
            </w:r>
          </w:p>
        </w:tc>
        <w:tc>
          <w:tcPr>
            <w:tcW w:w="5691" w:type="dxa"/>
          </w:tcPr>
          <w:p w14:paraId="49A78827" w14:textId="77777777" w:rsidR="00A35C91" w:rsidRPr="003D373D" w:rsidRDefault="00A35C91" w:rsidP="005808FC">
            <w:pPr>
              <w:numPr>
                <w:ilvl w:val="0"/>
                <w:numId w:val="9"/>
              </w:numPr>
              <w:spacing w:after="0"/>
              <w:ind w:left="482" w:hanging="357"/>
              <w:jc w:val="left"/>
            </w:pPr>
            <w:r w:rsidRPr="00291DF5">
              <w:t>Sveučilište u Zagrebu</w:t>
            </w:r>
          </w:p>
          <w:p w14:paraId="3B1F0D1F" w14:textId="77777777" w:rsidR="00A35C91" w:rsidRPr="00005E2A" w:rsidRDefault="00A35C91" w:rsidP="005808FC">
            <w:pPr>
              <w:numPr>
                <w:ilvl w:val="0"/>
                <w:numId w:val="9"/>
              </w:numPr>
              <w:spacing w:after="0"/>
              <w:ind w:left="482" w:hanging="357"/>
              <w:jc w:val="left"/>
            </w:pPr>
            <w:r w:rsidRPr="00291DF5">
              <w:t>Upravitelji zgrada</w:t>
            </w:r>
          </w:p>
        </w:tc>
      </w:tr>
      <w:tr w:rsidR="00A35C91" w:rsidRPr="003D373D" w14:paraId="655EA4DD" w14:textId="77777777" w:rsidTr="005808FC">
        <w:trPr>
          <w:trHeight w:val="227"/>
        </w:trPr>
        <w:tc>
          <w:tcPr>
            <w:tcW w:w="3325" w:type="dxa"/>
            <w:shd w:val="clear" w:color="auto" w:fill="F2DBDB" w:themeFill="accent2" w:themeFillTint="33"/>
          </w:tcPr>
          <w:p w14:paraId="11A24D41" w14:textId="77777777" w:rsidR="00A35C91" w:rsidRPr="005808FC" w:rsidRDefault="00A35C91">
            <w:pPr>
              <w:rPr>
                <w:b/>
                <w:bCs/>
              </w:rPr>
            </w:pPr>
            <w:r w:rsidRPr="00291DF5">
              <w:rPr>
                <w:b/>
                <w:bCs/>
              </w:rPr>
              <w:t>Početak/kraj provedbe (godine)</w:t>
            </w:r>
          </w:p>
        </w:tc>
        <w:tc>
          <w:tcPr>
            <w:tcW w:w="5691" w:type="dxa"/>
          </w:tcPr>
          <w:p w14:paraId="1A7A6AC4" w14:textId="77777777" w:rsidR="00A35C91" w:rsidRPr="005808FC" w:rsidRDefault="00A35C91">
            <w:pPr>
              <w:rPr>
                <w:rFonts w:eastAsia="Calibri"/>
                <w:b/>
                <w:bCs/>
              </w:rPr>
            </w:pPr>
            <w:r w:rsidRPr="00291DF5">
              <w:rPr>
                <w:rFonts w:eastAsia="Calibri"/>
                <w:b/>
                <w:bCs/>
              </w:rPr>
              <w:t>2021- 2023</w:t>
            </w:r>
          </w:p>
        </w:tc>
      </w:tr>
      <w:tr w:rsidR="00A35C91" w:rsidRPr="003D373D" w14:paraId="30FBBEDF" w14:textId="77777777" w:rsidTr="005808FC">
        <w:trPr>
          <w:trHeight w:val="227"/>
        </w:trPr>
        <w:tc>
          <w:tcPr>
            <w:tcW w:w="3325" w:type="dxa"/>
            <w:shd w:val="clear" w:color="auto" w:fill="F2DBDB" w:themeFill="accent2" w:themeFillTint="33"/>
          </w:tcPr>
          <w:p w14:paraId="7AE78CF2" w14:textId="77777777" w:rsidR="00A35C91" w:rsidRPr="005808FC" w:rsidRDefault="00A35C91">
            <w:pPr>
              <w:rPr>
                <w:b/>
                <w:bCs/>
              </w:rPr>
            </w:pPr>
            <w:r w:rsidRPr="00291DF5">
              <w:rPr>
                <w:b/>
                <w:bCs/>
              </w:rPr>
              <w:t>Procjena troškova (jedinična ili ukupna po mjeri)</w:t>
            </w:r>
          </w:p>
        </w:tc>
        <w:tc>
          <w:tcPr>
            <w:tcW w:w="5691" w:type="dxa"/>
          </w:tcPr>
          <w:p w14:paraId="201717E0" w14:textId="77777777" w:rsidR="00A35C91" w:rsidRPr="005808FC" w:rsidRDefault="00A35C91">
            <w:pPr>
              <w:rPr>
                <w:rFonts w:eastAsia="Calibri"/>
              </w:rPr>
            </w:pPr>
            <w:r w:rsidRPr="00291DF5">
              <w:rPr>
                <w:rFonts w:eastAsia="Calibri"/>
                <w:b/>
                <w:bCs/>
              </w:rPr>
              <w:t>2.500.000</w:t>
            </w:r>
          </w:p>
        </w:tc>
      </w:tr>
      <w:tr w:rsidR="00A35C91" w:rsidRPr="003D373D" w14:paraId="12A4586A" w14:textId="77777777" w:rsidTr="005808FC">
        <w:trPr>
          <w:trHeight w:val="227"/>
        </w:trPr>
        <w:tc>
          <w:tcPr>
            <w:tcW w:w="3325" w:type="dxa"/>
            <w:shd w:val="clear" w:color="auto" w:fill="F2DBDB" w:themeFill="accent2" w:themeFillTint="33"/>
          </w:tcPr>
          <w:p w14:paraId="44D64A54" w14:textId="77777777" w:rsidR="00A35C91" w:rsidRPr="005808FC" w:rsidRDefault="00A35C91">
            <w:pPr>
              <w:rPr>
                <w:b/>
                <w:bCs/>
              </w:rPr>
            </w:pPr>
            <w:r w:rsidRPr="00291DF5">
              <w:rPr>
                <w:b/>
                <w:bCs/>
              </w:rPr>
              <w:t>Izvor sredstava za provedbu</w:t>
            </w:r>
          </w:p>
        </w:tc>
        <w:tc>
          <w:tcPr>
            <w:tcW w:w="5691" w:type="dxa"/>
          </w:tcPr>
          <w:p w14:paraId="6BEE3FC5" w14:textId="77777777" w:rsidR="00A35C91" w:rsidRPr="003D373D" w:rsidRDefault="00A35C91" w:rsidP="005808FC">
            <w:pPr>
              <w:numPr>
                <w:ilvl w:val="0"/>
                <w:numId w:val="9"/>
              </w:numPr>
              <w:spacing w:after="0"/>
              <w:ind w:left="482" w:hanging="357"/>
              <w:jc w:val="left"/>
            </w:pPr>
            <w:r w:rsidRPr="00291DF5">
              <w:t>Proračun Grada Zagreba</w:t>
            </w:r>
          </w:p>
          <w:p w14:paraId="2E115ECE" w14:textId="77777777" w:rsidR="00A35C91" w:rsidRPr="003D373D" w:rsidRDefault="00A35C91" w:rsidP="005808FC">
            <w:pPr>
              <w:numPr>
                <w:ilvl w:val="0"/>
                <w:numId w:val="9"/>
              </w:numPr>
              <w:spacing w:after="0"/>
              <w:ind w:left="482" w:hanging="357"/>
              <w:jc w:val="left"/>
            </w:pPr>
            <w:r w:rsidRPr="00291DF5">
              <w:t>Programi EU</w:t>
            </w:r>
          </w:p>
          <w:p w14:paraId="6B6ED096" w14:textId="626CC48E" w:rsidR="00A35C91" w:rsidRPr="003D373D" w:rsidRDefault="00C42B1B" w:rsidP="005808FC">
            <w:pPr>
              <w:numPr>
                <w:ilvl w:val="0"/>
                <w:numId w:val="9"/>
              </w:numPr>
              <w:spacing w:after="0"/>
              <w:ind w:left="482" w:hanging="357"/>
              <w:jc w:val="left"/>
            </w:pPr>
            <w:r>
              <w:t>Europski strukturni i investicijski fondovi</w:t>
            </w:r>
          </w:p>
          <w:p w14:paraId="1544FCD6" w14:textId="77777777" w:rsidR="00A35C91" w:rsidRPr="003D373D" w:rsidRDefault="00A35C91" w:rsidP="005808FC">
            <w:pPr>
              <w:numPr>
                <w:ilvl w:val="0"/>
                <w:numId w:val="9"/>
              </w:numPr>
              <w:spacing w:after="0"/>
              <w:ind w:left="482" w:hanging="357"/>
              <w:jc w:val="left"/>
            </w:pPr>
            <w:r w:rsidRPr="00291DF5">
              <w:t>FZOEU</w:t>
            </w:r>
          </w:p>
        </w:tc>
      </w:tr>
      <w:tr w:rsidR="00A35C91" w:rsidRPr="003D373D" w14:paraId="5D895CDD" w14:textId="77777777" w:rsidTr="005808FC">
        <w:trPr>
          <w:trHeight w:val="710"/>
        </w:trPr>
        <w:tc>
          <w:tcPr>
            <w:tcW w:w="3325" w:type="dxa"/>
            <w:shd w:val="clear" w:color="auto" w:fill="F2DBDB" w:themeFill="accent2" w:themeFillTint="33"/>
          </w:tcPr>
          <w:p w14:paraId="45E0969A" w14:textId="77777777" w:rsidR="00A35C91" w:rsidRPr="005808FC" w:rsidRDefault="00A35C91">
            <w:pPr>
              <w:rPr>
                <w:b/>
                <w:bCs/>
              </w:rPr>
            </w:pPr>
            <w:r w:rsidRPr="00291DF5">
              <w:rPr>
                <w:b/>
                <w:bCs/>
              </w:rPr>
              <w:t>Kratki opis/komentar</w:t>
            </w:r>
          </w:p>
        </w:tc>
        <w:tc>
          <w:tcPr>
            <w:tcW w:w="5691" w:type="dxa"/>
          </w:tcPr>
          <w:p w14:paraId="53FE5F58" w14:textId="19F4AC4F" w:rsidR="00A35C91" w:rsidRDefault="00A35C91">
            <w:pPr>
              <w:autoSpaceDE w:val="0"/>
              <w:autoSpaceDN w:val="0"/>
              <w:adjustRightInd w:val="0"/>
            </w:pPr>
            <w:r w:rsidRPr="005808FC">
              <w:rPr>
                <w:bCs/>
              </w:rPr>
              <w:t>Cilj mjere je analizirati</w:t>
            </w:r>
            <w:r w:rsidR="000509A0">
              <w:rPr>
                <w:bCs/>
              </w:rPr>
              <w:t xml:space="preserve"> i </w:t>
            </w:r>
            <w:r w:rsidRPr="005808FC">
              <w:rPr>
                <w:bCs/>
              </w:rPr>
              <w:t>dokumentirati potencijal primjene zelenih tehnologija na javnim, višestambenim</w:t>
            </w:r>
            <w:r w:rsidR="000509A0">
              <w:rPr>
                <w:bCs/>
              </w:rPr>
              <w:t xml:space="preserve"> i </w:t>
            </w:r>
            <w:r w:rsidRPr="005808FC">
              <w:rPr>
                <w:bCs/>
              </w:rPr>
              <w:t>komercijalnim zgradama.</w:t>
            </w:r>
            <w:r w:rsidRPr="00291DF5">
              <w:t xml:space="preserve"> Mapiranje treba</w:t>
            </w:r>
            <w:r w:rsidR="00A21AB1">
              <w:t xml:space="preserve">, </w:t>
            </w:r>
            <w:r w:rsidR="00A21AB1" w:rsidRPr="00291DF5">
              <w:t xml:space="preserve">treba </w:t>
            </w:r>
            <w:r w:rsidR="00A21AB1">
              <w:t>na temelju prethodne procjene mikroklimatskih uvjeta objekata i lokacije</w:t>
            </w:r>
            <w:r w:rsidRPr="00291DF5">
              <w:t xml:space="preserve"> pokazati područja</w:t>
            </w:r>
            <w:r w:rsidR="000509A0">
              <w:t xml:space="preserve"> i </w:t>
            </w:r>
            <w:r w:rsidRPr="00291DF5">
              <w:t xml:space="preserve">zgrade na kojima je moguće </w:t>
            </w:r>
            <w:r w:rsidRPr="005808FC">
              <w:t>primijeniti tehnologiju zelenih krovova</w:t>
            </w:r>
            <w:r w:rsidR="000509A0">
              <w:t xml:space="preserve"> i </w:t>
            </w:r>
            <w:r w:rsidRPr="00291DF5">
              <w:t>zelenih pročelja. Analiza treba obuhvatiti</w:t>
            </w:r>
            <w:r w:rsidR="000509A0">
              <w:t xml:space="preserve"> i </w:t>
            </w:r>
            <w:r w:rsidRPr="00291DF5">
              <w:t xml:space="preserve">prijedlog korištenja biljnih vrsta </w:t>
            </w:r>
            <w:r w:rsidR="00A21AB1">
              <w:t xml:space="preserve">najnižeg alergenog potencijala </w:t>
            </w:r>
            <w:r w:rsidRPr="00291DF5">
              <w:t xml:space="preserve">koje su najprimjerenije za podneblje grada </w:t>
            </w:r>
            <w:r w:rsidRPr="00291DF5">
              <w:lastRenderedPageBreak/>
              <w:t>Zagreba</w:t>
            </w:r>
            <w:r w:rsidR="000509A0">
              <w:t xml:space="preserve"> i </w:t>
            </w:r>
            <w:r w:rsidRPr="00291DF5">
              <w:t>koje će biti najefikasnije u postizanju optimalnih učinaka, koja su tehn</w:t>
            </w:r>
            <w:r w:rsidRPr="005808FC">
              <w:t>ička ograničenja</w:t>
            </w:r>
            <w:r w:rsidR="000509A0">
              <w:t xml:space="preserve"> i </w:t>
            </w:r>
            <w:r w:rsidRPr="00291DF5">
              <w:t>mogućnosti</w:t>
            </w:r>
            <w:r w:rsidR="000509A0">
              <w:t xml:space="preserve"> i </w:t>
            </w:r>
            <w:r w:rsidRPr="00291DF5">
              <w:t>prikazati proračun efekta koji zeleno pročelje ima na pojedinu zgradu</w:t>
            </w:r>
            <w:r w:rsidR="000509A0">
              <w:t xml:space="preserve"> i </w:t>
            </w:r>
            <w:r w:rsidRPr="00291DF5">
              <w:t>kumulativno za određeno područje.</w:t>
            </w:r>
          </w:p>
          <w:p w14:paraId="7478E8D6" w14:textId="06561D8E" w:rsidR="00A35C91" w:rsidRPr="003D373D" w:rsidRDefault="00A35C91">
            <w:pPr>
              <w:autoSpaceDE w:val="0"/>
              <w:autoSpaceDN w:val="0"/>
              <w:adjustRightInd w:val="0"/>
              <w:rPr>
                <w:rFonts w:eastAsia="Calibri" w:cstheme="minorHAnsi"/>
              </w:rPr>
            </w:pPr>
            <w:r w:rsidRPr="00291DF5">
              <w:rPr>
                <w:rFonts w:eastAsia="Calibri"/>
              </w:rPr>
              <w:t xml:space="preserve">Primjena zelenih tehnologija ima dokazano pozitivne učinke na povećanje energetske učinkovitosti </w:t>
            </w:r>
            <w:r w:rsidRPr="005808FC">
              <w:rPr>
                <w:rFonts w:eastAsia="Calibri"/>
              </w:rPr>
              <w:t>građevina, smanjenje potrošnje vode, pohranu CO</w:t>
            </w:r>
            <w:r w:rsidRPr="005808FC">
              <w:rPr>
                <w:rFonts w:eastAsia="Calibri"/>
                <w:vertAlign w:val="subscript"/>
              </w:rPr>
              <w:t>2</w:t>
            </w:r>
            <w:r w:rsidR="000509A0">
              <w:rPr>
                <w:rFonts w:eastAsia="Calibri"/>
              </w:rPr>
              <w:t xml:space="preserve"> i </w:t>
            </w:r>
            <w:r w:rsidRPr="00291DF5">
              <w:rPr>
                <w:rFonts w:eastAsia="Calibri"/>
              </w:rPr>
              <w:t xml:space="preserve">smanjenje zagrijavanja urbanih središta. Tehnologije u ovom području su već na razini tehnološke spremnosti 5-7 (TRL – </w:t>
            </w:r>
            <w:r w:rsidRPr="00291DF5">
              <w:rPr>
                <w:rFonts w:eastAsia="Calibri"/>
                <w:i/>
                <w:iCs/>
              </w:rPr>
              <w:t>Technology Readiness Level</w:t>
            </w:r>
            <w:r w:rsidRPr="00291DF5">
              <w:rPr>
                <w:rFonts w:eastAsia="Calibri"/>
              </w:rPr>
              <w:t>), a za očekivati je da će u vremenskom horizontu ovog do</w:t>
            </w:r>
            <w:r w:rsidRPr="005808FC">
              <w:rPr>
                <w:rFonts w:eastAsia="Calibri"/>
              </w:rPr>
              <w:t>kumenta doseći minimalno razinu 9. Navedenu činjenicu svakako treba uzeti u obzir kod izrade analize</w:t>
            </w:r>
            <w:r w:rsidR="000509A0">
              <w:rPr>
                <w:rFonts w:eastAsia="Calibri"/>
              </w:rPr>
              <w:t xml:space="preserve"> i </w:t>
            </w:r>
            <w:r w:rsidRPr="00291DF5">
              <w:rPr>
                <w:rFonts w:eastAsia="Calibri"/>
              </w:rPr>
              <w:t>prijedloga primjene.</w:t>
            </w:r>
          </w:p>
        </w:tc>
      </w:tr>
    </w:tbl>
    <w:p w14:paraId="79BC85B0" w14:textId="77777777" w:rsidR="00A35C91" w:rsidRPr="003D373D" w:rsidRDefault="00A35C91" w:rsidP="00A35C91">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A35C91" w:rsidRPr="003D373D" w14:paraId="31064ACF" w14:textId="77777777" w:rsidTr="005808FC">
        <w:trPr>
          <w:trHeight w:val="227"/>
        </w:trPr>
        <w:tc>
          <w:tcPr>
            <w:tcW w:w="3325" w:type="dxa"/>
            <w:shd w:val="clear" w:color="auto" w:fill="C6D9F1" w:themeFill="text2" w:themeFillTint="33"/>
          </w:tcPr>
          <w:p w14:paraId="5061B75C" w14:textId="77777777" w:rsidR="00A35C91" w:rsidRPr="005808FC" w:rsidRDefault="00A35C91">
            <w:pPr>
              <w:rPr>
                <w:b/>
                <w:bCs/>
              </w:rPr>
            </w:pPr>
            <w:r w:rsidRPr="00291DF5">
              <w:rPr>
                <w:b/>
                <w:bCs/>
              </w:rPr>
              <w:t>Redni broj mjere</w:t>
            </w:r>
          </w:p>
        </w:tc>
        <w:tc>
          <w:tcPr>
            <w:tcW w:w="5691" w:type="dxa"/>
            <w:shd w:val="clear" w:color="auto" w:fill="C6D9F1" w:themeFill="text2" w:themeFillTint="33"/>
          </w:tcPr>
          <w:p w14:paraId="4FC4192A" w14:textId="77777777" w:rsidR="00A35C91" w:rsidRPr="005808FC" w:rsidRDefault="00A35C91">
            <w:pPr>
              <w:rPr>
                <w:rFonts w:eastAsia="Calibri"/>
                <w:b/>
                <w:bCs/>
              </w:rPr>
            </w:pPr>
            <w:r w:rsidRPr="00291DF5">
              <w:rPr>
                <w:rFonts w:eastAsia="Calibri"/>
                <w:b/>
                <w:bCs/>
              </w:rPr>
              <w:t>2</w:t>
            </w:r>
          </w:p>
        </w:tc>
      </w:tr>
      <w:tr w:rsidR="00A35C91" w:rsidRPr="003D373D" w14:paraId="16C4C34F" w14:textId="77777777" w:rsidTr="005808FC">
        <w:trPr>
          <w:trHeight w:val="818"/>
        </w:trPr>
        <w:tc>
          <w:tcPr>
            <w:tcW w:w="3325" w:type="dxa"/>
            <w:shd w:val="clear" w:color="auto" w:fill="C6D9F1" w:themeFill="text2" w:themeFillTint="33"/>
          </w:tcPr>
          <w:p w14:paraId="5970A5EA" w14:textId="77777777" w:rsidR="00A35C91" w:rsidRPr="005808FC" w:rsidRDefault="00A35C91">
            <w:pPr>
              <w:rPr>
                <w:b/>
                <w:bCs/>
              </w:rPr>
            </w:pPr>
            <w:r w:rsidRPr="00291DF5">
              <w:rPr>
                <w:b/>
                <w:bCs/>
              </w:rPr>
              <w:br w:type="page"/>
              <w:t>Ime mjere/aktivnost</w:t>
            </w:r>
          </w:p>
        </w:tc>
        <w:tc>
          <w:tcPr>
            <w:tcW w:w="5691" w:type="dxa"/>
            <w:shd w:val="clear" w:color="auto" w:fill="C6D9F1" w:themeFill="text2" w:themeFillTint="33"/>
          </w:tcPr>
          <w:p w14:paraId="5199DD1F" w14:textId="2F9E4348" w:rsidR="00A35C91" w:rsidRPr="005808FC" w:rsidRDefault="00A35C91">
            <w:pPr>
              <w:autoSpaceDE w:val="0"/>
              <w:autoSpaceDN w:val="0"/>
              <w:adjustRightInd w:val="0"/>
              <w:rPr>
                <w:rFonts w:eastAsia="Calibri"/>
                <w:b/>
                <w:bCs/>
              </w:rPr>
            </w:pPr>
            <w:r w:rsidRPr="00291DF5">
              <w:rPr>
                <w:rFonts w:eastAsia="Calibri"/>
                <w:b/>
                <w:bCs/>
              </w:rPr>
              <w:t>Primjena tehnologije zelenih krovova</w:t>
            </w:r>
            <w:r w:rsidR="000509A0">
              <w:rPr>
                <w:rFonts w:eastAsia="Calibri"/>
                <w:b/>
                <w:bCs/>
              </w:rPr>
              <w:t xml:space="preserve"> i </w:t>
            </w:r>
            <w:r w:rsidRPr="00291DF5">
              <w:rPr>
                <w:rFonts w:eastAsia="Calibri"/>
                <w:b/>
                <w:bCs/>
              </w:rPr>
              <w:t xml:space="preserve">pročelja na zgradama u </w:t>
            </w:r>
            <w:r w:rsidRPr="005808FC">
              <w:rPr>
                <w:rFonts w:eastAsia="Calibri"/>
                <w:b/>
                <w:bCs/>
              </w:rPr>
              <w:t>vlasništvu Grada Zagreba</w:t>
            </w:r>
            <w:r w:rsidR="000509A0">
              <w:rPr>
                <w:rFonts w:eastAsia="Calibri"/>
                <w:b/>
                <w:bCs/>
              </w:rPr>
              <w:t xml:space="preserve"> i </w:t>
            </w:r>
            <w:r w:rsidRPr="00291DF5">
              <w:rPr>
                <w:rFonts w:eastAsia="Calibri"/>
                <w:b/>
                <w:bCs/>
              </w:rPr>
              <w:t>Zagrebačkog holdinga</w:t>
            </w:r>
          </w:p>
        </w:tc>
      </w:tr>
      <w:tr w:rsidR="00A35C91" w:rsidRPr="003D373D" w14:paraId="3B884A4F" w14:textId="77777777" w:rsidTr="005808FC">
        <w:trPr>
          <w:trHeight w:val="227"/>
        </w:trPr>
        <w:tc>
          <w:tcPr>
            <w:tcW w:w="3325" w:type="dxa"/>
            <w:shd w:val="clear" w:color="auto" w:fill="F2DBDB" w:themeFill="accent2" w:themeFillTint="33"/>
          </w:tcPr>
          <w:p w14:paraId="15856766" w14:textId="77777777" w:rsidR="00A35C91" w:rsidRPr="005808FC" w:rsidRDefault="00A35C91">
            <w:pPr>
              <w:rPr>
                <w:b/>
                <w:bCs/>
              </w:rPr>
            </w:pPr>
            <w:r w:rsidRPr="00291DF5">
              <w:rPr>
                <w:b/>
                <w:bCs/>
              </w:rPr>
              <w:t>Nositelj aktivnosti:</w:t>
            </w:r>
          </w:p>
        </w:tc>
        <w:tc>
          <w:tcPr>
            <w:tcW w:w="5691" w:type="dxa"/>
          </w:tcPr>
          <w:p w14:paraId="56B36721" w14:textId="6587F18D" w:rsidR="00A35C91" w:rsidRPr="003D373D" w:rsidRDefault="00A35C91"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tc>
      </w:tr>
      <w:tr w:rsidR="00A35C91" w:rsidRPr="003D373D" w14:paraId="349B65F4" w14:textId="77777777" w:rsidTr="005808FC">
        <w:trPr>
          <w:trHeight w:val="227"/>
        </w:trPr>
        <w:tc>
          <w:tcPr>
            <w:tcW w:w="3325" w:type="dxa"/>
            <w:shd w:val="clear" w:color="auto" w:fill="F2DBDB" w:themeFill="accent2" w:themeFillTint="33"/>
          </w:tcPr>
          <w:p w14:paraId="7697930F" w14:textId="77777777" w:rsidR="00A35C91" w:rsidRPr="005808FC" w:rsidRDefault="00A35C91">
            <w:pPr>
              <w:rPr>
                <w:b/>
                <w:bCs/>
              </w:rPr>
            </w:pPr>
            <w:r w:rsidRPr="00291DF5">
              <w:rPr>
                <w:b/>
                <w:bCs/>
              </w:rPr>
              <w:t>Partneri u provođenju aktivnosti:</w:t>
            </w:r>
          </w:p>
        </w:tc>
        <w:tc>
          <w:tcPr>
            <w:tcW w:w="5691" w:type="dxa"/>
          </w:tcPr>
          <w:p w14:paraId="2FF1A8E7" w14:textId="2B4AAA9B" w:rsidR="00A35C91" w:rsidRDefault="00A35C91" w:rsidP="005808FC">
            <w:pPr>
              <w:numPr>
                <w:ilvl w:val="0"/>
                <w:numId w:val="9"/>
              </w:numPr>
              <w:spacing w:after="0"/>
              <w:ind w:left="496"/>
              <w:jc w:val="left"/>
            </w:pPr>
            <w:r w:rsidRPr="00291DF5">
              <w:t>Gradski uredi, zavodi</w:t>
            </w:r>
            <w:r w:rsidR="000509A0">
              <w:t xml:space="preserve"> i </w:t>
            </w:r>
            <w:r w:rsidRPr="00291DF5">
              <w:t xml:space="preserve">službe/ustanove, tvrtke u vlasništvu Grada Zagreba koje upravljaju zgradama </w:t>
            </w:r>
          </w:p>
          <w:p w14:paraId="64E96288" w14:textId="6A7FC3DD" w:rsidR="00A35C91" w:rsidRPr="003D373D" w:rsidRDefault="00A35C91"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6875F995" w14:textId="77777777" w:rsidR="00A35C91" w:rsidRPr="003D373D" w:rsidRDefault="00A35C91" w:rsidP="005808FC">
            <w:pPr>
              <w:numPr>
                <w:ilvl w:val="0"/>
                <w:numId w:val="9"/>
              </w:numPr>
              <w:spacing w:after="0"/>
              <w:ind w:left="496"/>
              <w:jc w:val="left"/>
            </w:pPr>
            <w:r w:rsidRPr="00291DF5">
              <w:t>Ured gradonačelnika</w:t>
            </w:r>
          </w:p>
          <w:p w14:paraId="10F4C4D7" w14:textId="77777777" w:rsidR="00A35C91" w:rsidRPr="003D373D" w:rsidRDefault="00A35C91" w:rsidP="005808FC">
            <w:pPr>
              <w:numPr>
                <w:ilvl w:val="0"/>
                <w:numId w:val="9"/>
              </w:numPr>
              <w:spacing w:after="0"/>
              <w:ind w:left="496"/>
              <w:jc w:val="left"/>
            </w:pPr>
            <w:r w:rsidRPr="00291DF5">
              <w:t>Gradski ured za mjesnu samoupravu</w:t>
            </w:r>
          </w:p>
          <w:p w14:paraId="19301B50" w14:textId="77777777" w:rsidR="00A35C91" w:rsidRDefault="00A35C91" w:rsidP="005808FC">
            <w:pPr>
              <w:numPr>
                <w:ilvl w:val="0"/>
                <w:numId w:val="9"/>
              </w:numPr>
              <w:spacing w:after="0"/>
              <w:ind w:left="496"/>
              <w:jc w:val="left"/>
            </w:pPr>
            <w:r w:rsidRPr="00291DF5">
              <w:t>Zagrebački holding</w:t>
            </w:r>
          </w:p>
          <w:p w14:paraId="6594902C" w14:textId="77777777" w:rsidR="00A35C91" w:rsidRPr="003D373D" w:rsidRDefault="00A35C91" w:rsidP="005808FC">
            <w:pPr>
              <w:numPr>
                <w:ilvl w:val="0"/>
                <w:numId w:val="9"/>
              </w:numPr>
              <w:spacing w:after="0"/>
              <w:ind w:left="496"/>
              <w:jc w:val="left"/>
            </w:pPr>
            <w:r w:rsidRPr="00291DF5">
              <w:t xml:space="preserve">Gradsko </w:t>
            </w:r>
            <w:r w:rsidRPr="005808FC">
              <w:t>stambeno gospodarstvo, d.o.o.</w:t>
            </w:r>
          </w:p>
          <w:p w14:paraId="0F6BC619" w14:textId="77777777" w:rsidR="00A35C91" w:rsidRPr="003D373D" w:rsidDel="00436CBA" w:rsidRDefault="00A35C91" w:rsidP="005808FC">
            <w:pPr>
              <w:numPr>
                <w:ilvl w:val="0"/>
                <w:numId w:val="9"/>
              </w:numPr>
              <w:spacing w:after="0"/>
              <w:ind w:left="496"/>
              <w:jc w:val="left"/>
            </w:pPr>
            <w:r w:rsidRPr="00291DF5">
              <w:t>REGEA</w:t>
            </w:r>
          </w:p>
        </w:tc>
      </w:tr>
      <w:tr w:rsidR="00A35C91" w:rsidRPr="003D373D" w14:paraId="77F964FD" w14:textId="77777777" w:rsidTr="005808FC">
        <w:trPr>
          <w:trHeight w:val="227"/>
        </w:trPr>
        <w:tc>
          <w:tcPr>
            <w:tcW w:w="3325" w:type="dxa"/>
            <w:shd w:val="clear" w:color="auto" w:fill="F2DBDB" w:themeFill="accent2" w:themeFillTint="33"/>
          </w:tcPr>
          <w:p w14:paraId="48A3164F" w14:textId="77777777" w:rsidR="00A35C91" w:rsidRPr="005808FC" w:rsidRDefault="00A35C91">
            <w:pPr>
              <w:rPr>
                <w:b/>
                <w:bCs/>
              </w:rPr>
            </w:pPr>
            <w:r w:rsidRPr="00291DF5">
              <w:rPr>
                <w:b/>
                <w:bCs/>
              </w:rPr>
              <w:t>Ostali uključeni dionici:</w:t>
            </w:r>
          </w:p>
        </w:tc>
        <w:tc>
          <w:tcPr>
            <w:tcW w:w="5691" w:type="dxa"/>
          </w:tcPr>
          <w:p w14:paraId="339BB848" w14:textId="77777777" w:rsidR="00A35C91" w:rsidRDefault="00A35C91" w:rsidP="005808FC">
            <w:pPr>
              <w:numPr>
                <w:ilvl w:val="0"/>
                <w:numId w:val="9"/>
              </w:numPr>
              <w:spacing w:after="0"/>
              <w:ind w:left="496"/>
              <w:jc w:val="left"/>
            </w:pPr>
            <w:r w:rsidRPr="00291DF5">
              <w:t>Sveučilište u Zagrebu, Agronomski fakultet, Građevinski fakultet, Prirodoslovno-matematički fakultet</w:t>
            </w:r>
          </w:p>
        </w:tc>
      </w:tr>
      <w:tr w:rsidR="00A35C91" w:rsidRPr="003D373D" w14:paraId="49979134" w14:textId="77777777" w:rsidTr="005808FC">
        <w:trPr>
          <w:trHeight w:val="227"/>
        </w:trPr>
        <w:tc>
          <w:tcPr>
            <w:tcW w:w="3325" w:type="dxa"/>
            <w:shd w:val="clear" w:color="auto" w:fill="F2DBDB" w:themeFill="accent2" w:themeFillTint="33"/>
          </w:tcPr>
          <w:p w14:paraId="35A43F03" w14:textId="77777777" w:rsidR="00A35C91" w:rsidRPr="005808FC" w:rsidRDefault="00A35C91">
            <w:pPr>
              <w:rPr>
                <w:b/>
                <w:bCs/>
              </w:rPr>
            </w:pPr>
            <w:r w:rsidRPr="00291DF5">
              <w:rPr>
                <w:b/>
                <w:bCs/>
              </w:rPr>
              <w:t>Početak/kraj provedbe (godine)</w:t>
            </w:r>
          </w:p>
        </w:tc>
        <w:tc>
          <w:tcPr>
            <w:tcW w:w="5691" w:type="dxa"/>
          </w:tcPr>
          <w:p w14:paraId="79122EBA" w14:textId="77777777" w:rsidR="00A35C91" w:rsidRPr="005808FC" w:rsidRDefault="00A35C91">
            <w:pPr>
              <w:rPr>
                <w:rFonts w:eastAsia="Calibri"/>
                <w:b/>
                <w:bCs/>
              </w:rPr>
            </w:pPr>
            <w:r w:rsidRPr="00291DF5">
              <w:rPr>
                <w:rFonts w:eastAsia="Calibri"/>
                <w:b/>
                <w:bCs/>
              </w:rPr>
              <w:t>2022- 2030</w:t>
            </w:r>
          </w:p>
        </w:tc>
      </w:tr>
      <w:tr w:rsidR="00A35C91" w:rsidRPr="003D373D" w14:paraId="00B58FE2" w14:textId="77777777" w:rsidTr="005808FC">
        <w:trPr>
          <w:trHeight w:val="227"/>
        </w:trPr>
        <w:tc>
          <w:tcPr>
            <w:tcW w:w="3325" w:type="dxa"/>
            <w:shd w:val="clear" w:color="auto" w:fill="F2DBDB" w:themeFill="accent2" w:themeFillTint="33"/>
          </w:tcPr>
          <w:p w14:paraId="56AA46A4" w14:textId="77777777" w:rsidR="00A35C91" w:rsidRPr="005808FC" w:rsidRDefault="00A35C91">
            <w:pPr>
              <w:rPr>
                <w:b/>
                <w:bCs/>
              </w:rPr>
            </w:pPr>
            <w:r w:rsidRPr="00291DF5">
              <w:rPr>
                <w:b/>
                <w:bCs/>
              </w:rPr>
              <w:t xml:space="preserve">Procjena troškova (jedinična ili ukupna po </w:t>
            </w:r>
            <w:r w:rsidRPr="005808FC">
              <w:rPr>
                <w:b/>
                <w:bCs/>
              </w:rPr>
              <w:t>mjeri)</w:t>
            </w:r>
          </w:p>
        </w:tc>
        <w:tc>
          <w:tcPr>
            <w:tcW w:w="5691" w:type="dxa"/>
          </w:tcPr>
          <w:p w14:paraId="5D64D7BF" w14:textId="5F992D32" w:rsidR="00A35C91" w:rsidRPr="005808FC" w:rsidRDefault="00CC641E">
            <w:pPr>
              <w:rPr>
                <w:rFonts w:eastAsia="Calibri"/>
              </w:rPr>
            </w:pPr>
            <w:r w:rsidRPr="005808FC">
              <w:rPr>
                <w:rFonts w:eastAsia="Calibri"/>
              </w:rPr>
              <w:t>Odrediti će se na bazi analize predviđene u mjeri 1</w:t>
            </w:r>
          </w:p>
        </w:tc>
      </w:tr>
      <w:tr w:rsidR="00A35C91" w:rsidRPr="003D373D" w14:paraId="160807FA" w14:textId="77777777" w:rsidTr="005808FC">
        <w:trPr>
          <w:trHeight w:val="227"/>
        </w:trPr>
        <w:tc>
          <w:tcPr>
            <w:tcW w:w="3325" w:type="dxa"/>
            <w:shd w:val="clear" w:color="auto" w:fill="F2DBDB" w:themeFill="accent2" w:themeFillTint="33"/>
          </w:tcPr>
          <w:p w14:paraId="505D8E3E" w14:textId="77777777" w:rsidR="00A35C91" w:rsidRPr="005808FC" w:rsidRDefault="00A35C91">
            <w:pPr>
              <w:rPr>
                <w:b/>
                <w:bCs/>
              </w:rPr>
            </w:pPr>
            <w:r w:rsidRPr="00291DF5">
              <w:rPr>
                <w:b/>
                <w:bCs/>
              </w:rPr>
              <w:t>Izvor sredstava za provedbu</w:t>
            </w:r>
          </w:p>
        </w:tc>
        <w:tc>
          <w:tcPr>
            <w:tcW w:w="5691" w:type="dxa"/>
          </w:tcPr>
          <w:p w14:paraId="3026C2C2" w14:textId="77777777" w:rsidR="00A35C91" w:rsidRPr="003D373D" w:rsidRDefault="00A35C91" w:rsidP="005808FC">
            <w:pPr>
              <w:numPr>
                <w:ilvl w:val="0"/>
                <w:numId w:val="9"/>
              </w:numPr>
              <w:spacing w:after="0"/>
              <w:ind w:left="482" w:hanging="357"/>
              <w:jc w:val="left"/>
            </w:pPr>
            <w:r w:rsidRPr="00291DF5">
              <w:t>Proračun Grada Zagreba</w:t>
            </w:r>
          </w:p>
          <w:p w14:paraId="5A0A506F" w14:textId="77777777" w:rsidR="00A35C91" w:rsidRPr="003D373D" w:rsidRDefault="00A35C91" w:rsidP="005808FC">
            <w:pPr>
              <w:numPr>
                <w:ilvl w:val="0"/>
                <w:numId w:val="9"/>
              </w:numPr>
              <w:spacing w:after="0"/>
              <w:ind w:left="482" w:hanging="357"/>
              <w:jc w:val="left"/>
            </w:pPr>
            <w:r w:rsidRPr="00291DF5">
              <w:t>Programi EU</w:t>
            </w:r>
          </w:p>
          <w:p w14:paraId="7C160A76" w14:textId="77777777" w:rsidR="00C42B1B" w:rsidRPr="003D373D" w:rsidRDefault="00C42B1B" w:rsidP="00C42B1B">
            <w:pPr>
              <w:numPr>
                <w:ilvl w:val="0"/>
                <w:numId w:val="9"/>
              </w:numPr>
              <w:spacing w:after="0"/>
              <w:ind w:left="482" w:hanging="357"/>
              <w:jc w:val="left"/>
            </w:pPr>
            <w:r>
              <w:t>Europski strukturni i investicijski fondovi</w:t>
            </w:r>
          </w:p>
          <w:p w14:paraId="58A6E766" w14:textId="77777777" w:rsidR="00A35C91" w:rsidRPr="003D373D" w:rsidRDefault="00A35C91" w:rsidP="005808FC">
            <w:pPr>
              <w:numPr>
                <w:ilvl w:val="0"/>
                <w:numId w:val="9"/>
              </w:numPr>
              <w:spacing w:after="0"/>
              <w:ind w:left="482" w:hanging="357"/>
              <w:jc w:val="left"/>
            </w:pPr>
            <w:r w:rsidRPr="00291DF5">
              <w:t>FZOEU</w:t>
            </w:r>
          </w:p>
        </w:tc>
      </w:tr>
      <w:tr w:rsidR="00A35C91" w:rsidRPr="003D373D" w14:paraId="3A62A90E" w14:textId="77777777" w:rsidTr="005808FC">
        <w:trPr>
          <w:trHeight w:val="2141"/>
        </w:trPr>
        <w:tc>
          <w:tcPr>
            <w:tcW w:w="3325" w:type="dxa"/>
            <w:shd w:val="clear" w:color="auto" w:fill="F2DBDB" w:themeFill="accent2" w:themeFillTint="33"/>
          </w:tcPr>
          <w:p w14:paraId="4D26C614" w14:textId="77777777" w:rsidR="00A35C91" w:rsidRPr="005808FC" w:rsidRDefault="00A35C91">
            <w:pPr>
              <w:rPr>
                <w:b/>
                <w:bCs/>
              </w:rPr>
            </w:pPr>
            <w:r w:rsidRPr="00291DF5">
              <w:rPr>
                <w:b/>
                <w:bCs/>
              </w:rPr>
              <w:lastRenderedPageBreak/>
              <w:t>Kratki opis/komentar</w:t>
            </w:r>
          </w:p>
        </w:tc>
        <w:tc>
          <w:tcPr>
            <w:tcW w:w="5691" w:type="dxa"/>
          </w:tcPr>
          <w:p w14:paraId="6389D94F" w14:textId="77777777" w:rsidR="00A35C91" w:rsidRPr="005808FC" w:rsidRDefault="00A35C91">
            <w:pPr>
              <w:autoSpaceDE w:val="0"/>
              <w:autoSpaceDN w:val="0"/>
              <w:adjustRightInd w:val="0"/>
              <w:rPr>
                <w:rFonts w:eastAsia="Calibri"/>
              </w:rPr>
            </w:pPr>
            <w:r w:rsidRPr="00291DF5">
              <w:t>Na bazi mapiranih</w:t>
            </w:r>
            <w:r w:rsidRPr="005808FC">
              <w:t xml:space="preserve"> mogućnosti primjene zelenih tehnologija Grad Zagreb će, ovisno o mogućnostima, realizirati (primijeniti) tehnologiju na određenoj površini zgrada u svom vlasništvu. Pri projektiranju energetskih obnova zgrada u vlasništvu Grada Zagreba za svaku zgradu treba analizirati mogućnost primjene zelenih tehnologija.  </w:t>
            </w:r>
          </w:p>
        </w:tc>
      </w:tr>
    </w:tbl>
    <w:p w14:paraId="1AA2B608" w14:textId="77777777" w:rsidR="00A35C91" w:rsidRPr="003D373D" w:rsidRDefault="00A35C91" w:rsidP="00A35C91">
      <w:pPr>
        <w:pStyle w:val="ListParagraph"/>
        <w:spacing w:before="120"/>
        <w:ind w:left="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A35C91" w:rsidRPr="003D373D" w14:paraId="76651589" w14:textId="77777777" w:rsidTr="005808FC">
        <w:trPr>
          <w:trHeight w:val="227"/>
        </w:trPr>
        <w:tc>
          <w:tcPr>
            <w:tcW w:w="3325" w:type="dxa"/>
            <w:shd w:val="clear" w:color="auto" w:fill="C6D9F1" w:themeFill="text2" w:themeFillTint="33"/>
          </w:tcPr>
          <w:p w14:paraId="6F2E0CD9" w14:textId="77777777" w:rsidR="00A35C91" w:rsidRPr="005808FC" w:rsidRDefault="00A35C91">
            <w:pPr>
              <w:rPr>
                <w:b/>
                <w:bCs/>
              </w:rPr>
            </w:pPr>
            <w:r w:rsidRPr="00291DF5">
              <w:rPr>
                <w:b/>
                <w:bCs/>
              </w:rPr>
              <w:t>Redni broj mjere</w:t>
            </w:r>
          </w:p>
        </w:tc>
        <w:tc>
          <w:tcPr>
            <w:tcW w:w="5691" w:type="dxa"/>
            <w:shd w:val="clear" w:color="auto" w:fill="C6D9F1" w:themeFill="text2" w:themeFillTint="33"/>
          </w:tcPr>
          <w:p w14:paraId="54AFC6A9" w14:textId="77777777" w:rsidR="00A35C91" w:rsidRPr="005808FC" w:rsidRDefault="00A35C91">
            <w:pPr>
              <w:rPr>
                <w:rFonts w:eastAsia="Calibri"/>
                <w:b/>
                <w:bCs/>
              </w:rPr>
            </w:pPr>
            <w:r w:rsidRPr="00291DF5">
              <w:rPr>
                <w:rFonts w:eastAsia="Calibri"/>
                <w:b/>
                <w:bCs/>
              </w:rPr>
              <w:t>3</w:t>
            </w:r>
          </w:p>
        </w:tc>
      </w:tr>
      <w:tr w:rsidR="00A35C91" w:rsidRPr="003D373D" w14:paraId="6B3F941A" w14:textId="77777777" w:rsidTr="005808FC">
        <w:trPr>
          <w:trHeight w:val="818"/>
        </w:trPr>
        <w:tc>
          <w:tcPr>
            <w:tcW w:w="3325" w:type="dxa"/>
            <w:shd w:val="clear" w:color="auto" w:fill="C6D9F1" w:themeFill="text2" w:themeFillTint="33"/>
          </w:tcPr>
          <w:p w14:paraId="1EF8284D" w14:textId="77777777" w:rsidR="00A35C91" w:rsidRPr="005808FC" w:rsidRDefault="00A35C91">
            <w:pPr>
              <w:rPr>
                <w:b/>
                <w:bCs/>
              </w:rPr>
            </w:pPr>
            <w:r w:rsidRPr="00291DF5">
              <w:rPr>
                <w:b/>
                <w:bCs/>
              </w:rPr>
              <w:br w:type="page"/>
              <w:t>Ime mjere/aktivnost</w:t>
            </w:r>
          </w:p>
        </w:tc>
        <w:tc>
          <w:tcPr>
            <w:tcW w:w="5691" w:type="dxa"/>
            <w:shd w:val="clear" w:color="auto" w:fill="C6D9F1" w:themeFill="text2" w:themeFillTint="33"/>
          </w:tcPr>
          <w:p w14:paraId="312ECB72" w14:textId="184E27B0" w:rsidR="00A35C91" w:rsidRPr="005808FC" w:rsidRDefault="00A35C91">
            <w:pPr>
              <w:autoSpaceDE w:val="0"/>
              <w:autoSpaceDN w:val="0"/>
              <w:adjustRightInd w:val="0"/>
              <w:rPr>
                <w:rFonts w:eastAsia="Calibri"/>
                <w:b/>
                <w:bCs/>
              </w:rPr>
            </w:pPr>
            <w:r w:rsidRPr="00291DF5">
              <w:rPr>
                <w:rFonts w:eastAsia="Calibri"/>
                <w:b/>
                <w:bCs/>
              </w:rPr>
              <w:t>Osmišljavanje</w:t>
            </w:r>
            <w:r w:rsidR="000509A0">
              <w:rPr>
                <w:rFonts w:eastAsia="Calibri"/>
                <w:b/>
                <w:bCs/>
              </w:rPr>
              <w:t xml:space="preserve"> i </w:t>
            </w:r>
            <w:r w:rsidRPr="00291DF5">
              <w:rPr>
                <w:rFonts w:eastAsia="Calibri"/>
                <w:b/>
                <w:bCs/>
              </w:rPr>
              <w:t>provođenje programa informiranja</w:t>
            </w:r>
            <w:r w:rsidR="000509A0">
              <w:rPr>
                <w:rFonts w:eastAsia="Calibri"/>
                <w:b/>
                <w:bCs/>
              </w:rPr>
              <w:t xml:space="preserve"> i </w:t>
            </w:r>
            <w:r w:rsidRPr="00291DF5">
              <w:rPr>
                <w:rFonts w:eastAsia="Calibri"/>
                <w:b/>
                <w:bCs/>
              </w:rPr>
              <w:t xml:space="preserve">edukacije javnosti o prednostima klimatski otpornih zgrada </w:t>
            </w:r>
          </w:p>
        </w:tc>
      </w:tr>
      <w:tr w:rsidR="00A35C91" w:rsidRPr="003D373D" w14:paraId="5B1AF3FA" w14:textId="77777777" w:rsidTr="005808FC">
        <w:trPr>
          <w:trHeight w:val="227"/>
        </w:trPr>
        <w:tc>
          <w:tcPr>
            <w:tcW w:w="3325" w:type="dxa"/>
            <w:shd w:val="clear" w:color="auto" w:fill="F2DBDB" w:themeFill="accent2" w:themeFillTint="33"/>
          </w:tcPr>
          <w:p w14:paraId="0121926D" w14:textId="77777777" w:rsidR="00A35C91" w:rsidRPr="005808FC" w:rsidRDefault="00A35C91">
            <w:pPr>
              <w:rPr>
                <w:b/>
                <w:bCs/>
              </w:rPr>
            </w:pPr>
            <w:r w:rsidRPr="00291DF5">
              <w:rPr>
                <w:b/>
                <w:bCs/>
              </w:rPr>
              <w:t>Nositelj aktivnosti:</w:t>
            </w:r>
          </w:p>
        </w:tc>
        <w:tc>
          <w:tcPr>
            <w:tcW w:w="5691" w:type="dxa"/>
          </w:tcPr>
          <w:p w14:paraId="7FFAFF24" w14:textId="09555917" w:rsidR="00A35C91" w:rsidRPr="003D373D" w:rsidRDefault="00A35C91"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tc>
      </w:tr>
      <w:tr w:rsidR="00A35C91" w:rsidRPr="003D373D" w14:paraId="7F267CB9" w14:textId="77777777" w:rsidTr="005808FC">
        <w:trPr>
          <w:trHeight w:val="227"/>
        </w:trPr>
        <w:tc>
          <w:tcPr>
            <w:tcW w:w="3325" w:type="dxa"/>
            <w:shd w:val="clear" w:color="auto" w:fill="F2DBDB" w:themeFill="accent2" w:themeFillTint="33"/>
          </w:tcPr>
          <w:p w14:paraId="340E926A" w14:textId="77777777" w:rsidR="00A35C91" w:rsidRPr="005808FC" w:rsidRDefault="00A35C91">
            <w:pPr>
              <w:rPr>
                <w:b/>
                <w:bCs/>
              </w:rPr>
            </w:pPr>
            <w:r w:rsidRPr="00291DF5">
              <w:rPr>
                <w:b/>
                <w:bCs/>
              </w:rPr>
              <w:t>Partneri u provođenju aktivnosti:</w:t>
            </w:r>
          </w:p>
        </w:tc>
        <w:tc>
          <w:tcPr>
            <w:tcW w:w="5691" w:type="dxa"/>
          </w:tcPr>
          <w:p w14:paraId="2E13C91F" w14:textId="2A478C24" w:rsidR="00A35C91" w:rsidRPr="00025EA7" w:rsidRDefault="00A35C91" w:rsidP="005808FC">
            <w:pPr>
              <w:numPr>
                <w:ilvl w:val="0"/>
                <w:numId w:val="9"/>
              </w:numPr>
              <w:spacing w:after="0"/>
              <w:ind w:left="482" w:hanging="357"/>
              <w:jc w:val="left"/>
            </w:pPr>
            <w:r w:rsidRPr="00291DF5">
              <w:t>GU za strategijsko planiranje</w:t>
            </w:r>
            <w:r w:rsidR="000509A0">
              <w:t xml:space="preserve"> i </w:t>
            </w:r>
            <w:r w:rsidRPr="00291DF5">
              <w:t>razvoj grada</w:t>
            </w:r>
          </w:p>
          <w:p w14:paraId="48177138" w14:textId="77777777" w:rsidR="00A35C91" w:rsidRDefault="00A35C91" w:rsidP="005808FC">
            <w:pPr>
              <w:numPr>
                <w:ilvl w:val="0"/>
                <w:numId w:val="9"/>
              </w:numPr>
              <w:spacing w:after="0"/>
              <w:ind w:left="482" w:hanging="357"/>
              <w:jc w:val="left"/>
            </w:pPr>
            <w:r w:rsidRPr="00291DF5">
              <w:t xml:space="preserve">Zavod za prostorno </w:t>
            </w:r>
            <w:r w:rsidRPr="005808FC">
              <w:t>uređenje grada Zagreba</w:t>
            </w:r>
          </w:p>
          <w:p w14:paraId="465F4BB5" w14:textId="15D8112E" w:rsidR="00A35C91" w:rsidRPr="003D373D" w:rsidRDefault="00A35C91"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50E83AD7" w14:textId="77777777" w:rsidR="00A35C91" w:rsidRPr="003D373D" w:rsidRDefault="00A35C91" w:rsidP="005808FC">
            <w:pPr>
              <w:numPr>
                <w:ilvl w:val="0"/>
                <w:numId w:val="9"/>
              </w:numPr>
              <w:spacing w:after="0"/>
              <w:ind w:left="482" w:hanging="357"/>
              <w:jc w:val="left"/>
            </w:pPr>
            <w:r w:rsidRPr="00291DF5">
              <w:t>Zagrebački holding</w:t>
            </w:r>
          </w:p>
          <w:p w14:paraId="78262D02" w14:textId="77777777" w:rsidR="00A35C91" w:rsidRDefault="00A35C91" w:rsidP="005808FC">
            <w:pPr>
              <w:numPr>
                <w:ilvl w:val="0"/>
                <w:numId w:val="9"/>
              </w:numPr>
              <w:spacing w:after="0"/>
              <w:ind w:left="482" w:hanging="357"/>
              <w:jc w:val="left"/>
            </w:pPr>
            <w:r w:rsidRPr="00291DF5">
              <w:t>Gradsko stambeno komunalno gospodarstvo, d.o.o.</w:t>
            </w:r>
          </w:p>
          <w:p w14:paraId="6B999CEF" w14:textId="77777777" w:rsidR="00A35C91" w:rsidRPr="00E95120" w:rsidDel="00436CBA" w:rsidRDefault="00A35C91" w:rsidP="005808FC">
            <w:pPr>
              <w:numPr>
                <w:ilvl w:val="0"/>
                <w:numId w:val="9"/>
              </w:numPr>
              <w:spacing w:after="0"/>
              <w:ind w:left="482" w:hanging="357"/>
              <w:jc w:val="left"/>
            </w:pPr>
            <w:r w:rsidRPr="00291DF5">
              <w:t>REGEA</w:t>
            </w:r>
          </w:p>
        </w:tc>
      </w:tr>
      <w:tr w:rsidR="00A35C91" w:rsidRPr="003D373D" w14:paraId="0E7DA609" w14:textId="77777777" w:rsidTr="005808FC">
        <w:trPr>
          <w:trHeight w:val="227"/>
        </w:trPr>
        <w:tc>
          <w:tcPr>
            <w:tcW w:w="3325" w:type="dxa"/>
            <w:shd w:val="clear" w:color="auto" w:fill="F2DBDB" w:themeFill="accent2" w:themeFillTint="33"/>
          </w:tcPr>
          <w:p w14:paraId="028BC7D0" w14:textId="77777777" w:rsidR="00A35C91" w:rsidRPr="005808FC" w:rsidRDefault="00A35C91">
            <w:pPr>
              <w:rPr>
                <w:b/>
                <w:bCs/>
              </w:rPr>
            </w:pPr>
            <w:r w:rsidRPr="00291DF5">
              <w:rPr>
                <w:b/>
                <w:bCs/>
              </w:rPr>
              <w:t>Ostali uključeni dionici:</w:t>
            </w:r>
          </w:p>
        </w:tc>
        <w:tc>
          <w:tcPr>
            <w:tcW w:w="5691" w:type="dxa"/>
          </w:tcPr>
          <w:p w14:paraId="477D1AC1" w14:textId="1D17CBDC" w:rsidR="00A35C91" w:rsidRPr="003D373D" w:rsidRDefault="00A35C91" w:rsidP="005808FC">
            <w:pPr>
              <w:numPr>
                <w:ilvl w:val="0"/>
                <w:numId w:val="9"/>
              </w:numPr>
              <w:spacing w:after="0"/>
              <w:ind w:left="482" w:hanging="357"/>
              <w:jc w:val="left"/>
            </w:pPr>
            <w:r w:rsidRPr="00291DF5">
              <w:t>Fond za zaštitu okoliša</w:t>
            </w:r>
            <w:r w:rsidR="000509A0">
              <w:t xml:space="preserve"> i </w:t>
            </w:r>
            <w:r w:rsidRPr="00291DF5">
              <w:t>energetsku učinkovitost</w:t>
            </w:r>
          </w:p>
          <w:p w14:paraId="25782DB1" w14:textId="77777777" w:rsidR="00A35C91" w:rsidRPr="00025EA7" w:rsidRDefault="00A35C91" w:rsidP="005808FC">
            <w:pPr>
              <w:numPr>
                <w:ilvl w:val="0"/>
                <w:numId w:val="9"/>
              </w:numPr>
              <w:spacing w:after="0"/>
              <w:ind w:left="482" w:hanging="357"/>
              <w:jc w:val="left"/>
            </w:pPr>
            <w:r w:rsidRPr="00291DF5">
              <w:t>Udruge civilnog društva</w:t>
            </w:r>
          </w:p>
        </w:tc>
      </w:tr>
      <w:tr w:rsidR="00A35C91" w:rsidRPr="003D373D" w14:paraId="56EE1599" w14:textId="77777777" w:rsidTr="005808FC">
        <w:trPr>
          <w:trHeight w:val="227"/>
        </w:trPr>
        <w:tc>
          <w:tcPr>
            <w:tcW w:w="3325" w:type="dxa"/>
            <w:shd w:val="clear" w:color="auto" w:fill="F2DBDB" w:themeFill="accent2" w:themeFillTint="33"/>
          </w:tcPr>
          <w:p w14:paraId="05576CBB" w14:textId="77777777" w:rsidR="00A35C91" w:rsidRPr="005808FC" w:rsidRDefault="00A35C91">
            <w:pPr>
              <w:rPr>
                <w:b/>
                <w:bCs/>
              </w:rPr>
            </w:pPr>
            <w:r w:rsidRPr="00291DF5">
              <w:rPr>
                <w:b/>
                <w:bCs/>
              </w:rPr>
              <w:t>Početak/kraj provedbe (godine)</w:t>
            </w:r>
          </w:p>
        </w:tc>
        <w:tc>
          <w:tcPr>
            <w:tcW w:w="5691" w:type="dxa"/>
          </w:tcPr>
          <w:p w14:paraId="05F30406" w14:textId="23A56921" w:rsidR="00A35C91" w:rsidRPr="005808FC" w:rsidRDefault="00A35C91">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2022</w:t>
            </w:r>
          </w:p>
        </w:tc>
      </w:tr>
      <w:tr w:rsidR="00A35C91" w:rsidRPr="003D373D" w14:paraId="028FF561" w14:textId="77777777" w:rsidTr="005808FC">
        <w:trPr>
          <w:trHeight w:val="227"/>
        </w:trPr>
        <w:tc>
          <w:tcPr>
            <w:tcW w:w="3325" w:type="dxa"/>
            <w:shd w:val="clear" w:color="auto" w:fill="F2DBDB" w:themeFill="accent2" w:themeFillTint="33"/>
          </w:tcPr>
          <w:p w14:paraId="06BF6A00" w14:textId="77777777" w:rsidR="00A35C91" w:rsidRPr="005808FC" w:rsidRDefault="00A35C91">
            <w:pPr>
              <w:rPr>
                <w:b/>
                <w:bCs/>
              </w:rPr>
            </w:pPr>
            <w:r w:rsidRPr="00291DF5">
              <w:rPr>
                <w:b/>
                <w:bCs/>
              </w:rPr>
              <w:t>Procjena troškova (jedinična ili ukupna po mjeri)</w:t>
            </w:r>
          </w:p>
        </w:tc>
        <w:tc>
          <w:tcPr>
            <w:tcW w:w="5691" w:type="dxa"/>
          </w:tcPr>
          <w:p w14:paraId="78522630" w14:textId="77777777" w:rsidR="00A35C91" w:rsidRPr="005808FC" w:rsidRDefault="00A35C91">
            <w:pPr>
              <w:rPr>
                <w:rFonts w:eastAsia="Calibri"/>
                <w:b/>
                <w:bCs/>
              </w:rPr>
            </w:pPr>
            <w:r w:rsidRPr="00291DF5">
              <w:rPr>
                <w:rFonts w:eastAsia="Calibri"/>
                <w:b/>
                <w:bCs/>
              </w:rPr>
              <w:t>500.000</w:t>
            </w:r>
          </w:p>
        </w:tc>
      </w:tr>
      <w:tr w:rsidR="00A35C91" w:rsidRPr="003D373D" w14:paraId="13021E2A" w14:textId="77777777" w:rsidTr="005808FC">
        <w:trPr>
          <w:trHeight w:val="227"/>
        </w:trPr>
        <w:tc>
          <w:tcPr>
            <w:tcW w:w="3325" w:type="dxa"/>
            <w:shd w:val="clear" w:color="auto" w:fill="F2DBDB" w:themeFill="accent2" w:themeFillTint="33"/>
          </w:tcPr>
          <w:p w14:paraId="67C53A1E" w14:textId="77777777" w:rsidR="00A35C91" w:rsidRPr="005808FC" w:rsidRDefault="00A35C91">
            <w:pPr>
              <w:rPr>
                <w:b/>
                <w:bCs/>
              </w:rPr>
            </w:pPr>
            <w:r w:rsidRPr="00291DF5">
              <w:rPr>
                <w:b/>
                <w:bCs/>
              </w:rPr>
              <w:t>Izvor sredstava za provedbu</w:t>
            </w:r>
          </w:p>
        </w:tc>
        <w:tc>
          <w:tcPr>
            <w:tcW w:w="5691" w:type="dxa"/>
          </w:tcPr>
          <w:p w14:paraId="14536D5E" w14:textId="77777777" w:rsidR="00A35C91" w:rsidRPr="003D373D" w:rsidRDefault="00A35C91" w:rsidP="005808FC">
            <w:pPr>
              <w:numPr>
                <w:ilvl w:val="0"/>
                <w:numId w:val="9"/>
              </w:numPr>
              <w:spacing w:after="0"/>
              <w:ind w:left="482" w:hanging="357"/>
              <w:jc w:val="left"/>
            </w:pPr>
            <w:r w:rsidRPr="00291DF5">
              <w:t>Proračun Grada Zagreba</w:t>
            </w:r>
          </w:p>
          <w:p w14:paraId="5F9758CF" w14:textId="77777777" w:rsidR="00A35C91" w:rsidRPr="003D373D" w:rsidRDefault="00A35C91" w:rsidP="005808FC">
            <w:pPr>
              <w:numPr>
                <w:ilvl w:val="0"/>
                <w:numId w:val="9"/>
              </w:numPr>
              <w:spacing w:after="0"/>
              <w:ind w:left="482" w:hanging="357"/>
              <w:jc w:val="left"/>
            </w:pPr>
            <w:r w:rsidRPr="00291DF5">
              <w:t>Programi EU</w:t>
            </w:r>
          </w:p>
          <w:p w14:paraId="749C3FAF" w14:textId="77777777" w:rsidR="00C42B1B" w:rsidRPr="003D373D" w:rsidRDefault="00C42B1B" w:rsidP="00C42B1B">
            <w:pPr>
              <w:numPr>
                <w:ilvl w:val="0"/>
                <w:numId w:val="9"/>
              </w:numPr>
              <w:spacing w:after="0"/>
              <w:ind w:left="482" w:hanging="357"/>
              <w:jc w:val="left"/>
            </w:pPr>
            <w:r>
              <w:t>Europski strukturni i investicijski fondovi</w:t>
            </w:r>
          </w:p>
          <w:p w14:paraId="6ED8ECD2" w14:textId="77777777" w:rsidR="00A35C91" w:rsidRPr="003D373D" w:rsidRDefault="00A35C91" w:rsidP="005808FC">
            <w:pPr>
              <w:numPr>
                <w:ilvl w:val="0"/>
                <w:numId w:val="9"/>
              </w:numPr>
              <w:spacing w:after="0"/>
              <w:ind w:left="482" w:hanging="357"/>
              <w:jc w:val="left"/>
            </w:pPr>
            <w:r w:rsidRPr="00291DF5">
              <w:t>FZOEU</w:t>
            </w:r>
          </w:p>
        </w:tc>
      </w:tr>
      <w:tr w:rsidR="00A35C91" w:rsidRPr="003D373D" w14:paraId="3185BF87" w14:textId="77777777" w:rsidTr="005808FC">
        <w:trPr>
          <w:trHeight w:val="2807"/>
        </w:trPr>
        <w:tc>
          <w:tcPr>
            <w:tcW w:w="3325" w:type="dxa"/>
            <w:shd w:val="clear" w:color="auto" w:fill="F2DBDB" w:themeFill="accent2" w:themeFillTint="33"/>
          </w:tcPr>
          <w:p w14:paraId="534BFE0F" w14:textId="77777777" w:rsidR="00A35C91" w:rsidRPr="005808FC" w:rsidRDefault="00A35C91">
            <w:pPr>
              <w:rPr>
                <w:b/>
                <w:bCs/>
              </w:rPr>
            </w:pPr>
            <w:r w:rsidRPr="00291DF5">
              <w:rPr>
                <w:b/>
                <w:bCs/>
              </w:rPr>
              <w:t>Kratki opis/komentar</w:t>
            </w:r>
          </w:p>
        </w:tc>
        <w:tc>
          <w:tcPr>
            <w:tcW w:w="5691" w:type="dxa"/>
          </w:tcPr>
          <w:p w14:paraId="00ECC15D" w14:textId="65C97795" w:rsidR="000509A0" w:rsidRDefault="00A35C91">
            <w:pPr>
              <w:autoSpaceDE w:val="0"/>
              <w:autoSpaceDN w:val="0"/>
              <w:adjustRightInd w:val="0"/>
            </w:pPr>
            <w:r w:rsidRPr="00291DF5">
              <w:t>Cilj je izrada promotivnih materijala koji trebaju dati okvir za primjenu koncepta klimatski otpornih zgrada za nove</w:t>
            </w:r>
            <w:r w:rsidR="000509A0">
              <w:t xml:space="preserve"> i </w:t>
            </w:r>
            <w:r w:rsidRPr="00291DF5">
              <w:t>za postojeće zgrade, ocjenu učinka mjera (energetske, ekonomske</w:t>
            </w:r>
            <w:r w:rsidR="000509A0">
              <w:t xml:space="preserve"> i </w:t>
            </w:r>
            <w:r w:rsidRPr="00291DF5">
              <w:t>ekološ</w:t>
            </w:r>
            <w:r w:rsidRPr="005808FC">
              <w:t>ke uštede), popis institucija koje su nadležne za provedbu mjera te dostupne modele</w:t>
            </w:r>
            <w:r w:rsidR="000509A0">
              <w:t xml:space="preserve"> i </w:t>
            </w:r>
            <w:r w:rsidRPr="00291DF5">
              <w:t>mehanizme financiranja provedbe mjera.</w:t>
            </w:r>
          </w:p>
          <w:p w14:paraId="255E6642" w14:textId="7CFD7AB9" w:rsidR="00A35C91" w:rsidRPr="005808FC" w:rsidRDefault="00A35C91">
            <w:pPr>
              <w:autoSpaceDE w:val="0"/>
              <w:autoSpaceDN w:val="0"/>
              <w:adjustRightInd w:val="0"/>
              <w:rPr>
                <w:rFonts w:eastAsia="Calibri"/>
              </w:rPr>
            </w:pPr>
            <w:r w:rsidRPr="005808FC">
              <w:t>Za promociju treba koristiti širok spektar komunikacijskih kanala na način da svi relevantni dionici budu obuhvaćeni.</w:t>
            </w:r>
          </w:p>
        </w:tc>
      </w:tr>
    </w:tbl>
    <w:p w14:paraId="12E67DBD" w14:textId="3F2927FC" w:rsidR="00AE5E1A" w:rsidRPr="00613A2B" w:rsidRDefault="00AE5E1A" w:rsidP="00613A2B">
      <w:pPr>
        <w:pStyle w:val="Heading2"/>
      </w:pPr>
      <w:bookmarkStart w:id="247" w:name="_Toc523742860"/>
      <w:bookmarkStart w:id="248" w:name="_Toc523742892"/>
      <w:bookmarkStart w:id="249" w:name="_Toc523742893"/>
      <w:bookmarkStart w:id="250" w:name="_Toc523742922"/>
      <w:bookmarkStart w:id="251" w:name="_Toc523742953"/>
      <w:bookmarkStart w:id="252" w:name="_Toc4156109"/>
      <w:bookmarkEnd w:id="247"/>
      <w:bookmarkEnd w:id="248"/>
      <w:bookmarkEnd w:id="249"/>
      <w:bookmarkEnd w:id="250"/>
      <w:bookmarkEnd w:id="251"/>
      <w:r w:rsidRPr="00613A2B">
        <w:lastRenderedPageBreak/>
        <w:t>Prometna infrastruktura</w:t>
      </w:r>
      <w:bookmarkEnd w:id="252"/>
    </w:p>
    <w:p w14:paraId="21770842" w14:textId="3E540513" w:rsidR="006F376D" w:rsidRPr="005808FC" w:rsidRDefault="006F376D">
      <w:pPr>
        <w:rPr>
          <w:color w:val="212121"/>
          <w:shd w:val="clear" w:color="auto" w:fill="FFFFFF"/>
        </w:rPr>
      </w:pPr>
      <w:r w:rsidRPr="006F376D">
        <w:t>Učinci klimatskih promjena dokazano imaju negativne učinke na cestovnu, tračničku</w:t>
      </w:r>
      <w:r w:rsidR="000509A0">
        <w:t xml:space="preserve"> i </w:t>
      </w:r>
      <w:r w:rsidRPr="006F376D">
        <w:t>potpornu prometnu infrastrukturu. Promjenom klimatskih uvjeta očekuje se učestala pojava izvanrednih događaja u smislu manifestacije jakih kiša u kratkim vremenskim razdobljima (poplave), jakog vjetra (oluje) te temperaturnih ekstrema (toplinski valovi</w:t>
      </w:r>
      <w:r w:rsidR="000509A0">
        <w:t xml:space="preserve"> i </w:t>
      </w:r>
      <w:r w:rsidRPr="006F376D">
        <w:t>periodi iznimno hladnog vremena). Utjecaj na tračničku infrastrukturu općenito podrazumijeva smanjenu sigurnost, povećane troškove popravaka</w:t>
      </w:r>
      <w:r w:rsidR="000509A0">
        <w:t xml:space="preserve"> i </w:t>
      </w:r>
      <w:r w:rsidRPr="006F376D">
        <w:t>održavanja</w:t>
      </w:r>
      <w:r w:rsidR="000509A0">
        <w:t xml:space="preserve"> i </w:t>
      </w:r>
      <w:r w:rsidRPr="006F376D">
        <w:t>prekide u prometovanju. Cestovna infrastruktura, ovisno o tipu utjecaja, ugrožena je na način da je smanjena brzina</w:t>
      </w:r>
      <w:r w:rsidR="000509A0">
        <w:t xml:space="preserve"> i </w:t>
      </w:r>
      <w:r w:rsidRPr="006F376D">
        <w:t>protočnost prometovanja, ugrožena je sigurnost prometovanja, postoji direktna materijalna šteta</w:t>
      </w:r>
      <w:r w:rsidR="000509A0">
        <w:t xml:space="preserve"> i </w:t>
      </w:r>
      <w:r w:rsidRPr="006F376D">
        <w:t>povećani su troškovi uslijed popravaka</w:t>
      </w:r>
      <w:r w:rsidR="000509A0">
        <w:t xml:space="preserve"> i </w:t>
      </w:r>
      <w:r w:rsidRPr="006F376D">
        <w:t>održavanja</w:t>
      </w:r>
      <w:r w:rsidRPr="00291DF5">
        <w:rPr>
          <w:color w:val="212121"/>
          <w:shd w:val="clear" w:color="auto" w:fill="FFFFFF"/>
        </w:rPr>
        <w:t>.</w:t>
      </w:r>
    </w:p>
    <w:p w14:paraId="4046F634" w14:textId="46186567" w:rsidR="006F376D" w:rsidRPr="005808FC" w:rsidRDefault="006F376D">
      <w:pPr>
        <w:tabs>
          <w:tab w:val="center" w:pos="1062"/>
        </w:tabs>
        <w:rPr>
          <w:rFonts w:eastAsia="Times New Roman"/>
          <w:lang w:eastAsia="hr-HR"/>
        </w:rPr>
      </w:pPr>
      <w:r w:rsidRPr="00291DF5">
        <w:rPr>
          <w:rFonts w:eastAsia="Times New Roman"/>
          <w:lang w:eastAsia="hr-HR"/>
        </w:rPr>
        <w:t>Rizici se sumarno mogu predstaviti u vidu sljedećih grupa:</w:t>
      </w:r>
    </w:p>
    <w:p w14:paraId="6E848020" w14:textId="385384A4" w:rsidR="006F376D" w:rsidRPr="00FF4F06" w:rsidRDefault="006F376D" w:rsidP="002E3C28">
      <w:pPr>
        <w:pStyle w:val="ListParagraph"/>
        <w:numPr>
          <w:ilvl w:val="0"/>
          <w:numId w:val="77"/>
        </w:numPr>
        <w:rPr>
          <w:lang w:eastAsia="hr-HR"/>
        </w:rPr>
      </w:pPr>
      <w:r w:rsidRPr="00FF4F06">
        <w:rPr>
          <w:lang w:eastAsia="hr-HR"/>
        </w:rPr>
        <w:t>Oštećenje prometne infrastrukture uslijed ekstremnih vremenskih događaja (primarno vodova</w:t>
      </w:r>
      <w:r w:rsidR="000509A0">
        <w:rPr>
          <w:lang w:eastAsia="hr-HR"/>
        </w:rPr>
        <w:t xml:space="preserve"> i </w:t>
      </w:r>
      <w:r w:rsidRPr="00FF4F06">
        <w:rPr>
          <w:lang w:eastAsia="hr-HR"/>
        </w:rPr>
        <w:t>signalizacije)</w:t>
      </w:r>
    </w:p>
    <w:p w14:paraId="6C3435A5" w14:textId="77777777" w:rsidR="006F376D" w:rsidRPr="00FF4F06" w:rsidRDefault="006F376D" w:rsidP="002E3C28">
      <w:pPr>
        <w:pStyle w:val="ListParagraph"/>
        <w:numPr>
          <w:ilvl w:val="0"/>
          <w:numId w:val="77"/>
        </w:numPr>
        <w:rPr>
          <w:lang w:eastAsia="hr-HR"/>
        </w:rPr>
      </w:pPr>
      <w:r w:rsidRPr="00FF4F06">
        <w:rPr>
          <w:lang w:eastAsia="hr-HR"/>
        </w:rPr>
        <w:t>Oštećenje prometne infrastrukture uslijed pojave klizišta</w:t>
      </w:r>
    </w:p>
    <w:p w14:paraId="29FAFC0B" w14:textId="77146024" w:rsidR="006F376D" w:rsidRPr="00FF4F06" w:rsidRDefault="006F376D" w:rsidP="002E3C28">
      <w:pPr>
        <w:pStyle w:val="ListParagraph"/>
        <w:numPr>
          <w:ilvl w:val="0"/>
          <w:numId w:val="77"/>
        </w:numPr>
        <w:rPr>
          <w:lang w:eastAsia="hr-HR"/>
        </w:rPr>
      </w:pPr>
      <w:r w:rsidRPr="00FF4F06">
        <w:rPr>
          <w:lang w:eastAsia="hr-HR"/>
        </w:rPr>
        <w:t>Brže trošenje cestovne</w:t>
      </w:r>
      <w:r w:rsidR="000509A0">
        <w:rPr>
          <w:lang w:eastAsia="hr-HR"/>
        </w:rPr>
        <w:t xml:space="preserve"> i </w:t>
      </w:r>
      <w:r w:rsidRPr="00FF4F06">
        <w:rPr>
          <w:lang w:eastAsia="hr-HR"/>
        </w:rPr>
        <w:t>tračničke infrastrukture zbog povećanih temperaturnih ekstrema</w:t>
      </w:r>
    </w:p>
    <w:p w14:paraId="2F727B0D" w14:textId="53E900D1" w:rsidR="00AE5E1A" w:rsidRDefault="006F376D" w:rsidP="002E3C28">
      <w:pPr>
        <w:pStyle w:val="ListParagraph"/>
        <w:numPr>
          <w:ilvl w:val="0"/>
          <w:numId w:val="77"/>
        </w:numPr>
      </w:pPr>
      <w:r w:rsidRPr="00FF4F06">
        <w:rPr>
          <w:lang w:eastAsia="hr-HR"/>
        </w:rPr>
        <w:t>Potreba za organizacijom brzog</w:t>
      </w:r>
      <w:r w:rsidR="000509A0">
        <w:rPr>
          <w:lang w:eastAsia="hr-HR"/>
        </w:rPr>
        <w:t xml:space="preserve"> i </w:t>
      </w:r>
      <w:r w:rsidRPr="00FF4F06">
        <w:rPr>
          <w:lang w:eastAsia="hr-HR"/>
        </w:rPr>
        <w:t>učinkovitog reagiranja na snažne</w:t>
      </w:r>
      <w:r w:rsidR="000509A0">
        <w:rPr>
          <w:lang w:eastAsia="hr-HR"/>
        </w:rPr>
        <w:t xml:space="preserve"> i </w:t>
      </w:r>
      <w:r w:rsidRPr="00FF4F06">
        <w:rPr>
          <w:lang w:eastAsia="hr-HR"/>
        </w:rPr>
        <w:t>izvanredne poremećaje prometovanja uzrokovane učincima klimatskih promjena</w:t>
      </w:r>
    </w:p>
    <w:p w14:paraId="468C7730" w14:textId="46EB689F" w:rsidR="00CC641E" w:rsidRDefault="00CC641E" w:rsidP="00CC641E">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37BDA231" w14:textId="77777777" w:rsidTr="005808FC">
        <w:trPr>
          <w:trHeight w:val="227"/>
        </w:trPr>
        <w:tc>
          <w:tcPr>
            <w:tcW w:w="3325" w:type="dxa"/>
            <w:shd w:val="clear" w:color="auto" w:fill="C6D9F1" w:themeFill="text2" w:themeFillTint="33"/>
          </w:tcPr>
          <w:p w14:paraId="15C53412"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496B62E4" w14:textId="77777777" w:rsidR="00CC641E" w:rsidRPr="005808FC" w:rsidRDefault="00CC641E">
            <w:pPr>
              <w:rPr>
                <w:rFonts w:eastAsia="Calibri"/>
                <w:b/>
                <w:bCs/>
                <w:strike/>
              </w:rPr>
            </w:pPr>
            <w:r w:rsidRPr="00291DF5">
              <w:rPr>
                <w:rFonts w:eastAsia="Calibri"/>
                <w:b/>
                <w:bCs/>
              </w:rPr>
              <w:t>4</w:t>
            </w:r>
          </w:p>
        </w:tc>
      </w:tr>
      <w:tr w:rsidR="00CC641E" w:rsidRPr="003D373D" w14:paraId="76CAA678" w14:textId="77777777" w:rsidTr="005808FC">
        <w:trPr>
          <w:trHeight w:val="818"/>
        </w:trPr>
        <w:tc>
          <w:tcPr>
            <w:tcW w:w="3325" w:type="dxa"/>
            <w:shd w:val="clear" w:color="auto" w:fill="C6D9F1" w:themeFill="text2" w:themeFillTint="33"/>
          </w:tcPr>
          <w:p w14:paraId="0103F1B8"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0F5CD100" w14:textId="0D8DB724" w:rsidR="00CC641E" w:rsidRPr="005808FC" w:rsidRDefault="00CC641E">
            <w:pPr>
              <w:autoSpaceDE w:val="0"/>
              <w:autoSpaceDN w:val="0"/>
              <w:adjustRightInd w:val="0"/>
              <w:rPr>
                <w:rFonts w:eastAsia="Calibri"/>
                <w:b/>
                <w:bCs/>
              </w:rPr>
            </w:pPr>
            <w:r w:rsidRPr="00291DF5">
              <w:rPr>
                <w:rFonts w:eastAsia="Calibri"/>
                <w:b/>
                <w:bCs/>
              </w:rPr>
              <w:t>Analiza utjecaja učinaka klimatskih promjena na prometnu infrastrukturu</w:t>
            </w:r>
            <w:r w:rsidR="000509A0">
              <w:rPr>
                <w:rFonts w:eastAsia="Calibri"/>
                <w:b/>
                <w:bCs/>
              </w:rPr>
              <w:t xml:space="preserve"> i </w:t>
            </w:r>
            <w:r w:rsidRPr="00291DF5">
              <w:rPr>
                <w:rFonts w:eastAsia="Calibri"/>
                <w:b/>
                <w:bCs/>
              </w:rPr>
              <w:t>prijedlog plana prilagodbe</w:t>
            </w:r>
          </w:p>
        </w:tc>
      </w:tr>
      <w:tr w:rsidR="00CC641E" w:rsidRPr="003D373D" w14:paraId="623B01E3" w14:textId="77777777" w:rsidTr="005808FC">
        <w:trPr>
          <w:trHeight w:val="1043"/>
        </w:trPr>
        <w:tc>
          <w:tcPr>
            <w:tcW w:w="3325" w:type="dxa"/>
            <w:shd w:val="clear" w:color="auto" w:fill="F2DBDB" w:themeFill="accent2" w:themeFillTint="33"/>
          </w:tcPr>
          <w:p w14:paraId="57613B25" w14:textId="77777777" w:rsidR="00CC641E" w:rsidRPr="005808FC" w:rsidRDefault="00CC641E">
            <w:pPr>
              <w:rPr>
                <w:b/>
                <w:bCs/>
              </w:rPr>
            </w:pPr>
            <w:r w:rsidRPr="00291DF5">
              <w:rPr>
                <w:b/>
                <w:bCs/>
              </w:rPr>
              <w:t>Nositelj aktivnosti:</w:t>
            </w:r>
          </w:p>
        </w:tc>
        <w:tc>
          <w:tcPr>
            <w:tcW w:w="5691" w:type="dxa"/>
          </w:tcPr>
          <w:p w14:paraId="1922AC5C" w14:textId="10B7A218" w:rsidR="00CC641E" w:rsidRPr="003D373D" w:rsidRDefault="00CC641E" w:rsidP="005808FC">
            <w:pPr>
              <w:numPr>
                <w:ilvl w:val="0"/>
                <w:numId w:val="9"/>
              </w:numPr>
              <w:spacing w:after="0"/>
              <w:ind w:left="496"/>
              <w:jc w:val="left"/>
            </w:pPr>
            <w:r w:rsidRPr="00291DF5">
              <w:t xml:space="preserve">Gradski ured za </w:t>
            </w:r>
            <w:r w:rsidRPr="005808FC">
              <w:t>prostorno uređenje, izgradnju Grada, graditeljstvo, komunalne poslove</w:t>
            </w:r>
            <w:r w:rsidR="000509A0">
              <w:t xml:space="preserve"> i </w:t>
            </w:r>
            <w:r w:rsidRPr="00291DF5">
              <w:t>promet</w:t>
            </w:r>
          </w:p>
        </w:tc>
      </w:tr>
      <w:tr w:rsidR="00CC641E" w:rsidRPr="003D373D" w14:paraId="7708493D" w14:textId="77777777" w:rsidTr="005808FC">
        <w:trPr>
          <w:trHeight w:val="227"/>
        </w:trPr>
        <w:tc>
          <w:tcPr>
            <w:tcW w:w="3325" w:type="dxa"/>
            <w:shd w:val="clear" w:color="auto" w:fill="F2DBDB" w:themeFill="accent2" w:themeFillTint="33"/>
          </w:tcPr>
          <w:p w14:paraId="0CC451B6" w14:textId="77777777" w:rsidR="00CC641E" w:rsidRPr="005808FC" w:rsidRDefault="00CC641E">
            <w:pPr>
              <w:rPr>
                <w:b/>
                <w:bCs/>
              </w:rPr>
            </w:pPr>
            <w:r w:rsidRPr="00291DF5">
              <w:rPr>
                <w:b/>
                <w:bCs/>
              </w:rPr>
              <w:t>Partneri u provođenju aktivnosti:</w:t>
            </w:r>
          </w:p>
        </w:tc>
        <w:tc>
          <w:tcPr>
            <w:tcW w:w="5691" w:type="dxa"/>
          </w:tcPr>
          <w:p w14:paraId="627F6A56" w14:textId="77777777" w:rsidR="00CC641E" w:rsidRPr="003D373D" w:rsidRDefault="00CC641E" w:rsidP="005808FC">
            <w:pPr>
              <w:numPr>
                <w:ilvl w:val="0"/>
                <w:numId w:val="9"/>
              </w:numPr>
              <w:spacing w:after="0"/>
              <w:ind w:left="482" w:hanging="357"/>
              <w:jc w:val="left"/>
            </w:pPr>
            <w:r w:rsidRPr="00291DF5">
              <w:t>Integrirani promet zagrebačkog područja, d.o.o.</w:t>
            </w:r>
          </w:p>
          <w:p w14:paraId="4D1F606C" w14:textId="77777777" w:rsidR="00CC641E" w:rsidRPr="003D373D" w:rsidRDefault="00CC641E" w:rsidP="005808FC">
            <w:pPr>
              <w:numPr>
                <w:ilvl w:val="0"/>
                <w:numId w:val="9"/>
              </w:numPr>
              <w:spacing w:after="0"/>
              <w:ind w:left="482" w:hanging="357"/>
              <w:jc w:val="left"/>
            </w:pPr>
            <w:r w:rsidRPr="00291DF5">
              <w:t>ZET, d.o.o.</w:t>
            </w:r>
          </w:p>
          <w:p w14:paraId="1F00A6B6" w14:textId="6681A01A" w:rsidR="00CC641E" w:rsidRPr="003D373D" w:rsidDel="00436CBA" w:rsidRDefault="00CC641E" w:rsidP="005808FC">
            <w:pPr>
              <w:numPr>
                <w:ilvl w:val="0"/>
                <w:numId w:val="9"/>
              </w:numPr>
              <w:spacing w:after="0"/>
              <w:ind w:left="482" w:hanging="357"/>
              <w:jc w:val="left"/>
            </w:pPr>
            <w:r w:rsidRPr="00291DF5">
              <w:t>Zagrebačke ceste, d.o.o.</w:t>
            </w:r>
          </w:p>
        </w:tc>
      </w:tr>
      <w:tr w:rsidR="00CC641E" w:rsidRPr="003D373D" w14:paraId="33B76BE9" w14:textId="77777777" w:rsidTr="005808FC">
        <w:trPr>
          <w:trHeight w:val="227"/>
        </w:trPr>
        <w:tc>
          <w:tcPr>
            <w:tcW w:w="3325" w:type="dxa"/>
            <w:shd w:val="clear" w:color="auto" w:fill="F2DBDB" w:themeFill="accent2" w:themeFillTint="33"/>
          </w:tcPr>
          <w:p w14:paraId="13EEA10C" w14:textId="77777777" w:rsidR="00CC641E" w:rsidRPr="005808FC" w:rsidRDefault="00CC641E">
            <w:pPr>
              <w:rPr>
                <w:b/>
                <w:bCs/>
              </w:rPr>
            </w:pPr>
            <w:r w:rsidRPr="00291DF5">
              <w:rPr>
                <w:b/>
                <w:bCs/>
              </w:rPr>
              <w:t>Ostali uključeni dionici:</w:t>
            </w:r>
          </w:p>
        </w:tc>
        <w:tc>
          <w:tcPr>
            <w:tcW w:w="5691" w:type="dxa"/>
          </w:tcPr>
          <w:p w14:paraId="44A514D0" w14:textId="6FD2272A" w:rsidR="00CC641E" w:rsidRPr="003D373D" w:rsidRDefault="00CC641E" w:rsidP="005808FC">
            <w:pPr>
              <w:numPr>
                <w:ilvl w:val="0"/>
                <w:numId w:val="9"/>
              </w:numPr>
              <w:spacing w:after="0"/>
              <w:ind w:left="482" w:hanging="357"/>
              <w:jc w:val="left"/>
            </w:pPr>
            <w:r w:rsidRPr="00291DF5">
              <w:t xml:space="preserve">Ministarstvo </w:t>
            </w:r>
            <w:r w:rsidRPr="005808FC">
              <w:t>pomorstva, prometa</w:t>
            </w:r>
            <w:r w:rsidR="000509A0">
              <w:t xml:space="preserve"> i </w:t>
            </w:r>
            <w:r w:rsidRPr="00291DF5">
              <w:t>infrastrukture</w:t>
            </w:r>
          </w:p>
          <w:p w14:paraId="0C1C4609" w14:textId="77777777" w:rsidR="00CC641E" w:rsidRPr="003D373D" w:rsidRDefault="00CC641E" w:rsidP="005808FC">
            <w:pPr>
              <w:numPr>
                <w:ilvl w:val="0"/>
                <w:numId w:val="9"/>
              </w:numPr>
              <w:spacing w:after="0"/>
              <w:ind w:left="482" w:hanging="357"/>
              <w:jc w:val="left"/>
            </w:pPr>
            <w:r w:rsidRPr="00291DF5">
              <w:t>HŽ infrastruktura, d.o.o.</w:t>
            </w:r>
          </w:p>
        </w:tc>
      </w:tr>
      <w:tr w:rsidR="00CC641E" w:rsidRPr="003D373D" w14:paraId="430ED12F" w14:textId="77777777" w:rsidTr="005808FC">
        <w:trPr>
          <w:trHeight w:val="227"/>
        </w:trPr>
        <w:tc>
          <w:tcPr>
            <w:tcW w:w="3325" w:type="dxa"/>
            <w:shd w:val="clear" w:color="auto" w:fill="F2DBDB" w:themeFill="accent2" w:themeFillTint="33"/>
          </w:tcPr>
          <w:p w14:paraId="1EB39CAB" w14:textId="77777777" w:rsidR="00CC641E" w:rsidRPr="005808FC" w:rsidRDefault="00CC641E">
            <w:pPr>
              <w:rPr>
                <w:b/>
                <w:bCs/>
              </w:rPr>
            </w:pPr>
            <w:r w:rsidRPr="00291DF5">
              <w:rPr>
                <w:b/>
                <w:bCs/>
              </w:rPr>
              <w:t>Početak/kraj provedbe (godine)</w:t>
            </w:r>
          </w:p>
        </w:tc>
        <w:tc>
          <w:tcPr>
            <w:tcW w:w="5691" w:type="dxa"/>
          </w:tcPr>
          <w:p w14:paraId="6B8E097C" w14:textId="1BBECAEB" w:rsidR="00CC641E" w:rsidRPr="005808FC" w:rsidRDefault="00CC641E">
            <w:pPr>
              <w:rPr>
                <w:rFonts w:eastAsia="Calibri"/>
                <w:b/>
                <w:bCs/>
              </w:rPr>
            </w:pPr>
            <w:r w:rsidRPr="00291DF5">
              <w:rPr>
                <w:rFonts w:eastAsia="Calibri"/>
                <w:b/>
                <w:bCs/>
              </w:rPr>
              <w:t xml:space="preserve">2021 </w:t>
            </w:r>
            <w:r w:rsidR="00D05D04">
              <w:rPr>
                <w:rFonts w:eastAsia="Calibri"/>
                <w:b/>
                <w:bCs/>
              </w:rPr>
              <w:t>–</w:t>
            </w:r>
            <w:r w:rsidRPr="00291DF5">
              <w:rPr>
                <w:rFonts w:eastAsia="Calibri"/>
                <w:b/>
                <w:bCs/>
              </w:rPr>
              <w:t xml:space="preserve"> 2024</w:t>
            </w:r>
          </w:p>
        </w:tc>
      </w:tr>
      <w:tr w:rsidR="00CC641E" w:rsidRPr="003D373D" w14:paraId="70346A18" w14:textId="77777777" w:rsidTr="005808FC">
        <w:trPr>
          <w:trHeight w:val="227"/>
        </w:trPr>
        <w:tc>
          <w:tcPr>
            <w:tcW w:w="3325" w:type="dxa"/>
            <w:shd w:val="clear" w:color="auto" w:fill="F2DBDB" w:themeFill="accent2" w:themeFillTint="33"/>
          </w:tcPr>
          <w:p w14:paraId="2A7BCAB9" w14:textId="77777777" w:rsidR="00CC641E" w:rsidRPr="005808FC" w:rsidRDefault="00CC641E">
            <w:pPr>
              <w:rPr>
                <w:b/>
                <w:bCs/>
              </w:rPr>
            </w:pPr>
            <w:r w:rsidRPr="00291DF5">
              <w:rPr>
                <w:b/>
                <w:bCs/>
              </w:rPr>
              <w:t>Procjena troškova (jedinična ili ukupna po mjeri)</w:t>
            </w:r>
          </w:p>
        </w:tc>
        <w:tc>
          <w:tcPr>
            <w:tcW w:w="5691" w:type="dxa"/>
          </w:tcPr>
          <w:p w14:paraId="6A1CDC18" w14:textId="77777777" w:rsidR="00CC641E" w:rsidRPr="005808FC" w:rsidRDefault="00CC641E">
            <w:pPr>
              <w:rPr>
                <w:rFonts w:eastAsia="Calibri"/>
              </w:rPr>
            </w:pPr>
            <w:r w:rsidRPr="00291DF5">
              <w:rPr>
                <w:rFonts w:eastAsia="Calibri"/>
                <w:b/>
                <w:bCs/>
              </w:rPr>
              <w:t>1.500.000</w:t>
            </w:r>
          </w:p>
        </w:tc>
      </w:tr>
      <w:tr w:rsidR="00CC641E" w:rsidRPr="003D373D" w14:paraId="4C8B0BFF" w14:textId="77777777" w:rsidTr="005808FC">
        <w:trPr>
          <w:trHeight w:val="227"/>
        </w:trPr>
        <w:tc>
          <w:tcPr>
            <w:tcW w:w="3325" w:type="dxa"/>
            <w:shd w:val="clear" w:color="auto" w:fill="F2DBDB" w:themeFill="accent2" w:themeFillTint="33"/>
          </w:tcPr>
          <w:p w14:paraId="25D711B5" w14:textId="77777777" w:rsidR="00CC641E" w:rsidRPr="005808FC" w:rsidRDefault="00CC641E">
            <w:pPr>
              <w:rPr>
                <w:b/>
                <w:bCs/>
              </w:rPr>
            </w:pPr>
            <w:r w:rsidRPr="00291DF5">
              <w:rPr>
                <w:b/>
                <w:bCs/>
              </w:rPr>
              <w:t>Izvor sredstava za provedbu</w:t>
            </w:r>
          </w:p>
        </w:tc>
        <w:tc>
          <w:tcPr>
            <w:tcW w:w="5691" w:type="dxa"/>
          </w:tcPr>
          <w:p w14:paraId="46CF1150" w14:textId="77777777" w:rsidR="00CC641E" w:rsidRPr="003D373D" w:rsidRDefault="00CC641E" w:rsidP="005808FC">
            <w:pPr>
              <w:numPr>
                <w:ilvl w:val="0"/>
                <w:numId w:val="9"/>
              </w:numPr>
              <w:spacing w:after="0"/>
              <w:ind w:left="482" w:hanging="357"/>
              <w:jc w:val="left"/>
            </w:pPr>
            <w:r w:rsidRPr="00291DF5">
              <w:t>Proračun Grada Zagreba</w:t>
            </w:r>
          </w:p>
          <w:p w14:paraId="10D80B9F" w14:textId="77777777" w:rsidR="00CC641E" w:rsidRPr="003D373D" w:rsidRDefault="00CC641E" w:rsidP="005808FC">
            <w:pPr>
              <w:numPr>
                <w:ilvl w:val="0"/>
                <w:numId w:val="9"/>
              </w:numPr>
              <w:spacing w:after="0"/>
              <w:ind w:left="482" w:hanging="357"/>
              <w:jc w:val="left"/>
            </w:pPr>
            <w:r w:rsidRPr="00291DF5">
              <w:t>Državni proračun</w:t>
            </w:r>
          </w:p>
          <w:p w14:paraId="54FEC2FB" w14:textId="15E80580" w:rsidR="00CC641E" w:rsidRPr="003D373D" w:rsidRDefault="00CC641E" w:rsidP="005808FC">
            <w:pPr>
              <w:numPr>
                <w:ilvl w:val="0"/>
                <w:numId w:val="9"/>
              </w:numPr>
              <w:spacing w:after="0"/>
              <w:ind w:left="482" w:hanging="357"/>
              <w:jc w:val="left"/>
            </w:pPr>
            <w:r w:rsidRPr="00291DF5">
              <w:t>FZOEU</w:t>
            </w:r>
          </w:p>
        </w:tc>
      </w:tr>
      <w:tr w:rsidR="00CC641E" w:rsidRPr="003D373D" w14:paraId="747369B6" w14:textId="77777777" w:rsidTr="005808FC">
        <w:trPr>
          <w:trHeight w:val="1268"/>
        </w:trPr>
        <w:tc>
          <w:tcPr>
            <w:tcW w:w="3325" w:type="dxa"/>
            <w:shd w:val="clear" w:color="auto" w:fill="F2DBDB" w:themeFill="accent2" w:themeFillTint="33"/>
          </w:tcPr>
          <w:p w14:paraId="0D58164C" w14:textId="77777777" w:rsidR="00CC641E" w:rsidRPr="005808FC" w:rsidRDefault="00CC641E">
            <w:pPr>
              <w:rPr>
                <w:b/>
                <w:bCs/>
              </w:rPr>
            </w:pPr>
            <w:r w:rsidRPr="00291DF5">
              <w:rPr>
                <w:b/>
                <w:bCs/>
              </w:rPr>
              <w:lastRenderedPageBreak/>
              <w:t>Kratki opis/komentar</w:t>
            </w:r>
          </w:p>
        </w:tc>
        <w:tc>
          <w:tcPr>
            <w:tcW w:w="5691" w:type="dxa"/>
          </w:tcPr>
          <w:p w14:paraId="075C213A" w14:textId="6703A84D" w:rsidR="00CC641E" w:rsidRPr="005808FC" w:rsidRDefault="00CC641E">
            <w:pPr>
              <w:contextualSpacing/>
              <w:rPr>
                <w:rFonts w:eastAsia="Calibri"/>
              </w:rPr>
            </w:pPr>
            <w:r w:rsidRPr="00291DF5">
              <w:t>Učinci klimatskih promjena dokazano imaju određene negativne učinke na cestovnu, tračničku</w:t>
            </w:r>
            <w:r w:rsidR="000509A0">
              <w:t xml:space="preserve"> i </w:t>
            </w:r>
            <w:r w:rsidRPr="00291DF5">
              <w:t xml:space="preserve">potpornu prometnu infrastrukturu. Promjenom klimatskih uvjeta očekuje se učestala pojava izvanrednih događaja u smislu manifestacije jakih </w:t>
            </w:r>
            <w:r w:rsidRPr="005808FC">
              <w:t>kiša u kratkim vremenskim razdobljima (poplave), jakog vjetra (oluje) te temperaturnih ekstrema  (toplinski valovi</w:t>
            </w:r>
            <w:r w:rsidR="000509A0">
              <w:t xml:space="preserve"> i </w:t>
            </w:r>
            <w:r w:rsidRPr="00291DF5">
              <w:t>periodi iznimno hladnog vremena).  Utjecaj na tračničku infrastrukturu općenito podrazumijeva smanjenu sigurnost, povećane troškove popr</w:t>
            </w:r>
            <w:r w:rsidRPr="005808FC">
              <w:t>avaka</w:t>
            </w:r>
            <w:r w:rsidR="000509A0">
              <w:t xml:space="preserve"> i </w:t>
            </w:r>
            <w:r w:rsidRPr="00291DF5">
              <w:t>održavanja</w:t>
            </w:r>
            <w:r w:rsidR="000509A0">
              <w:t xml:space="preserve"> i </w:t>
            </w:r>
            <w:r w:rsidRPr="00291DF5">
              <w:t>prekide u prometovanju. Cestovna infrastruktura, ovisno o tipu utjecaja, ugrožena je na način da je smanjena brzina</w:t>
            </w:r>
            <w:r w:rsidR="000509A0">
              <w:t xml:space="preserve"> i </w:t>
            </w:r>
            <w:r w:rsidRPr="00291DF5">
              <w:t>protočnost prometovanja, ugrožena je sigurnost prometovanja, postoji direktna materijalna šteta</w:t>
            </w:r>
            <w:r w:rsidR="000509A0">
              <w:t xml:space="preserve"> i </w:t>
            </w:r>
            <w:r w:rsidRPr="00291DF5">
              <w:t>povećan</w:t>
            </w:r>
            <w:r w:rsidRPr="005808FC">
              <w:t>i su troškovi uslijed popravaka</w:t>
            </w:r>
            <w:r w:rsidR="000509A0">
              <w:t xml:space="preserve"> i </w:t>
            </w:r>
            <w:r w:rsidRPr="00291DF5">
              <w:t>održavanja. Slijedom navedenog nužno je adekvatno sagledati</w:t>
            </w:r>
            <w:r w:rsidR="000509A0">
              <w:t xml:space="preserve"> i </w:t>
            </w:r>
            <w:r w:rsidRPr="00291DF5">
              <w:t xml:space="preserve">procijeniti utjecaje te izraditi plan prilagodbe. </w:t>
            </w:r>
          </w:p>
        </w:tc>
      </w:tr>
    </w:tbl>
    <w:p w14:paraId="409E6E51" w14:textId="77777777" w:rsidR="000509A0" w:rsidRDefault="000509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396EF912" w14:textId="77777777" w:rsidTr="005808FC">
        <w:trPr>
          <w:trHeight w:val="227"/>
        </w:trPr>
        <w:tc>
          <w:tcPr>
            <w:tcW w:w="3325" w:type="dxa"/>
            <w:shd w:val="clear" w:color="auto" w:fill="C6D9F1" w:themeFill="text2" w:themeFillTint="33"/>
          </w:tcPr>
          <w:p w14:paraId="7932A58F" w14:textId="77777777" w:rsidR="00CC641E" w:rsidRPr="005808FC" w:rsidRDefault="00CC641E">
            <w:pPr>
              <w:rPr>
                <w:b/>
                <w:bCs/>
              </w:rPr>
            </w:pPr>
            <w:bookmarkStart w:id="253" w:name="_Hlk515263709"/>
            <w:r w:rsidRPr="00291DF5">
              <w:rPr>
                <w:b/>
                <w:bCs/>
              </w:rPr>
              <w:t>Redni broj mjere</w:t>
            </w:r>
          </w:p>
        </w:tc>
        <w:tc>
          <w:tcPr>
            <w:tcW w:w="5691" w:type="dxa"/>
            <w:shd w:val="clear" w:color="auto" w:fill="C6D9F1" w:themeFill="text2" w:themeFillTint="33"/>
          </w:tcPr>
          <w:p w14:paraId="2706581C" w14:textId="77777777" w:rsidR="00CC641E" w:rsidRPr="005808FC" w:rsidRDefault="00CC641E">
            <w:pPr>
              <w:rPr>
                <w:rFonts w:eastAsia="Calibri"/>
                <w:b/>
                <w:bCs/>
              </w:rPr>
            </w:pPr>
            <w:r w:rsidRPr="00291DF5">
              <w:rPr>
                <w:rFonts w:eastAsia="Calibri"/>
                <w:b/>
                <w:bCs/>
              </w:rPr>
              <w:t>5</w:t>
            </w:r>
          </w:p>
        </w:tc>
      </w:tr>
      <w:tr w:rsidR="00CC641E" w:rsidRPr="003D373D" w14:paraId="416DEA21" w14:textId="77777777" w:rsidTr="005808FC">
        <w:trPr>
          <w:trHeight w:val="818"/>
        </w:trPr>
        <w:tc>
          <w:tcPr>
            <w:tcW w:w="3325" w:type="dxa"/>
            <w:shd w:val="clear" w:color="auto" w:fill="C6D9F1" w:themeFill="text2" w:themeFillTint="33"/>
          </w:tcPr>
          <w:p w14:paraId="71560BA4"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0D098632" w14:textId="77777777" w:rsidR="00CC641E" w:rsidRPr="005808FC" w:rsidRDefault="00CC641E">
            <w:pPr>
              <w:autoSpaceDE w:val="0"/>
              <w:autoSpaceDN w:val="0"/>
              <w:adjustRightInd w:val="0"/>
              <w:rPr>
                <w:rFonts w:eastAsia="Calibri"/>
                <w:b/>
                <w:bCs/>
              </w:rPr>
            </w:pPr>
            <w:r w:rsidRPr="00291DF5">
              <w:rPr>
                <w:rFonts w:eastAsia="Calibri"/>
                <w:b/>
                <w:bCs/>
              </w:rPr>
              <w:t xml:space="preserve">Klimatizirana vozila javnog gradskog prijevoza kao </w:t>
            </w:r>
            <w:r w:rsidRPr="005808FC">
              <w:rPr>
                <w:rFonts w:eastAsia="Calibri"/>
                <w:b/>
                <w:bCs/>
              </w:rPr>
              <w:t>standard</w:t>
            </w:r>
          </w:p>
        </w:tc>
      </w:tr>
      <w:tr w:rsidR="00CC641E" w:rsidRPr="003D373D" w14:paraId="0678A740" w14:textId="77777777" w:rsidTr="005808FC">
        <w:trPr>
          <w:trHeight w:val="227"/>
        </w:trPr>
        <w:tc>
          <w:tcPr>
            <w:tcW w:w="3325" w:type="dxa"/>
            <w:shd w:val="clear" w:color="auto" w:fill="F2DBDB" w:themeFill="accent2" w:themeFillTint="33"/>
          </w:tcPr>
          <w:p w14:paraId="30BBD625" w14:textId="77777777" w:rsidR="00CC641E" w:rsidRPr="005808FC" w:rsidRDefault="00CC641E">
            <w:pPr>
              <w:rPr>
                <w:b/>
                <w:bCs/>
              </w:rPr>
            </w:pPr>
            <w:r w:rsidRPr="00291DF5">
              <w:rPr>
                <w:b/>
                <w:bCs/>
              </w:rPr>
              <w:t>Nositelj aktivnosti:</w:t>
            </w:r>
          </w:p>
        </w:tc>
        <w:tc>
          <w:tcPr>
            <w:tcW w:w="5691" w:type="dxa"/>
          </w:tcPr>
          <w:p w14:paraId="796ABB3C" w14:textId="77777777" w:rsidR="00CC641E" w:rsidRDefault="00CC641E" w:rsidP="005808FC">
            <w:pPr>
              <w:numPr>
                <w:ilvl w:val="0"/>
                <w:numId w:val="9"/>
              </w:numPr>
              <w:spacing w:after="0"/>
              <w:ind w:left="482" w:hanging="357"/>
              <w:jc w:val="left"/>
            </w:pPr>
            <w:r w:rsidRPr="00291DF5">
              <w:t>ZET, d.o.o.</w:t>
            </w:r>
          </w:p>
          <w:p w14:paraId="45F29631" w14:textId="2FA79803" w:rsidR="00FA7738" w:rsidRPr="003D373D" w:rsidRDefault="00FA7738" w:rsidP="005808FC">
            <w:pPr>
              <w:numPr>
                <w:ilvl w:val="0"/>
                <w:numId w:val="9"/>
              </w:numPr>
              <w:spacing w:after="0"/>
              <w:ind w:left="482" w:hanging="357"/>
              <w:jc w:val="left"/>
            </w:pPr>
            <w:r>
              <w:t>HŽ Putnički prijevoz, d.o.o.</w:t>
            </w:r>
          </w:p>
        </w:tc>
      </w:tr>
      <w:tr w:rsidR="00CC641E" w:rsidRPr="003D373D" w14:paraId="54CDBA4F" w14:textId="77777777" w:rsidTr="005808FC">
        <w:trPr>
          <w:trHeight w:val="227"/>
        </w:trPr>
        <w:tc>
          <w:tcPr>
            <w:tcW w:w="3325" w:type="dxa"/>
            <w:shd w:val="clear" w:color="auto" w:fill="F2DBDB" w:themeFill="accent2" w:themeFillTint="33"/>
          </w:tcPr>
          <w:p w14:paraId="5DB506BC" w14:textId="77777777" w:rsidR="00CC641E" w:rsidRPr="005808FC" w:rsidRDefault="00CC641E">
            <w:pPr>
              <w:rPr>
                <w:b/>
                <w:bCs/>
              </w:rPr>
            </w:pPr>
            <w:r w:rsidRPr="00291DF5">
              <w:rPr>
                <w:b/>
                <w:bCs/>
              </w:rPr>
              <w:t>Partneri u provođenju aktivnosti:</w:t>
            </w:r>
          </w:p>
        </w:tc>
        <w:tc>
          <w:tcPr>
            <w:tcW w:w="5691" w:type="dxa"/>
          </w:tcPr>
          <w:p w14:paraId="04D034E4" w14:textId="125C7A5A" w:rsidR="00CC641E" w:rsidRDefault="00CC641E" w:rsidP="005808FC">
            <w:pPr>
              <w:numPr>
                <w:ilvl w:val="0"/>
                <w:numId w:val="9"/>
              </w:numPr>
              <w:spacing w:after="0"/>
              <w:ind w:left="496"/>
              <w:jc w:val="left"/>
            </w:pPr>
            <w:r w:rsidRPr="00291DF5">
              <w:t>Gradski ured za gospodarstvo, energetiku</w:t>
            </w:r>
            <w:r w:rsidR="000509A0">
              <w:t xml:space="preserve"> i </w:t>
            </w:r>
            <w:r w:rsidRPr="00291DF5">
              <w:t>zaštitu okoliša</w:t>
            </w:r>
          </w:p>
          <w:p w14:paraId="37A87643" w14:textId="77113E07" w:rsidR="00CC641E" w:rsidRPr="003D373D" w:rsidDel="00436CBA" w:rsidRDefault="00CC641E" w:rsidP="005808FC">
            <w:pPr>
              <w:numPr>
                <w:ilvl w:val="0"/>
                <w:numId w:val="9"/>
              </w:numPr>
              <w:spacing w:after="0"/>
              <w:ind w:left="496"/>
              <w:jc w:val="left"/>
            </w:pPr>
            <w:r w:rsidRPr="00291DF5">
              <w:t>Gradski ured za zdravstvo</w:t>
            </w:r>
          </w:p>
        </w:tc>
      </w:tr>
      <w:tr w:rsidR="00CC641E" w:rsidRPr="003D373D" w14:paraId="17831136" w14:textId="77777777" w:rsidTr="005808FC">
        <w:trPr>
          <w:trHeight w:val="227"/>
        </w:trPr>
        <w:tc>
          <w:tcPr>
            <w:tcW w:w="3325" w:type="dxa"/>
            <w:shd w:val="clear" w:color="auto" w:fill="F2DBDB" w:themeFill="accent2" w:themeFillTint="33"/>
          </w:tcPr>
          <w:p w14:paraId="73715DF6" w14:textId="77777777" w:rsidR="00CC641E" w:rsidRPr="005808FC" w:rsidRDefault="00CC641E">
            <w:pPr>
              <w:rPr>
                <w:b/>
                <w:bCs/>
              </w:rPr>
            </w:pPr>
            <w:r w:rsidRPr="00291DF5">
              <w:rPr>
                <w:b/>
                <w:bCs/>
              </w:rPr>
              <w:t>Ostali uključeni dionici:</w:t>
            </w:r>
          </w:p>
        </w:tc>
        <w:tc>
          <w:tcPr>
            <w:tcW w:w="5691" w:type="dxa"/>
          </w:tcPr>
          <w:p w14:paraId="5F2E8A78" w14:textId="77777777" w:rsidR="00CC641E" w:rsidRPr="003D373D" w:rsidRDefault="00CC641E" w:rsidP="005808FC">
            <w:pPr>
              <w:numPr>
                <w:ilvl w:val="0"/>
                <w:numId w:val="9"/>
              </w:numPr>
              <w:spacing w:after="0"/>
              <w:ind w:left="496"/>
              <w:jc w:val="left"/>
            </w:pPr>
            <w:r w:rsidRPr="00291DF5">
              <w:t>Nastavni zavod za javno zdravstvo Dr. Andrija Štampar</w:t>
            </w:r>
          </w:p>
        </w:tc>
      </w:tr>
      <w:tr w:rsidR="00CC641E" w:rsidRPr="003D373D" w14:paraId="30138E85" w14:textId="77777777" w:rsidTr="005808FC">
        <w:trPr>
          <w:trHeight w:val="227"/>
        </w:trPr>
        <w:tc>
          <w:tcPr>
            <w:tcW w:w="3325" w:type="dxa"/>
            <w:shd w:val="clear" w:color="auto" w:fill="F2DBDB" w:themeFill="accent2" w:themeFillTint="33"/>
          </w:tcPr>
          <w:p w14:paraId="1A380283" w14:textId="77777777" w:rsidR="00CC641E" w:rsidRPr="005808FC" w:rsidRDefault="00CC641E">
            <w:pPr>
              <w:rPr>
                <w:b/>
                <w:bCs/>
              </w:rPr>
            </w:pPr>
            <w:r w:rsidRPr="00291DF5">
              <w:rPr>
                <w:b/>
                <w:bCs/>
              </w:rPr>
              <w:t>Početak/kraj provedbe (godine)</w:t>
            </w:r>
          </w:p>
        </w:tc>
        <w:tc>
          <w:tcPr>
            <w:tcW w:w="5691" w:type="dxa"/>
          </w:tcPr>
          <w:p w14:paraId="71C51069" w14:textId="017B4821" w:rsidR="00CC641E" w:rsidRPr="005808FC" w:rsidRDefault="00CC641E">
            <w:pPr>
              <w:rPr>
                <w:rFonts w:eastAsia="Calibri"/>
                <w:b/>
                <w:bCs/>
              </w:rPr>
            </w:pPr>
            <w:r w:rsidRPr="00291DF5">
              <w:rPr>
                <w:rFonts w:eastAsia="Calibri"/>
                <w:b/>
                <w:bCs/>
              </w:rPr>
              <w:t xml:space="preserve">2021 </w:t>
            </w:r>
            <w:r w:rsidR="00D05D04">
              <w:rPr>
                <w:rFonts w:eastAsia="Calibri"/>
                <w:b/>
                <w:bCs/>
              </w:rPr>
              <w:t>–</w:t>
            </w:r>
            <w:r w:rsidRPr="00291DF5">
              <w:rPr>
                <w:rFonts w:eastAsia="Calibri"/>
                <w:b/>
                <w:bCs/>
              </w:rPr>
              <w:t xml:space="preserve"> 2026</w:t>
            </w:r>
          </w:p>
        </w:tc>
      </w:tr>
      <w:tr w:rsidR="00CC641E" w:rsidRPr="003D373D" w14:paraId="4534975E" w14:textId="77777777" w:rsidTr="005808FC">
        <w:trPr>
          <w:trHeight w:val="227"/>
        </w:trPr>
        <w:tc>
          <w:tcPr>
            <w:tcW w:w="3325" w:type="dxa"/>
            <w:shd w:val="clear" w:color="auto" w:fill="F2DBDB" w:themeFill="accent2" w:themeFillTint="33"/>
          </w:tcPr>
          <w:p w14:paraId="794F6040" w14:textId="77777777" w:rsidR="00CC641E" w:rsidRPr="005808FC" w:rsidRDefault="00CC641E">
            <w:pPr>
              <w:rPr>
                <w:b/>
                <w:bCs/>
              </w:rPr>
            </w:pPr>
            <w:r w:rsidRPr="00291DF5">
              <w:rPr>
                <w:b/>
                <w:bCs/>
              </w:rPr>
              <w:t>Procjena troškova (jedinična ili ukupna po mjeri)</w:t>
            </w:r>
          </w:p>
        </w:tc>
        <w:tc>
          <w:tcPr>
            <w:tcW w:w="5691" w:type="dxa"/>
          </w:tcPr>
          <w:p w14:paraId="752C7294" w14:textId="18FADFB6" w:rsidR="00CC641E" w:rsidRPr="005808FC" w:rsidRDefault="00CC641E">
            <w:pPr>
              <w:rPr>
                <w:rFonts w:eastAsia="Calibri"/>
                <w:b/>
              </w:rPr>
            </w:pPr>
            <w:r w:rsidRPr="005808FC">
              <w:rPr>
                <w:rFonts w:eastAsia="Calibri"/>
                <w:b/>
              </w:rPr>
              <w:t>Mjera se ostvaruje kroz druge aktivnosti, prvenstveno kroz obnovu voznog parka</w:t>
            </w:r>
            <w:r w:rsidR="000509A0">
              <w:rPr>
                <w:rFonts w:eastAsia="Calibri"/>
                <w:b/>
              </w:rPr>
              <w:t>.</w:t>
            </w:r>
          </w:p>
        </w:tc>
      </w:tr>
      <w:tr w:rsidR="00CC641E" w:rsidRPr="003D373D" w14:paraId="14A585B8" w14:textId="77777777" w:rsidTr="005808FC">
        <w:trPr>
          <w:trHeight w:val="227"/>
        </w:trPr>
        <w:tc>
          <w:tcPr>
            <w:tcW w:w="3325" w:type="dxa"/>
            <w:shd w:val="clear" w:color="auto" w:fill="F2DBDB" w:themeFill="accent2" w:themeFillTint="33"/>
          </w:tcPr>
          <w:p w14:paraId="0D9FD7E1" w14:textId="77777777" w:rsidR="00CC641E" w:rsidRPr="005808FC" w:rsidRDefault="00CC641E">
            <w:pPr>
              <w:rPr>
                <w:b/>
                <w:bCs/>
              </w:rPr>
            </w:pPr>
            <w:r w:rsidRPr="00291DF5">
              <w:rPr>
                <w:b/>
                <w:bCs/>
              </w:rPr>
              <w:t>Izvor sredstava za provedbu</w:t>
            </w:r>
          </w:p>
        </w:tc>
        <w:tc>
          <w:tcPr>
            <w:tcW w:w="5691" w:type="dxa"/>
          </w:tcPr>
          <w:p w14:paraId="48298756" w14:textId="77777777" w:rsidR="00CC641E" w:rsidRDefault="00CC641E" w:rsidP="005808FC">
            <w:pPr>
              <w:numPr>
                <w:ilvl w:val="0"/>
                <w:numId w:val="9"/>
              </w:numPr>
              <w:spacing w:after="0"/>
              <w:ind w:left="482" w:hanging="357"/>
              <w:jc w:val="left"/>
            </w:pPr>
            <w:r w:rsidRPr="00291DF5">
              <w:t>Proračun ZET, d.o.o.</w:t>
            </w:r>
          </w:p>
          <w:p w14:paraId="7C39DBB6" w14:textId="77777777" w:rsidR="00CC641E" w:rsidRPr="003D373D" w:rsidRDefault="00CC641E" w:rsidP="005808FC">
            <w:pPr>
              <w:numPr>
                <w:ilvl w:val="0"/>
                <w:numId w:val="9"/>
              </w:numPr>
              <w:spacing w:after="0"/>
              <w:ind w:left="482" w:hanging="357"/>
              <w:jc w:val="left"/>
            </w:pPr>
            <w:r w:rsidRPr="00291DF5">
              <w:t>Proračun Grada Zagreba</w:t>
            </w:r>
          </w:p>
          <w:p w14:paraId="52AEBD6B" w14:textId="37F71CBA"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662E4AC3" w14:textId="77777777" w:rsidTr="005808FC">
        <w:trPr>
          <w:trHeight w:val="638"/>
        </w:trPr>
        <w:tc>
          <w:tcPr>
            <w:tcW w:w="3325" w:type="dxa"/>
            <w:shd w:val="clear" w:color="auto" w:fill="F2DBDB" w:themeFill="accent2" w:themeFillTint="33"/>
          </w:tcPr>
          <w:p w14:paraId="2D07A123" w14:textId="77777777" w:rsidR="00CC641E" w:rsidRPr="005808FC" w:rsidRDefault="00CC641E">
            <w:pPr>
              <w:rPr>
                <w:b/>
                <w:bCs/>
              </w:rPr>
            </w:pPr>
            <w:r w:rsidRPr="00291DF5">
              <w:rPr>
                <w:b/>
                <w:bCs/>
              </w:rPr>
              <w:t>Kratki opis/komentar</w:t>
            </w:r>
          </w:p>
        </w:tc>
        <w:tc>
          <w:tcPr>
            <w:tcW w:w="5691" w:type="dxa"/>
          </w:tcPr>
          <w:p w14:paraId="03BEDF84" w14:textId="0D8A01FA" w:rsidR="000509A0" w:rsidRDefault="00CC641E">
            <w:pPr>
              <w:contextualSpacing/>
            </w:pPr>
            <w:r w:rsidRPr="00291DF5">
              <w:t>Toplinski valovi su jedna od manifestacija klimatskih promjena koja ima značajan učinak na brojne aspekte svakodnevnog života, a možda</w:t>
            </w:r>
            <w:r w:rsidR="000509A0">
              <w:t xml:space="preserve"> i </w:t>
            </w:r>
            <w:r w:rsidRPr="00291DF5">
              <w:t xml:space="preserve">najizraženije na putnike u javnom gradskom prijevozu. Određena istraživanja pokazuju da </w:t>
            </w:r>
            <w:r w:rsidRPr="005808FC">
              <w:t>temperature u vozilima, na vrhuncu toplinskih valova mogu biti</w:t>
            </w:r>
            <w:r w:rsidR="000509A0">
              <w:t xml:space="preserve"> i </w:t>
            </w:r>
            <w:r w:rsidRPr="00291DF5">
              <w:t>do 4°C više u odnosu na temperaturu zraka van vozila.</w:t>
            </w:r>
          </w:p>
          <w:p w14:paraId="16192F08" w14:textId="027A9E01" w:rsidR="000509A0" w:rsidRDefault="00CC641E">
            <w:pPr>
              <w:contextualSpacing/>
              <w:rPr>
                <w:bCs/>
              </w:rPr>
            </w:pPr>
            <w:r w:rsidRPr="005808FC">
              <w:lastRenderedPageBreak/>
              <w:t xml:space="preserve">Navedeno predstavlja ozbiljnu prijetnju po ljudsko zdravlje. Slijedom navedenog, </w:t>
            </w:r>
            <w:r w:rsidRPr="005808FC">
              <w:rPr>
                <w:bCs/>
              </w:rPr>
              <w:t>cilj ove mjere je osigurati dostupnost klimatizacije u svim vozilima javnog gradskog prijevoza.</w:t>
            </w:r>
          </w:p>
          <w:p w14:paraId="0524CE34" w14:textId="77777777" w:rsidR="000509A0" w:rsidRDefault="000509A0">
            <w:pPr>
              <w:contextualSpacing/>
            </w:pPr>
          </w:p>
          <w:p w14:paraId="18BD8586" w14:textId="32B07492" w:rsidR="00CC641E" w:rsidRDefault="00CC641E">
            <w:pPr>
              <w:contextualSpacing/>
            </w:pPr>
            <w:r w:rsidRPr="005808FC">
              <w:t>Upotreba klimatizacijskih uređaja treba biti racionalna s obzirom na činjenicu da njihova upotreba uzrokuje veću potrošnju energije</w:t>
            </w:r>
            <w:r w:rsidR="000509A0">
              <w:t xml:space="preserve"> i </w:t>
            </w:r>
            <w:r w:rsidRPr="00291DF5">
              <w:t>samim time veće emisije CO</w:t>
            </w:r>
            <w:r w:rsidRPr="005808FC">
              <w:rPr>
                <w:vertAlign w:val="subscript"/>
              </w:rPr>
              <w:t>2</w:t>
            </w:r>
            <w:r w:rsidRPr="005808FC">
              <w:t>. U hladnijim razdobljima dana preporučuje se koristiti samo ventilaciju. U svakom slučaju, klimatizacijski uređaji predstavljaju prihvatljiv kompromis kada je u pitanju zaštita zdravlja ljudi.</w:t>
            </w:r>
          </w:p>
          <w:p w14:paraId="39B815EF" w14:textId="3674C2BE" w:rsidR="00CC641E" w:rsidRPr="005808FC" w:rsidRDefault="00CC641E">
            <w:pPr>
              <w:contextualSpacing/>
              <w:rPr>
                <w:rFonts w:eastAsia="Calibri"/>
              </w:rPr>
            </w:pPr>
            <w:r w:rsidRPr="00291DF5">
              <w:t>Preporuka je da se u suradnji s Gradskim uredom za zdravstvo</w:t>
            </w:r>
            <w:r w:rsidR="000509A0">
              <w:t xml:space="preserve"> i </w:t>
            </w:r>
            <w:r w:rsidRPr="00291DF5">
              <w:t xml:space="preserve">Nastavnim zavodom za javno zdravstvo, dr. </w:t>
            </w:r>
            <w:r w:rsidRPr="005808FC">
              <w:t xml:space="preserve">Andrija Štampar izrade protokoli o postupanju pri upotrebi klimatizacijskih uređaja u vozilima javnog gradskog prijevoza s obzirom na potrebu osiguranja adekvatnih temperaturnih uvjeta. </w:t>
            </w:r>
          </w:p>
        </w:tc>
      </w:tr>
      <w:bookmarkEnd w:id="253"/>
    </w:tbl>
    <w:p w14:paraId="00BF04C5" w14:textId="77777777" w:rsidR="00CC641E" w:rsidRDefault="00CC641E" w:rsidP="00CC641E">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4CDFFC94" w14:textId="77777777" w:rsidTr="005808FC">
        <w:trPr>
          <w:trHeight w:val="227"/>
        </w:trPr>
        <w:tc>
          <w:tcPr>
            <w:tcW w:w="3325" w:type="dxa"/>
            <w:shd w:val="clear" w:color="auto" w:fill="C6D9F1" w:themeFill="text2" w:themeFillTint="33"/>
          </w:tcPr>
          <w:p w14:paraId="3B26A0FB"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53FA857D" w14:textId="77777777" w:rsidR="00CC641E" w:rsidRPr="005808FC" w:rsidRDefault="00CC641E">
            <w:pPr>
              <w:rPr>
                <w:rFonts w:eastAsia="Calibri"/>
                <w:b/>
                <w:bCs/>
              </w:rPr>
            </w:pPr>
            <w:r w:rsidRPr="00291DF5">
              <w:rPr>
                <w:rFonts w:eastAsia="Calibri"/>
                <w:b/>
                <w:bCs/>
              </w:rPr>
              <w:t>6</w:t>
            </w:r>
          </w:p>
        </w:tc>
      </w:tr>
      <w:tr w:rsidR="00CC641E" w:rsidRPr="003D373D" w14:paraId="60041746" w14:textId="77777777" w:rsidTr="005808FC">
        <w:trPr>
          <w:trHeight w:val="818"/>
        </w:trPr>
        <w:tc>
          <w:tcPr>
            <w:tcW w:w="3325" w:type="dxa"/>
            <w:shd w:val="clear" w:color="auto" w:fill="C6D9F1" w:themeFill="text2" w:themeFillTint="33"/>
          </w:tcPr>
          <w:p w14:paraId="47E99062"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6654D88A" w14:textId="77777777" w:rsidR="00CC641E" w:rsidRPr="005808FC" w:rsidRDefault="00CC641E">
            <w:pPr>
              <w:autoSpaceDE w:val="0"/>
              <w:autoSpaceDN w:val="0"/>
              <w:adjustRightInd w:val="0"/>
              <w:rPr>
                <w:rFonts w:eastAsia="Calibri"/>
                <w:b/>
                <w:bCs/>
              </w:rPr>
            </w:pPr>
            <w:r w:rsidRPr="00291DF5">
              <w:rPr>
                <w:rFonts w:eastAsia="Calibri"/>
                <w:b/>
                <w:bCs/>
              </w:rPr>
              <w:t xml:space="preserve">Osiguranje </w:t>
            </w:r>
            <w:r w:rsidRPr="005808FC">
              <w:rPr>
                <w:rFonts w:eastAsia="Calibri"/>
                <w:b/>
                <w:bCs/>
              </w:rPr>
              <w:t>dostupnosti nadstrešnica koje pružaju zaštitu od sunca na stajalištima javnog gradskog prijevoza</w:t>
            </w:r>
          </w:p>
        </w:tc>
      </w:tr>
      <w:tr w:rsidR="00CC641E" w:rsidRPr="003D373D" w14:paraId="009B1BD2" w14:textId="77777777" w:rsidTr="005808FC">
        <w:trPr>
          <w:trHeight w:val="227"/>
        </w:trPr>
        <w:tc>
          <w:tcPr>
            <w:tcW w:w="3325" w:type="dxa"/>
            <w:shd w:val="clear" w:color="auto" w:fill="F2DBDB" w:themeFill="accent2" w:themeFillTint="33"/>
          </w:tcPr>
          <w:p w14:paraId="17FDBCE9" w14:textId="77777777" w:rsidR="00CC641E" w:rsidRPr="005808FC" w:rsidRDefault="00CC641E">
            <w:pPr>
              <w:rPr>
                <w:b/>
                <w:bCs/>
              </w:rPr>
            </w:pPr>
            <w:r w:rsidRPr="00291DF5">
              <w:rPr>
                <w:b/>
                <w:bCs/>
              </w:rPr>
              <w:t>Nositelj aktivnosti:</w:t>
            </w:r>
          </w:p>
        </w:tc>
        <w:tc>
          <w:tcPr>
            <w:tcW w:w="5691" w:type="dxa"/>
          </w:tcPr>
          <w:p w14:paraId="7E2C3285" w14:textId="5D9A29CA" w:rsidR="00CC641E" w:rsidRPr="003D373D" w:rsidRDefault="00CC641E"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tc>
      </w:tr>
      <w:tr w:rsidR="00CC641E" w:rsidRPr="003D373D" w14:paraId="22A2F4BC" w14:textId="77777777" w:rsidTr="005808FC">
        <w:trPr>
          <w:trHeight w:val="227"/>
        </w:trPr>
        <w:tc>
          <w:tcPr>
            <w:tcW w:w="3325" w:type="dxa"/>
            <w:shd w:val="clear" w:color="auto" w:fill="F2DBDB" w:themeFill="accent2" w:themeFillTint="33"/>
          </w:tcPr>
          <w:p w14:paraId="5986F25F" w14:textId="77777777" w:rsidR="00CC641E" w:rsidRPr="005808FC" w:rsidRDefault="00CC641E">
            <w:pPr>
              <w:rPr>
                <w:b/>
                <w:bCs/>
              </w:rPr>
            </w:pPr>
            <w:r w:rsidRPr="00291DF5">
              <w:rPr>
                <w:b/>
                <w:bCs/>
              </w:rPr>
              <w:t xml:space="preserve">Partneri u provođenju </w:t>
            </w:r>
            <w:r w:rsidRPr="005808FC">
              <w:rPr>
                <w:b/>
                <w:bCs/>
              </w:rPr>
              <w:t>aktivnosti:</w:t>
            </w:r>
          </w:p>
        </w:tc>
        <w:tc>
          <w:tcPr>
            <w:tcW w:w="5691" w:type="dxa"/>
          </w:tcPr>
          <w:p w14:paraId="290D115D" w14:textId="77777777" w:rsidR="00CC641E" w:rsidRDefault="00CC641E" w:rsidP="005808FC">
            <w:pPr>
              <w:numPr>
                <w:ilvl w:val="0"/>
                <w:numId w:val="9"/>
              </w:numPr>
              <w:spacing w:after="0"/>
              <w:ind w:left="482" w:hanging="357"/>
              <w:jc w:val="left"/>
            </w:pPr>
            <w:r w:rsidRPr="00291DF5">
              <w:t>ZET, d.o.o.</w:t>
            </w:r>
          </w:p>
          <w:p w14:paraId="7999F6EE" w14:textId="780DBF91" w:rsidR="00CC641E" w:rsidRPr="003D373D" w:rsidDel="00436CBA" w:rsidRDefault="00CC641E" w:rsidP="005808FC">
            <w:pPr>
              <w:numPr>
                <w:ilvl w:val="0"/>
                <w:numId w:val="9"/>
              </w:numPr>
              <w:spacing w:after="0"/>
              <w:ind w:left="482" w:hanging="357"/>
              <w:jc w:val="left"/>
            </w:pPr>
            <w:r w:rsidRPr="00291DF5">
              <w:t>Gradski ured za zdravstvo</w:t>
            </w:r>
          </w:p>
        </w:tc>
      </w:tr>
      <w:tr w:rsidR="00CC641E" w:rsidRPr="003D373D" w14:paraId="7F3A4ADF" w14:textId="77777777" w:rsidTr="005808FC">
        <w:trPr>
          <w:trHeight w:val="227"/>
        </w:trPr>
        <w:tc>
          <w:tcPr>
            <w:tcW w:w="3325" w:type="dxa"/>
            <w:shd w:val="clear" w:color="auto" w:fill="F2DBDB" w:themeFill="accent2" w:themeFillTint="33"/>
          </w:tcPr>
          <w:p w14:paraId="609395E7" w14:textId="77777777" w:rsidR="00CC641E" w:rsidRPr="005808FC" w:rsidRDefault="00CC641E">
            <w:pPr>
              <w:rPr>
                <w:b/>
                <w:bCs/>
              </w:rPr>
            </w:pPr>
            <w:r w:rsidRPr="00291DF5">
              <w:rPr>
                <w:b/>
                <w:bCs/>
              </w:rPr>
              <w:t>Ostali uključeni dionici:</w:t>
            </w:r>
          </w:p>
        </w:tc>
        <w:tc>
          <w:tcPr>
            <w:tcW w:w="5691" w:type="dxa"/>
          </w:tcPr>
          <w:p w14:paraId="18EAB54F" w14:textId="77777777" w:rsidR="00CC641E" w:rsidRPr="003D373D" w:rsidRDefault="00CC641E" w:rsidP="005808FC">
            <w:pPr>
              <w:numPr>
                <w:ilvl w:val="0"/>
                <w:numId w:val="9"/>
              </w:numPr>
              <w:spacing w:after="0"/>
              <w:ind w:left="482" w:hanging="357"/>
              <w:jc w:val="left"/>
            </w:pPr>
            <w:r w:rsidRPr="00291DF5">
              <w:t>Nastavni zavod za javno zdravstvo Dr. Andrija Štampar</w:t>
            </w:r>
          </w:p>
        </w:tc>
      </w:tr>
      <w:tr w:rsidR="00CC641E" w:rsidRPr="003D373D" w14:paraId="61F75A7C" w14:textId="77777777" w:rsidTr="005808FC">
        <w:trPr>
          <w:trHeight w:val="227"/>
        </w:trPr>
        <w:tc>
          <w:tcPr>
            <w:tcW w:w="3325" w:type="dxa"/>
            <w:shd w:val="clear" w:color="auto" w:fill="F2DBDB" w:themeFill="accent2" w:themeFillTint="33"/>
          </w:tcPr>
          <w:p w14:paraId="7A574F89" w14:textId="77777777" w:rsidR="00CC641E" w:rsidRPr="005808FC" w:rsidRDefault="00CC641E">
            <w:pPr>
              <w:rPr>
                <w:b/>
                <w:bCs/>
              </w:rPr>
            </w:pPr>
            <w:r w:rsidRPr="00291DF5">
              <w:rPr>
                <w:b/>
                <w:bCs/>
              </w:rPr>
              <w:t>Početak/kraj provedbe (godine)</w:t>
            </w:r>
          </w:p>
        </w:tc>
        <w:tc>
          <w:tcPr>
            <w:tcW w:w="5691" w:type="dxa"/>
          </w:tcPr>
          <w:p w14:paraId="029324CC" w14:textId="0479FF64" w:rsidR="00CC641E" w:rsidRPr="005808FC" w:rsidRDefault="00CC641E">
            <w:pPr>
              <w:rPr>
                <w:rFonts w:eastAsia="Calibri"/>
                <w:b/>
                <w:bCs/>
              </w:rPr>
            </w:pPr>
            <w:r w:rsidRPr="00291DF5">
              <w:rPr>
                <w:rFonts w:eastAsia="Calibri"/>
                <w:b/>
                <w:bCs/>
              </w:rPr>
              <w:t xml:space="preserve">2021 </w:t>
            </w:r>
            <w:r w:rsidR="00D05D04">
              <w:rPr>
                <w:rFonts w:eastAsia="Calibri"/>
                <w:b/>
                <w:bCs/>
              </w:rPr>
              <w:t>–</w:t>
            </w:r>
            <w:r w:rsidRPr="00291DF5">
              <w:rPr>
                <w:rFonts w:eastAsia="Calibri"/>
                <w:b/>
                <w:bCs/>
              </w:rPr>
              <w:t xml:space="preserve"> 2026</w:t>
            </w:r>
          </w:p>
        </w:tc>
      </w:tr>
      <w:tr w:rsidR="00CC641E" w:rsidRPr="003D373D" w14:paraId="07A76644" w14:textId="77777777" w:rsidTr="005808FC">
        <w:trPr>
          <w:trHeight w:val="227"/>
        </w:trPr>
        <w:tc>
          <w:tcPr>
            <w:tcW w:w="3325" w:type="dxa"/>
            <w:shd w:val="clear" w:color="auto" w:fill="F2DBDB" w:themeFill="accent2" w:themeFillTint="33"/>
          </w:tcPr>
          <w:p w14:paraId="69571F9D" w14:textId="77777777" w:rsidR="00CC641E" w:rsidRPr="005808FC" w:rsidRDefault="00CC641E">
            <w:pPr>
              <w:rPr>
                <w:b/>
                <w:bCs/>
              </w:rPr>
            </w:pPr>
            <w:r w:rsidRPr="00291DF5">
              <w:rPr>
                <w:b/>
                <w:bCs/>
              </w:rPr>
              <w:t>Procjena troškova (jedinična ili ukupna po mjeri)</w:t>
            </w:r>
          </w:p>
        </w:tc>
        <w:tc>
          <w:tcPr>
            <w:tcW w:w="5691" w:type="dxa"/>
          </w:tcPr>
          <w:p w14:paraId="4E64AF56" w14:textId="2EC35DAA" w:rsidR="00CC641E" w:rsidRPr="005808FC" w:rsidRDefault="00CC641E">
            <w:pPr>
              <w:rPr>
                <w:rFonts w:eastAsia="Calibri"/>
                <w:b/>
              </w:rPr>
            </w:pPr>
            <w:r w:rsidRPr="005808FC">
              <w:rPr>
                <w:rFonts w:eastAsia="Calibri"/>
                <w:b/>
              </w:rPr>
              <w:t>5.000.000</w:t>
            </w:r>
          </w:p>
        </w:tc>
      </w:tr>
      <w:tr w:rsidR="00CC641E" w:rsidRPr="003D373D" w14:paraId="4B93E0C1" w14:textId="77777777" w:rsidTr="005808FC">
        <w:trPr>
          <w:trHeight w:val="227"/>
        </w:trPr>
        <w:tc>
          <w:tcPr>
            <w:tcW w:w="3325" w:type="dxa"/>
            <w:shd w:val="clear" w:color="auto" w:fill="F2DBDB" w:themeFill="accent2" w:themeFillTint="33"/>
          </w:tcPr>
          <w:p w14:paraId="3C0AE105" w14:textId="77777777" w:rsidR="00CC641E" w:rsidRPr="005808FC" w:rsidRDefault="00CC641E">
            <w:pPr>
              <w:rPr>
                <w:b/>
                <w:bCs/>
              </w:rPr>
            </w:pPr>
            <w:r w:rsidRPr="00291DF5">
              <w:rPr>
                <w:b/>
                <w:bCs/>
              </w:rPr>
              <w:t xml:space="preserve">Izvor </w:t>
            </w:r>
            <w:r w:rsidRPr="005808FC">
              <w:rPr>
                <w:b/>
                <w:bCs/>
              </w:rPr>
              <w:t>sredstava za provedbu</w:t>
            </w:r>
          </w:p>
        </w:tc>
        <w:tc>
          <w:tcPr>
            <w:tcW w:w="5691" w:type="dxa"/>
          </w:tcPr>
          <w:p w14:paraId="08675E01" w14:textId="77777777" w:rsidR="00CC641E" w:rsidRPr="003D373D" w:rsidRDefault="00CC641E" w:rsidP="005808FC">
            <w:pPr>
              <w:numPr>
                <w:ilvl w:val="0"/>
                <w:numId w:val="9"/>
              </w:numPr>
              <w:spacing w:after="0"/>
              <w:ind w:left="482" w:hanging="357"/>
              <w:jc w:val="left"/>
            </w:pPr>
            <w:r w:rsidRPr="00291DF5">
              <w:t>Proračun Grada Zagreba</w:t>
            </w:r>
          </w:p>
          <w:p w14:paraId="008DF009" w14:textId="77777777" w:rsidR="00CC641E" w:rsidRDefault="00CC641E" w:rsidP="005808FC">
            <w:pPr>
              <w:numPr>
                <w:ilvl w:val="0"/>
                <w:numId w:val="9"/>
              </w:numPr>
              <w:spacing w:after="0"/>
              <w:ind w:left="482" w:hanging="357"/>
              <w:jc w:val="left"/>
            </w:pPr>
            <w:r w:rsidRPr="00291DF5">
              <w:t>Proračun ZET, d.o.o.</w:t>
            </w:r>
          </w:p>
          <w:p w14:paraId="603E2810" w14:textId="16B68195"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5FA1D710" w14:textId="77777777" w:rsidTr="005808FC">
        <w:trPr>
          <w:trHeight w:val="890"/>
        </w:trPr>
        <w:tc>
          <w:tcPr>
            <w:tcW w:w="3325" w:type="dxa"/>
            <w:shd w:val="clear" w:color="auto" w:fill="F2DBDB" w:themeFill="accent2" w:themeFillTint="33"/>
          </w:tcPr>
          <w:p w14:paraId="0322237C" w14:textId="77777777" w:rsidR="00CC641E" w:rsidRPr="005808FC" w:rsidRDefault="00CC641E">
            <w:pPr>
              <w:rPr>
                <w:b/>
                <w:bCs/>
              </w:rPr>
            </w:pPr>
            <w:r w:rsidRPr="00291DF5">
              <w:rPr>
                <w:b/>
                <w:bCs/>
              </w:rPr>
              <w:t>Kratki opis/komentar</w:t>
            </w:r>
          </w:p>
        </w:tc>
        <w:tc>
          <w:tcPr>
            <w:tcW w:w="5691" w:type="dxa"/>
          </w:tcPr>
          <w:p w14:paraId="4FB7F794" w14:textId="0EDD7AB1" w:rsidR="00CC641E" w:rsidRPr="005808FC" w:rsidRDefault="00CC641E">
            <w:pPr>
              <w:contextualSpacing/>
              <w:rPr>
                <w:rFonts w:eastAsia="Calibri"/>
              </w:rPr>
            </w:pPr>
            <w:r w:rsidRPr="00291DF5">
              <w:t>Toplinski valovi su jedna od manifestacija klimatskih promjena koja ima značajan učinak na brojne aspekte svakodnevnog života, a možda</w:t>
            </w:r>
            <w:r w:rsidR="000509A0">
              <w:t xml:space="preserve"> i </w:t>
            </w:r>
            <w:r w:rsidRPr="00291DF5">
              <w:t>najizraženije na putnik</w:t>
            </w:r>
            <w:r w:rsidRPr="005808FC">
              <w:t>e u javnom gradskom prijevozu</w:t>
            </w:r>
            <w:r w:rsidR="000509A0">
              <w:t xml:space="preserve"> i </w:t>
            </w:r>
            <w:r w:rsidRPr="00291DF5">
              <w:t>mogu predstavljati ozbiljnu prijetnju po ljudsko zdravlje. Slijedom navedenog, cilj ove mjere je osigurati dostupnost nadstrešnica koje pružaju zaštitu od direktnog izlaganja suncu. Konkretno, potrebno je mapirati postojeće stanje na stajalištima</w:t>
            </w:r>
            <w:r w:rsidR="000509A0">
              <w:t xml:space="preserve"> i </w:t>
            </w:r>
            <w:r w:rsidRPr="00291DF5">
              <w:t xml:space="preserve">planirati postupno zamjenu/izgradnju nadstrešnica koje pružaju adekvatnu zaštitu od direktnog </w:t>
            </w:r>
            <w:r w:rsidRPr="00291DF5">
              <w:lastRenderedPageBreak/>
              <w:t>osunčavanja. Pri odabiru tipa nadstrešnica</w:t>
            </w:r>
            <w:r w:rsidR="000509A0">
              <w:t xml:space="preserve"> i </w:t>
            </w:r>
            <w:r w:rsidRPr="00291DF5">
              <w:t>materijala za izgradnju u obzir treba uzeti</w:t>
            </w:r>
            <w:r w:rsidR="000509A0">
              <w:t xml:space="preserve"> i </w:t>
            </w:r>
            <w:r w:rsidRPr="00291DF5">
              <w:t>gdje je moguće dati prednost koriš</w:t>
            </w:r>
            <w:r w:rsidRPr="005808FC">
              <w:t>tenju zelenih materijala</w:t>
            </w:r>
            <w:r w:rsidR="000509A0">
              <w:t xml:space="preserve"> i </w:t>
            </w:r>
            <w:r w:rsidRPr="00291DF5">
              <w:t xml:space="preserve">tehnologija.   </w:t>
            </w:r>
          </w:p>
        </w:tc>
      </w:tr>
    </w:tbl>
    <w:p w14:paraId="2DB12C06" w14:textId="77777777" w:rsidR="00CC641E" w:rsidRDefault="00CC641E" w:rsidP="00CC641E">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7950923D" w14:textId="77777777" w:rsidTr="005808FC">
        <w:trPr>
          <w:trHeight w:val="227"/>
        </w:trPr>
        <w:tc>
          <w:tcPr>
            <w:tcW w:w="3325" w:type="dxa"/>
            <w:shd w:val="clear" w:color="auto" w:fill="C6D9F1" w:themeFill="text2" w:themeFillTint="33"/>
          </w:tcPr>
          <w:p w14:paraId="00F2A46C"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779A6639" w14:textId="77777777" w:rsidR="00CC641E" w:rsidRPr="005808FC" w:rsidRDefault="00CC641E">
            <w:pPr>
              <w:rPr>
                <w:rFonts w:eastAsia="Calibri"/>
                <w:b/>
                <w:bCs/>
              </w:rPr>
            </w:pPr>
            <w:r w:rsidRPr="00291DF5">
              <w:rPr>
                <w:rFonts w:eastAsia="Calibri"/>
                <w:b/>
                <w:bCs/>
              </w:rPr>
              <w:t>7</w:t>
            </w:r>
          </w:p>
        </w:tc>
      </w:tr>
      <w:tr w:rsidR="00CC641E" w:rsidRPr="003D373D" w14:paraId="5117F123" w14:textId="77777777" w:rsidTr="005808FC">
        <w:trPr>
          <w:trHeight w:val="818"/>
        </w:trPr>
        <w:tc>
          <w:tcPr>
            <w:tcW w:w="3325" w:type="dxa"/>
            <w:shd w:val="clear" w:color="auto" w:fill="C6D9F1" w:themeFill="text2" w:themeFillTint="33"/>
          </w:tcPr>
          <w:p w14:paraId="23072B5E"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65177CB4" w14:textId="77777777" w:rsidR="00CC641E" w:rsidRPr="005808FC" w:rsidRDefault="00CC641E">
            <w:pPr>
              <w:autoSpaceDE w:val="0"/>
              <w:autoSpaceDN w:val="0"/>
              <w:adjustRightInd w:val="0"/>
              <w:rPr>
                <w:rFonts w:eastAsia="Calibri"/>
                <w:b/>
                <w:bCs/>
              </w:rPr>
            </w:pPr>
            <w:r w:rsidRPr="00291DF5">
              <w:rPr>
                <w:rFonts w:eastAsia="Calibri"/>
                <w:b/>
                <w:bCs/>
              </w:rPr>
              <w:t>Održivo upravljanje cestovnim površinama s aspekta prilagodbe klimatskim promjenama</w:t>
            </w:r>
          </w:p>
        </w:tc>
      </w:tr>
      <w:tr w:rsidR="00CC641E" w:rsidRPr="003D373D" w14:paraId="2CAB5C0F" w14:textId="77777777" w:rsidTr="005808FC">
        <w:trPr>
          <w:trHeight w:val="227"/>
        </w:trPr>
        <w:tc>
          <w:tcPr>
            <w:tcW w:w="3325" w:type="dxa"/>
            <w:shd w:val="clear" w:color="auto" w:fill="F2DBDB" w:themeFill="accent2" w:themeFillTint="33"/>
          </w:tcPr>
          <w:p w14:paraId="1E8AAD33" w14:textId="77777777" w:rsidR="00CC641E" w:rsidRPr="005808FC" w:rsidRDefault="00CC641E">
            <w:pPr>
              <w:rPr>
                <w:b/>
                <w:bCs/>
              </w:rPr>
            </w:pPr>
            <w:r w:rsidRPr="00291DF5">
              <w:rPr>
                <w:b/>
                <w:bCs/>
              </w:rPr>
              <w:t>Nositelj aktivnosti:</w:t>
            </w:r>
          </w:p>
        </w:tc>
        <w:tc>
          <w:tcPr>
            <w:tcW w:w="5691" w:type="dxa"/>
          </w:tcPr>
          <w:p w14:paraId="67EA9036" w14:textId="17ED13E8" w:rsidR="00CC641E" w:rsidRPr="003D373D" w:rsidRDefault="00CC641E" w:rsidP="005808FC">
            <w:pPr>
              <w:numPr>
                <w:ilvl w:val="0"/>
                <w:numId w:val="9"/>
              </w:numPr>
              <w:spacing w:after="0"/>
              <w:ind w:left="496"/>
              <w:jc w:val="left"/>
            </w:pPr>
            <w:r w:rsidRPr="00291DF5">
              <w:t>Zagrebačke ceste, d.o.o.</w:t>
            </w:r>
          </w:p>
        </w:tc>
      </w:tr>
      <w:tr w:rsidR="00CC641E" w:rsidRPr="003D373D" w14:paraId="11A57A37" w14:textId="77777777" w:rsidTr="005808FC">
        <w:trPr>
          <w:trHeight w:val="227"/>
        </w:trPr>
        <w:tc>
          <w:tcPr>
            <w:tcW w:w="3325" w:type="dxa"/>
            <w:shd w:val="clear" w:color="auto" w:fill="F2DBDB" w:themeFill="accent2" w:themeFillTint="33"/>
          </w:tcPr>
          <w:p w14:paraId="44F76944" w14:textId="77777777" w:rsidR="00CC641E" w:rsidRPr="005808FC" w:rsidRDefault="00CC641E">
            <w:pPr>
              <w:rPr>
                <w:b/>
                <w:bCs/>
              </w:rPr>
            </w:pPr>
            <w:r w:rsidRPr="00291DF5">
              <w:rPr>
                <w:b/>
                <w:bCs/>
              </w:rPr>
              <w:t xml:space="preserve">Partneri u provođenju </w:t>
            </w:r>
            <w:r w:rsidRPr="005808FC">
              <w:rPr>
                <w:b/>
                <w:bCs/>
              </w:rPr>
              <w:t>aktivnosti:</w:t>
            </w:r>
          </w:p>
        </w:tc>
        <w:tc>
          <w:tcPr>
            <w:tcW w:w="5691" w:type="dxa"/>
          </w:tcPr>
          <w:p w14:paraId="02EB22DF" w14:textId="20FD819E" w:rsidR="00CC641E" w:rsidRPr="003D373D" w:rsidDel="00436CBA" w:rsidRDefault="00CC641E"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tc>
      </w:tr>
      <w:tr w:rsidR="00CC641E" w:rsidRPr="003D373D" w14:paraId="4FB27DE6" w14:textId="77777777" w:rsidTr="005808FC">
        <w:trPr>
          <w:trHeight w:val="227"/>
        </w:trPr>
        <w:tc>
          <w:tcPr>
            <w:tcW w:w="3325" w:type="dxa"/>
            <w:shd w:val="clear" w:color="auto" w:fill="F2DBDB" w:themeFill="accent2" w:themeFillTint="33"/>
          </w:tcPr>
          <w:p w14:paraId="144E421D" w14:textId="77777777" w:rsidR="00CC641E" w:rsidRPr="005808FC" w:rsidRDefault="00CC641E">
            <w:pPr>
              <w:rPr>
                <w:b/>
                <w:bCs/>
              </w:rPr>
            </w:pPr>
            <w:r w:rsidRPr="00291DF5">
              <w:rPr>
                <w:b/>
                <w:bCs/>
              </w:rPr>
              <w:t>Ostali uključeni dionici:</w:t>
            </w:r>
          </w:p>
        </w:tc>
        <w:tc>
          <w:tcPr>
            <w:tcW w:w="5691" w:type="dxa"/>
          </w:tcPr>
          <w:p w14:paraId="194B0A82" w14:textId="77777777" w:rsidR="00CC641E" w:rsidRDefault="00CC641E" w:rsidP="005808FC">
            <w:pPr>
              <w:numPr>
                <w:ilvl w:val="0"/>
                <w:numId w:val="9"/>
              </w:numPr>
              <w:spacing w:after="0"/>
              <w:ind w:left="496"/>
              <w:jc w:val="left"/>
            </w:pPr>
            <w:r w:rsidRPr="00291DF5">
              <w:t>Prometni fakultet Sveučilišta u Zagrebu</w:t>
            </w:r>
          </w:p>
          <w:p w14:paraId="6EDEEB00" w14:textId="77777777" w:rsidR="00CC641E" w:rsidRDefault="00CC641E" w:rsidP="005808FC">
            <w:pPr>
              <w:numPr>
                <w:ilvl w:val="0"/>
                <w:numId w:val="9"/>
              </w:numPr>
              <w:spacing w:after="0"/>
              <w:ind w:left="496"/>
              <w:jc w:val="left"/>
            </w:pPr>
            <w:r w:rsidRPr="00291DF5">
              <w:t>Građevinski fakultet Sveučilišta u Zagrebu</w:t>
            </w:r>
          </w:p>
          <w:p w14:paraId="78EA4DAA" w14:textId="77777777" w:rsidR="00CC641E" w:rsidRPr="003D373D" w:rsidRDefault="00CC641E" w:rsidP="005808FC">
            <w:pPr>
              <w:numPr>
                <w:ilvl w:val="0"/>
                <w:numId w:val="9"/>
              </w:numPr>
              <w:spacing w:after="0"/>
              <w:ind w:left="496"/>
              <w:jc w:val="left"/>
            </w:pPr>
            <w:r w:rsidRPr="00291DF5">
              <w:t>Ministarstvo unutarnjih poslova Repu</w:t>
            </w:r>
            <w:r w:rsidRPr="005808FC">
              <w:t>blike Hrvatske</w:t>
            </w:r>
          </w:p>
        </w:tc>
      </w:tr>
      <w:tr w:rsidR="00CC641E" w:rsidRPr="003D373D" w14:paraId="6707D1E6" w14:textId="77777777" w:rsidTr="005808FC">
        <w:trPr>
          <w:trHeight w:val="227"/>
        </w:trPr>
        <w:tc>
          <w:tcPr>
            <w:tcW w:w="3325" w:type="dxa"/>
            <w:shd w:val="clear" w:color="auto" w:fill="F2DBDB" w:themeFill="accent2" w:themeFillTint="33"/>
          </w:tcPr>
          <w:p w14:paraId="0D94C63C" w14:textId="77777777" w:rsidR="00CC641E" w:rsidRPr="005808FC" w:rsidRDefault="00CC641E">
            <w:pPr>
              <w:rPr>
                <w:b/>
                <w:bCs/>
              </w:rPr>
            </w:pPr>
            <w:r w:rsidRPr="00291DF5">
              <w:rPr>
                <w:b/>
                <w:bCs/>
              </w:rPr>
              <w:t>Početak/kraj provedbe (godine)</w:t>
            </w:r>
          </w:p>
        </w:tc>
        <w:tc>
          <w:tcPr>
            <w:tcW w:w="5691" w:type="dxa"/>
          </w:tcPr>
          <w:p w14:paraId="1F85B1EF" w14:textId="5747538D" w:rsidR="00CC641E" w:rsidRPr="005808FC" w:rsidRDefault="00CC641E">
            <w:pPr>
              <w:rPr>
                <w:rFonts w:eastAsia="Calibri"/>
                <w:b/>
                <w:bCs/>
              </w:rPr>
            </w:pPr>
            <w:r w:rsidRPr="00291DF5">
              <w:rPr>
                <w:rFonts w:eastAsia="Calibri"/>
                <w:b/>
                <w:bCs/>
              </w:rPr>
              <w:t xml:space="preserve">2021 </w:t>
            </w:r>
            <w:r w:rsidR="00D05D04">
              <w:rPr>
                <w:rFonts w:eastAsia="Calibri"/>
                <w:b/>
                <w:bCs/>
              </w:rPr>
              <w:t>–</w:t>
            </w:r>
            <w:r w:rsidRPr="00291DF5">
              <w:rPr>
                <w:rFonts w:eastAsia="Calibri"/>
                <w:b/>
                <w:bCs/>
              </w:rPr>
              <w:t xml:space="preserve"> 2030</w:t>
            </w:r>
          </w:p>
        </w:tc>
      </w:tr>
      <w:tr w:rsidR="00CC641E" w:rsidRPr="003D373D" w14:paraId="2DB1FBBA" w14:textId="77777777" w:rsidTr="005808FC">
        <w:trPr>
          <w:trHeight w:val="227"/>
        </w:trPr>
        <w:tc>
          <w:tcPr>
            <w:tcW w:w="3325" w:type="dxa"/>
            <w:shd w:val="clear" w:color="auto" w:fill="F2DBDB" w:themeFill="accent2" w:themeFillTint="33"/>
          </w:tcPr>
          <w:p w14:paraId="320C479C" w14:textId="77777777" w:rsidR="00CC641E" w:rsidRPr="005808FC" w:rsidRDefault="00CC641E">
            <w:pPr>
              <w:rPr>
                <w:b/>
                <w:bCs/>
              </w:rPr>
            </w:pPr>
            <w:r w:rsidRPr="00291DF5">
              <w:rPr>
                <w:b/>
                <w:bCs/>
              </w:rPr>
              <w:t>Procjena troškova (jedinična ili ukupna po mjeri)</w:t>
            </w:r>
          </w:p>
        </w:tc>
        <w:tc>
          <w:tcPr>
            <w:tcW w:w="5691" w:type="dxa"/>
          </w:tcPr>
          <w:p w14:paraId="1C240A75" w14:textId="20AC98CE" w:rsidR="00CC641E" w:rsidRPr="005808FC" w:rsidRDefault="00CC641E">
            <w:pPr>
              <w:rPr>
                <w:rFonts w:eastAsia="Calibri"/>
                <w:b/>
              </w:rPr>
            </w:pPr>
            <w:r w:rsidRPr="005808FC">
              <w:rPr>
                <w:rFonts w:eastAsia="Calibri"/>
                <w:b/>
              </w:rPr>
              <w:t>1.500.000</w:t>
            </w:r>
          </w:p>
        </w:tc>
      </w:tr>
      <w:tr w:rsidR="00CC641E" w:rsidRPr="003D373D" w14:paraId="2C3A8C3C" w14:textId="77777777" w:rsidTr="005808FC">
        <w:trPr>
          <w:trHeight w:val="227"/>
        </w:trPr>
        <w:tc>
          <w:tcPr>
            <w:tcW w:w="3325" w:type="dxa"/>
            <w:shd w:val="clear" w:color="auto" w:fill="F2DBDB" w:themeFill="accent2" w:themeFillTint="33"/>
          </w:tcPr>
          <w:p w14:paraId="2012E484" w14:textId="77777777" w:rsidR="00CC641E" w:rsidRPr="005808FC" w:rsidRDefault="00CC641E">
            <w:pPr>
              <w:rPr>
                <w:b/>
                <w:bCs/>
              </w:rPr>
            </w:pPr>
            <w:r w:rsidRPr="00291DF5">
              <w:rPr>
                <w:b/>
                <w:bCs/>
              </w:rPr>
              <w:t>Izvor sredstava za provedbu</w:t>
            </w:r>
          </w:p>
        </w:tc>
        <w:tc>
          <w:tcPr>
            <w:tcW w:w="5691" w:type="dxa"/>
          </w:tcPr>
          <w:p w14:paraId="0FD55C8B" w14:textId="77777777" w:rsidR="00CC641E" w:rsidRDefault="00CC641E" w:rsidP="005808FC">
            <w:pPr>
              <w:numPr>
                <w:ilvl w:val="0"/>
                <w:numId w:val="9"/>
              </w:numPr>
              <w:spacing w:after="0"/>
              <w:ind w:left="482" w:hanging="357"/>
              <w:jc w:val="left"/>
            </w:pPr>
            <w:r w:rsidRPr="00291DF5">
              <w:t>Proračun tvrtke Zagrebačke ceste, d.o.o.</w:t>
            </w:r>
          </w:p>
          <w:p w14:paraId="074C0A01" w14:textId="77777777" w:rsidR="00CC641E" w:rsidRPr="003D373D" w:rsidRDefault="00CC641E" w:rsidP="005808FC">
            <w:pPr>
              <w:numPr>
                <w:ilvl w:val="0"/>
                <w:numId w:val="9"/>
              </w:numPr>
              <w:spacing w:after="0"/>
              <w:ind w:left="482" w:hanging="357"/>
              <w:jc w:val="left"/>
            </w:pPr>
            <w:r w:rsidRPr="00291DF5">
              <w:t>Proračun Grada Zagreba</w:t>
            </w:r>
          </w:p>
          <w:p w14:paraId="0B28831C" w14:textId="3B309B55"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0E869E68" w14:textId="77777777" w:rsidTr="005808FC">
        <w:trPr>
          <w:trHeight w:val="1250"/>
        </w:trPr>
        <w:tc>
          <w:tcPr>
            <w:tcW w:w="3325" w:type="dxa"/>
            <w:shd w:val="clear" w:color="auto" w:fill="F2DBDB" w:themeFill="accent2" w:themeFillTint="33"/>
          </w:tcPr>
          <w:p w14:paraId="5D22A313" w14:textId="77777777" w:rsidR="00CC641E" w:rsidRPr="005808FC" w:rsidRDefault="00CC641E">
            <w:pPr>
              <w:rPr>
                <w:b/>
                <w:bCs/>
              </w:rPr>
            </w:pPr>
            <w:r w:rsidRPr="00291DF5">
              <w:rPr>
                <w:b/>
                <w:bCs/>
              </w:rPr>
              <w:t>Kratki opis/komentar</w:t>
            </w:r>
          </w:p>
        </w:tc>
        <w:tc>
          <w:tcPr>
            <w:tcW w:w="5691" w:type="dxa"/>
          </w:tcPr>
          <w:p w14:paraId="14D70278" w14:textId="74760C7A" w:rsidR="00CC641E" w:rsidRPr="005808FC" w:rsidRDefault="00CC641E">
            <w:pPr>
              <w:contextualSpacing/>
              <w:rPr>
                <w:rFonts w:eastAsia="Calibri"/>
              </w:rPr>
            </w:pPr>
            <w:r w:rsidRPr="00291DF5">
              <w:rPr>
                <w:rFonts w:eastAsia="Calibri"/>
              </w:rPr>
              <w:t xml:space="preserve">Tijekom </w:t>
            </w:r>
            <w:r w:rsidRPr="005808FC">
              <w:rPr>
                <w:rFonts w:eastAsia="Calibri"/>
              </w:rPr>
              <w:t>izraženih toplinskih valova visoke temperature</w:t>
            </w:r>
            <w:r w:rsidR="000509A0">
              <w:rPr>
                <w:rFonts w:eastAsia="Calibri"/>
              </w:rPr>
              <w:t xml:space="preserve"> i </w:t>
            </w:r>
            <w:r w:rsidRPr="00291DF5">
              <w:rPr>
                <w:rFonts w:eastAsia="Calibri"/>
              </w:rPr>
              <w:t xml:space="preserve">direktno osunčavanje uzrokuju strukturne promjene cestovnih (asfaltnih) površina što može imati negativne posljedice na odvijanje prometa u smislu ograničenja ili čak potpune zabrane korištenja određenih </w:t>
            </w:r>
            <w:r w:rsidRPr="005808FC">
              <w:rPr>
                <w:rFonts w:eastAsia="Calibri"/>
              </w:rPr>
              <w:t>cestovnih dionica</w:t>
            </w:r>
            <w:r w:rsidR="000509A0">
              <w:rPr>
                <w:rFonts w:eastAsia="Calibri"/>
              </w:rPr>
              <w:t xml:space="preserve"> i </w:t>
            </w:r>
            <w:r w:rsidRPr="00291DF5">
              <w:rPr>
                <w:rFonts w:eastAsia="Calibri"/>
              </w:rPr>
              <w:t>poremećaja u odvijanju javnog gradskog prijevoza. Izrazito zagrijana cestovna površina dodatno povećava temperaturu zraka što uzrokuje cijeli niz poveznih negativnih utjecaja</w:t>
            </w:r>
            <w:r w:rsidR="000509A0">
              <w:rPr>
                <w:rFonts w:eastAsia="Calibri"/>
              </w:rPr>
              <w:t xml:space="preserve"> i </w:t>
            </w:r>
            <w:r w:rsidRPr="00291DF5">
              <w:rPr>
                <w:rFonts w:eastAsia="Calibri"/>
              </w:rPr>
              <w:t>potreba za prilagodbama. Svojstva asfalta nosivost</w:t>
            </w:r>
            <w:r w:rsidR="000509A0">
              <w:rPr>
                <w:rFonts w:eastAsia="Calibri"/>
              </w:rPr>
              <w:t xml:space="preserve"> i </w:t>
            </w:r>
            <w:r w:rsidRPr="00291DF5">
              <w:rPr>
                <w:rFonts w:eastAsia="Calibri"/>
              </w:rPr>
              <w:t>otpornost na habanje ovise o temperaturi</w:t>
            </w:r>
            <w:r w:rsidR="000509A0">
              <w:rPr>
                <w:rFonts w:eastAsia="Calibri"/>
              </w:rPr>
              <w:t xml:space="preserve"> i </w:t>
            </w:r>
            <w:r w:rsidRPr="00291DF5">
              <w:rPr>
                <w:rFonts w:eastAsia="Calibri"/>
              </w:rPr>
              <w:t xml:space="preserve">na temperaturama iznad 30°C deformacijski učinak je izraženiji. </w:t>
            </w:r>
          </w:p>
          <w:p w14:paraId="17868505" w14:textId="77777777" w:rsidR="00CC641E" w:rsidRPr="005808FC" w:rsidRDefault="00CC641E">
            <w:pPr>
              <w:contextualSpacing/>
              <w:rPr>
                <w:rFonts w:eastAsia="Calibri"/>
              </w:rPr>
            </w:pPr>
            <w:r w:rsidRPr="005808FC">
              <w:rPr>
                <w:rFonts w:eastAsia="Calibri"/>
              </w:rPr>
              <w:t>Konkretne aktivnosti ove mjere podrazumijevaju:</w:t>
            </w:r>
          </w:p>
          <w:p w14:paraId="1EA9D8FA" w14:textId="26ADCF5C" w:rsidR="00CC641E" w:rsidRPr="005808FC" w:rsidRDefault="00CC641E" w:rsidP="005808FC">
            <w:pPr>
              <w:pStyle w:val="ListParagraph"/>
              <w:numPr>
                <w:ilvl w:val="0"/>
                <w:numId w:val="89"/>
              </w:numPr>
              <w:spacing w:after="0" w:line="240" w:lineRule="auto"/>
              <w:rPr>
                <w:rFonts w:eastAsia="Calibri"/>
              </w:rPr>
            </w:pPr>
            <w:r w:rsidRPr="005808FC">
              <w:rPr>
                <w:rFonts w:eastAsia="Calibri"/>
              </w:rPr>
              <w:t>Analizu postojećeg stanja cestovnih</w:t>
            </w:r>
            <w:r w:rsidR="000509A0">
              <w:rPr>
                <w:rFonts w:eastAsia="Calibri"/>
              </w:rPr>
              <w:t xml:space="preserve"> i </w:t>
            </w:r>
            <w:r w:rsidRPr="00291DF5">
              <w:rPr>
                <w:rFonts w:eastAsia="Calibri"/>
              </w:rPr>
              <w:t>pločničkih površina s obzirom na tip asfalta (sastav)</w:t>
            </w:r>
            <w:r w:rsidR="000509A0">
              <w:rPr>
                <w:rFonts w:eastAsia="Calibri"/>
              </w:rPr>
              <w:t xml:space="preserve"> i </w:t>
            </w:r>
            <w:r w:rsidRPr="00291DF5">
              <w:rPr>
                <w:rFonts w:eastAsia="Calibri"/>
              </w:rPr>
              <w:t>strukturni status;</w:t>
            </w:r>
          </w:p>
          <w:p w14:paraId="74F59F39" w14:textId="74F8D0DD" w:rsidR="00CC641E" w:rsidRPr="005808FC" w:rsidRDefault="00CC641E" w:rsidP="005808FC">
            <w:pPr>
              <w:pStyle w:val="ListParagraph"/>
              <w:numPr>
                <w:ilvl w:val="0"/>
                <w:numId w:val="89"/>
              </w:numPr>
              <w:spacing w:after="0" w:line="240" w:lineRule="auto"/>
              <w:rPr>
                <w:rFonts w:eastAsia="Calibri"/>
              </w:rPr>
            </w:pPr>
            <w:r w:rsidRPr="005808FC">
              <w:rPr>
                <w:rFonts w:eastAsia="Calibri"/>
              </w:rPr>
              <w:t>Izradu pregleda mogućnosti korištenja drugih mješavina asfalta koje su otpornije na strukturne promjene uzrokovane visokim temperaturama</w:t>
            </w:r>
            <w:r w:rsidR="000509A0">
              <w:rPr>
                <w:rFonts w:eastAsia="Calibri"/>
              </w:rPr>
              <w:t xml:space="preserve"> i </w:t>
            </w:r>
            <w:r w:rsidRPr="00291DF5">
              <w:rPr>
                <w:rFonts w:eastAsia="Calibri"/>
              </w:rPr>
              <w:t>koje su više reflektirajuće kako bi se umanjilo zagrijavanje površina;</w:t>
            </w:r>
          </w:p>
          <w:p w14:paraId="0DEA3496" w14:textId="77777777" w:rsidR="00CC641E" w:rsidRPr="005808FC" w:rsidRDefault="00CC641E" w:rsidP="005808FC">
            <w:pPr>
              <w:pStyle w:val="ListParagraph"/>
              <w:numPr>
                <w:ilvl w:val="0"/>
                <w:numId w:val="89"/>
              </w:numPr>
              <w:spacing w:after="0" w:line="240" w:lineRule="auto"/>
              <w:rPr>
                <w:rFonts w:eastAsia="Calibri"/>
              </w:rPr>
            </w:pPr>
            <w:r w:rsidRPr="005808FC">
              <w:rPr>
                <w:rFonts w:eastAsia="Calibri"/>
              </w:rPr>
              <w:lastRenderedPageBreak/>
              <w:t>Izraditi plan prilagodbe postojećih asfaltnih površina na bazi izrađenog pregleda mogućnosti prilagodbe;</w:t>
            </w:r>
          </w:p>
          <w:p w14:paraId="6CF0211A" w14:textId="77777777" w:rsidR="00CC641E" w:rsidRPr="005808FC" w:rsidRDefault="00CC641E" w:rsidP="005808FC">
            <w:pPr>
              <w:pStyle w:val="ListParagraph"/>
              <w:numPr>
                <w:ilvl w:val="0"/>
                <w:numId w:val="89"/>
              </w:numPr>
              <w:spacing w:after="0" w:line="240" w:lineRule="auto"/>
              <w:rPr>
                <w:rFonts w:eastAsia="Calibri"/>
              </w:rPr>
            </w:pPr>
            <w:r w:rsidRPr="005808FC">
              <w:rPr>
                <w:rFonts w:eastAsia="Calibri"/>
              </w:rPr>
              <w:t>Izraditi protokol s ograničenjima korištenja određenih dionica s obzirom na nosivost vozila;</w:t>
            </w:r>
          </w:p>
          <w:p w14:paraId="5332CEA4" w14:textId="0871A354" w:rsidR="00CC641E" w:rsidRPr="005808FC" w:rsidRDefault="00CC641E" w:rsidP="005808FC">
            <w:pPr>
              <w:pStyle w:val="ListParagraph"/>
              <w:numPr>
                <w:ilvl w:val="0"/>
                <w:numId w:val="89"/>
              </w:numPr>
              <w:spacing w:after="0" w:line="240" w:lineRule="auto"/>
              <w:rPr>
                <w:rFonts w:eastAsia="Calibri"/>
              </w:rPr>
            </w:pPr>
            <w:r w:rsidRPr="005808FC">
              <w:rPr>
                <w:rFonts w:eastAsia="Calibri"/>
              </w:rPr>
              <w:t>Kontinuirano pratiti stanje asfaltnih površina</w:t>
            </w:r>
            <w:r w:rsidR="000509A0">
              <w:rPr>
                <w:rFonts w:eastAsia="Calibri"/>
              </w:rPr>
              <w:t xml:space="preserve"> i </w:t>
            </w:r>
            <w:r w:rsidRPr="00291DF5">
              <w:rPr>
                <w:rFonts w:eastAsia="Calibri"/>
              </w:rPr>
              <w:t xml:space="preserve">reagirati </w:t>
            </w:r>
            <w:r w:rsidRPr="005808FC">
              <w:rPr>
                <w:rFonts w:eastAsia="Calibri"/>
              </w:rPr>
              <w:t>pravovremeno u slučaju izraženih temperaturnih ekstrema;</w:t>
            </w:r>
          </w:p>
          <w:p w14:paraId="5F2E4E81" w14:textId="77777777" w:rsidR="00CC641E" w:rsidRPr="005808FC" w:rsidRDefault="00CC641E" w:rsidP="005808FC">
            <w:pPr>
              <w:pStyle w:val="ListParagraph"/>
              <w:numPr>
                <w:ilvl w:val="0"/>
                <w:numId w:val="89"/>
              </w:numPr>
              <w:spacing w:after="0" w:line="240" w:lineRule="auto"/>
              <w:rPr>
                <w:rFonts w:eastAsia="Calibri"/>
              </w:rPr>
            </w:pPr>
            <w:r w:rsidRPr="005808FC">
              <w:rPr>
                <w:rFonts w:eastAsia="Calibri"/>
              </w:rPr>
              <w:t>Mjeru povezati s mjerama integracije zelene infrastrukture u svrhu zasjenjivanja asfaltnih površina.</w:t>
            </w:r>
          </w:p>
        </w:tc>
      </w:tr>
    </w:tbl>
    <w:p w14:paraId="3FCF864D" w14:textId="77777777" w:rsidR="00B227CC" w:rsidRPr="005808FC" w:rsidRDefault="00B227CC" w:rsidP="005808FC">
      <w:bookmarkStart w:id="254" w:name="_Toc523742955"/>
      <w:bookmarkStart w:id="255" w:name="_Toc523742982"/>
      <w:bookmarkEnd w:id="254"/>
      <w:bookmarkEnd w:id="255"/>
    </w:p>
    <w:p w14:paraId="37310F8D" w14:textId="63B4A2B2" w:rsidR="00AE5E1A" w:rsidRPr="00291DF5" w:rsidRDefault="00AE5E1A">
      <w:pPr>
        <w:pStyle w:val="Heading2"/>
      </w:pPr>
      <w:bookmarkStart w:id="256" w:name="_Toc4156110"/>
      <w:r w:rsidRPr="00B227CC">
        <w:t>Energetski sektor</w:t>
      </w:r>
      <w:bookmarkEnd w:id="256"/>
    </w:p>
    <w:p w14:paraId="58EFF3F2" w14:textId="3C5C5FBA" w:rsidR="006F376D" w:rsidRPr="005808FC" w:rsidRDefault="006F376D">
      <w:pPr>
        <w:contextualSpacing/>
        <w:rPr>
          <w:color w:val="212121"/>
          <w:shd w:val="clear" w:color="auto" w:fill="FFFFFF"/>
        </w:rPr>
      </w:pPr>
      <w:r w:rsidRPr="00291DF5">
        <w:rPr>
          <w:color w:val="212121"/>
          <w:shd w:val="clear" w:color="auto" w:fill="FFFFFF"/>
        </w:rPr>
        <w:t>Učinci klimatskih promjena, kao što su povećana učestalost ekstremnih vremenskih događaja, promjene u intenzitetu padalina, ekstremne temperature uzrokovati će negativne utjecaje na proizvodnju energije, prijenos, distribuciju</w:t>
      </w:r>
      <w:r w:rsidR="000509A0">
        <w:rPr>
          <w:color w:val="212121"/>
          <w:shd w:val="clear" w:color="auto" w:fill="FFFFFF"/>
        </w:rPr>
        <w:t xml:space="preserve"> i </w:t>
      </w:r>
      <w:r w:rsidRPr="00291DF5">
        <w:rPr>
          <w:color w:val="212121"/>
          <w:shd w:val="clear" w:color="auto" w:fill="FFFFFF"/>
        </w:rPr>
        <w:t>potražnju. Na sustave prijenosa</w:t>
      </w:r>
      <w:r w:rsidR="000509A0">
        <w:rPr>
          <w:color w:val="212121"/>
          <w:shd w:val="clear" w:color="auto" w:fill="FFFFFF"/>
        </w:rPr>
        <w:t xml:space="preserve"> i </w:t>
      </w:r>
      <w:r w:rsidRPr="00291DF5">
        <w:rPr>
          <w:color w:val="212121"/>
          <w:shd w:val="clear" w:color="auto" w:fill="FFFFFF"/>
        </w:rPr>
        <w:t>distribucije znatan utjecaj predstavljati će drugačiji sezonski uzorci potrošnje, kao</w:t>
      </w:r>
      <w:r w:rsidR="000509A0">
        <w:rPr>
          <w:color w:val="212121"/>
          <w:shd w:val="clear" w:color="auto" w:fill="FFFFFF"/>
        </w:rPr>
        <w:t xml:space="preserve"> i </w:t>
      </w:r>
      <w:r w:rsidRPr="00291DF5">
        <w:rPr>
          <w:color w:val="212121"/>
          <w:shd w:val="clear" w:color="auto" w:fill="FFFFFF"/>
        </w:rPr>
        <w:t xml:space="preserve">direktni fizički utjecaji ekstremnih vremenskih događaja. Najosjetljiviji su svakako stariji dijelovi ovih sustava. Proizvodnja </w:t>
      </w:r>
      <w:r w:rsidRPr="005808FC">
        <w:rPr>
          <w:color w:val="212121"/>
          <w:shd w:val="clear" w:color="auto" w:fill="FFFFFF"/>
        </w:rPr>
        <w:t>električne energije</w:t>
      </w:r>
      <w:r w:rsidR="00B25B9E" w:rsidRPr="005808FC">
        <w:rPr>
          <w:color w:val="212121"/>
          <w:shd w:val="clear" w:color="auto" w:fill="FFFFFF"/>
        </w:rPr>
        <w:t xml:space="preserve"> </w:t>
      </w:r>
      <w:r w:rsidRPr="005808FC">
        <w:rPr>
          <w:color w:val="212121"/>
          <w:shd w:val="clear" w:color="auto" w:fill="FFFFFF"/>
        </w:rPr>
        <w:t>ugrožena je smanjenjem učinkovitosti sustava zbog npr. smanjenja dostupnosti vode za hlađenje postrojenja. Poplave predstavljaju jedan od najvećih rizika za postrojenja za proizvodnju energije, ali</w:t>
      </w:r>
      <w:r w:rsidR="000509A0">
        <w:rPr>
          <w:color w:val="212121"/>
          <w:shd w:val="clear" w:color="auto" w:fill="FFFFFF"/>
        </w:rPr>
        <w:t xml:space="preserve"> i </w:t>
      </w:r>
      <w:r w:rsidRPr="00291DF5">
        <w:rPr>
          <w:color w:val="212121"/>
          <w:shd w:val="clear" w:color="auto" w:fill="FFFFFF"/>
        </w:rPr>
        <w:t>za poveznu fizičku infrastrukturu</w:t>
      </w:r>
      <w:r w:rsidRPr="005808FC">
        <w:rPr>
          <w:color w:val="212121"/>
          <w:shd w:val="clear" w:color="auto" w:fill="FFFFFF"/>
        </w:rPr>
        <w:t xml:space="preserve">. Sezonski zahtjevi za isporukom energije će se mijenjati, prvenstveno će se povećavati potrošnja električne energije u vrijeme izraženih toplinskih valova, što predstavlja značajno opterećenje za ukupan elektroenergetski sektor. </w:t>
      </w:r>
    </w:p>
    <w:p w14:paraId="3A11576F" w14:textId="46540FAC" w:rsidR="006F376D" w:rsidRDefault="006F376D" w:rsidP="006F376D">
      <w:pPr>
        <w:contextualSpacing/>
        <w:rPr>
          <w:rFonts w:cstheme="minorHAnsi"/>
          <w:color w:val="212121"/>
          <w:shd w:val="clear" w:color="auto" w:fill="FFFFFF"/>
        </w:rPr>
      </w:pPr>
    </w:p>
    <w:p w14:paraId="29C961C9" w14:textId="77777777" w:rsidR="006F376D" w:rsidRPr="005808FC" w:rsidRDefault="006F376D">
      <w:pPr>
        <w:tabs>
          <w:tab w:val="center" w:pos="1062"/>
        </w:tabs>
        <w:rPr>
          <w:rFonts w:eastAsia="Times New Roman"/>
          <w:lang w:eastAsia="hr-HR"/>
        </w:rPr>
      </w:pPr>
      <w:r w:rsidRPr="00291DF5">
        <w:rPr>
          <w:rFonts w:eastAsia="Times New Roman"/>
          <w:lang w:eastAsia="hr-HR"/>
        </w:rPr>
        <w:t>Rizici se sumarno mogu p</w:t>
      </w:r>
      <w:r w:rsidRPr="005808FC">
        <w:rPr>
          <w:rFonts w:eastAsia="Times New Roman"/>
          <w:lang w:eastAsia="hr-HR"/>
        </w:rPr>
        <w:t>redstaviti u vidu sljedećih grupa:</w:t>
      </w:r>
    </w:p>
    <w:p w14:paraId="086E679B" w14:textId="77777777" w:rsidR="006F376D" w:rsidRPr="005808FC" w:rsidRDefault="006F376D">
      <w:pPr>
        <w:pStyle w:val="ListParagraph"/>
        <w:numPr>
          <w:ilvl w:val="0"/>
          <w:numId w:val="78"/>
        </w:numPr>
        <w:rPr>
          <w:color w:val="212121"/>
        </w:rPr>
      </w:pPr>
      <w:r w:rsidRPr="005808FC">
        <w:rPr>
          <w:color w:val="212121"/>
          <w:shd w:val="clear" w:color="auto" w:fill="FFFFFF"/>
        </w:rPr>
        <w:t>Opterećenje elektroenergetskog sustava uslijed toplinskih valova</w:t>
      </w:r>
    </w:p>
    <w:p w14:paraId="0E894CE0" w14:textId="77777777" w:rsidR="006F376D" w:rsidRPr="005808FC" w:rsidRDefault="006F376D">
      <w:pPr>
        <w:pStyle w:val="ListParagraph"/>
        <w:numPr>
          <w:ilvl w:val="0"/>
          <w:numId w:val="78"/>
        </w:numPr>
        <w:rPr>
          <w:color w:val="212121"/>
        </w:rPr>
      </w:pPr>
      <w:r w:rsidRPr="00291DF5">
        <w:rPr>
          <w:color w:val="212121"/>
          <w:shd w:val="clear" w:color="auto" w:fill="FFFFFF"/>
        </w:rPr>
        <w:t>Oštećenje distribucijskih sustava uslijed ekstremnih vremenskih događaja</w:t>
      </w:r>
    </w:p>
    <w:p w14:paraId="4456DD41" w14:textId="77777777" w:rsidR="006F376D" w:rsidRPr="005808FC" w:rsidRDefault="006F376D">
      <w:pPr>
        <w:pStyle w:val="ListParagraph"/>
        <w:numPr>
          <w:ilvl w:val="0"/>
          <w:numId w:val="78"/>
        </w:numPr>
        <w:rPr>
          <w:color w:val="212121"/>
        </w:rPr>
      </w:pPr>
      <w:r w:rsidRPr="00291DF5">
        <w:rPr>
          <w:color w:val="212121"/>
          <w:shd w:val="clear" w:color="auto" w:fill="FFFFFF"/>
        </w:rPr>
        <w:t>Negativan utjecaj pojave klizišta na energetske sustave</w:t>
      </w:r>
    </w:p>
    <w:p w14:paraId="5372E313" w14:textId="77777777" w:rsidR="006F376D" w:rsidRPr="005808FC" w:rsidRDefault="006F376D">
      <w:pPr>
        <w:pStyle w:val="ListParagraph"/>
        <w:numPr>
          <w:ilvl w:val="0"/>
          <w:numId w:val="78"/>
        </w:numPr>
        <w:rPr>
          <w:color w:val="212121"/>
        </w:rPr>
      </w:pPr>
      <w:r w:rsidRPr="00291DF5">
        <w:rPr>
          <w:color w:val="212121"/>
          <w:shd w:val="clear" w:color="auto" w:fill="FFFFFF"/>
        </w:rPr>
        <w:t>Suša – nedostatak vode za h</w:t>
      </w:r>
      <w:r w:rsidRPr="005808FC">
        <w:rPr>
          <w:color w:val="212121"/>
          <w:shd w:val="clear" w:color="auto" w:fill="FFFFFF"/>
        </w:rPr>
        <w:t>lađenje proizvodnih energetskih postrojenja</w:t>
      </w:r>
    </w:p>
    <w:p w14:paraId="46A9EB9D" w14:textId="77777777" w:rsidR="00CC641E" w:rsidRPr="003D373D" w:rsidRDefault="00CC641E" w:rsidP="00CC641E">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5C734E16" w14:textId="77777777" w:rsidTr="005808FC">
        <w:trPr>
          <w:trHeight w:val="227"/>
        </w:trPr>
        <w:tc>
          <w:tcPr>
            <w:tcW w:w="3325" w:type="dxa"/>
            <w:shd w:val="clear" w:color="auto" w:fill="C6D9F1" w:themeFill="text2" w:themeFillTint="33"/>
          </w:tcPr>
          <w:p w14:paraId="7FC0BE5F"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205448A3" w14:textId="77777777" w:rsidR="00CC641E" w:rsidRPr="005808FC" w:rsidRDefault="00CC641E">
            <w:pPr>
              <w:rPr>
                <w:rFonts w:eastAsia="Calibri"/>
                <w:b/>
                <w:bCs/>
              </w:rPr>
            </w:pPr>
            <w:r w:rsidRPr="00291DF5">
              <w:rPr>
                <w:rFonts w:eastAsia="Calibri"/>
                <w:b/>
                <w:bCs/>
              </w:rPr>
              <w:t>8</w:t>
            </w:r>
          </w:p>
        </w:tc>
      </w:tr>
      <w:tr w:rsidR="00CC641E" w:rsidRPr="003D373D" w14:paraId="58917DA8" w14:textId="77777777" w:rsidTr="005808FC">
        <w:trPr>
          <w:trHeight w:val="818"/>
        </w:trPr>
        <w:tc>
          <w:tcPr>
            <w:tcW w:w="3325" w:type="dxa"/>
            <w:shd w:val="clear" w:color="auto" w:fill="C6D9F1" w:themeFill="text2" w:themeFillTint="33"/>
          </w:tcPr>
          <w:p w14:paraId="4E8776A9"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3DE014FA" w14:textId="3ED13CDC" w:rsidR="00CC641E" w:rsidRPr="005808FC" w:rsidRDefault="00CC641E">
            <w:pPr>
              <w:autoSpaceDE w:val="0"/>
              <w:autoSpaceDN w:val="0"/>
              <w:adjustRightInd w:val="0"/>
              <w:rPr>
                <w:rFonts w:eastAsia="Calibri"/>
                <w:b/>
                <w:bCs/>
              </w:rPr>
            </w:pPr>
            <w:r w:rsidRPr="00291DF5">
              <w:rPr>
                <w:rFonts w:eastAsia="Calibri"/>
                <w:b/>
                <w:bCs/>
              </w:rPr>
              <w:t>Analiza postojećih distribucijskih sustava električne energije, prirodnog plina</w:t>
            </w:r>
            <w:r w:rsidR="000509A0">
              <w:rPr>
                <w:rFonts w:eastAsia="Calibri"/>
                <w:b/>
                <w:bCs/>
              </w:rPr>
              <w:t xml:space="preserve"> i </w:t>
            </w:r>
            <w:r w:rsidRPr="00291DF5">
              <w:rPr>
                <w:rFonts w:eastAsia="Calibri"/>
                <w:b/>
                <w:bCs/>
              </w:rPr>
              <w:t>topline te jačanje njihove otpornosti na učinke klimatskih promjena</w:t>
            </w:r>
          </w:p>
        </w:tc>
      </w:tr>
      <w:tr w:rsidR="00CC641E" w:rsidRPr="003D373D" w14:paraId="50BC6563" w14:textId="77777777" w:rsidTr="005808FC">
        <w:trPr>
          <w:trHeight w:val="227"/>
        </w:trPr>
        <w:tc>
          <w:tcPr>
            <w:tcW w:w="3325" w:type="dxa"/>
            <w:shd w:val="clear" w:color="auto" w:fill="F2DBDB" w:themeFill="accent2" w:themeFillTint="33"/>
          </w:tcPr>
          <w:p w14:paraId="608E70C5" w14:textId="77777777" w:rsidR="00CC641E" w:rsidRPr="005808FC" w:rsidRDefault="00CC641E">
            <w:pPr>
              <w:rPr>
                <w:b/>
                <w:bCs/>
              </w:rPr>
            </w:pPr>
            <w:r w:rsidRPr="00291DF5">
              <w:rPr>
                <w:b/>
                <w:bCs/>
              </w:rPr>
              <w:t xml:space="preserve">Nositelj </w:t>
            </w:r>
            <w:r w:rsidRPr="005808FC">
              <w:rPr>
                <w:b/>
                <w:bCs/>
              </w:rPr>
              <w:t>aktivnosti:</w:t>
            </w:r>
          </w:p>
        </w:tc>
        <w:tc>
          <w:tcPr>
            <w:tcW w:w="5691" w:type="dxa"/>
          </w:tcPr>
          <w:p w14:paraId="4BEFFCA7" w14:textId="59DCCB81" w:rsidR="00CC641E" w:rsidRPr="003D373D" w:rsidRDefault="00CC641E" w:rsidP="005808FC">
            <w:pPr>
              <w:numPr>
                <w:ilvl w:val="0"/>
                <w:numId w:val="9"/>
              </w:numPr>
              <w:spacing w:after="0"/>
              <w:ind w:left="482" w:hanging="357"/>
              <w:jc w:val="left"/>
              <w:rPr>
                <w:rFonts w:cstheme="minorHAnsi"/>
              </w:rPr>
            </w:pPr>
            <w:r w:rsidRPr="00291DF5">
              <w:t>Gradski ured za gospodarstvo, energetiku</w:t>
            </w:r>
            <w:r w:rsidR="000509A0">
              <w:t xml:space="preserve"> i </w:t>
            </w:r>
            <w:r w:rsidRPr="00291DF5">
              <w:t>zaštitu okoliša – koordinacija</w:t>
            </w:r>
          </w:p>
        </w:tc>
      </w:tr>
      <w:tr w:rsidR="00CC641E" w:rsidRPr="003D373D" w14:paraId="6C7526E0" w14:textId="77777777" w:rsidTr="005808FC">
        <w:trPr>
          <w:trHeight w:val="227"/>
        </w:trPr>
        <w:tc>
          <w:tcPr>
            <w:tcW w:w="3325" w:type="dxa"/>
            <w:shd w:val="clear" w:color="auto" w:fill="F2DBDB" w:themeFill="accent2" w:themeFillTint="33"/>
          </w:tcPr>
          <w:p w14:paraId="668A752F" w14:textId="77777777" w:rsidR="00CC641E" w:rsidRPr="005808FC" w:rsidRDefault="00CC641E">
            <w:pPr>
              <w:rPr>
                <w:b/>
                <w:bCs/>
              </w:rPr>
            </w:pPr>
            <w:r w:rsidRPr="00291DF5">
              <w:rPr>
                <w:b/>
                <w:bCs/>
              </w:rPr>
              <w:t>Partneri u provođenju aktivnosti:</w:t>
            </w:r>
          </w:p>
        </w:tc>
        <w:tc>
          <w:tcPr>
            <w:tcW w:w="5691" w:type="dxa"/>
          </w:tcPr>
          <w:p w14:paraId="68BE6D54" w14:textId="77777777" w:rsidR="00CC641E" w:rsidRPr="003D373D" w:rsidDel="00436CBA" w:rsidRDefault="00CC641E" w:rsidP="005808FC">
            <w:pPr>
              <w:numPr>
                <w:ilvl w:val="0"/>
                <w:numId w:val="9"/>
              </w:numPr>
              <w:spacing w:after="0"/>
              <w:ind w:left="482" w:hanging="357"/>
              <w:jc w:val="left"/>
            </w:pPr>
            <w:r w:rsidRPr="00291DF5">
              <w:t>REGEA</w:t>
            </w:r>
          </w:p>
        </w:tc>
      </w:tr>
      <w:tr w:rsidR="00CC641E" w:rsidRPr="003D373D" w14:paraId="1CD16B77" w14:textId="77777777" w:rsidTr="005808FC">
        <w:trPr>
          <w:trHeight w:val="227"/>
        </w:trPr>
        <w:tc>
          <w:tcPr>
            <w:tcW w:w="3325" w:type="dxa"/>
            <w:shd w:val="clear" w:color="auto" w:fill="F2DBDB" w:themeFill="accent2" w:themeFillTint="33"/>
          </w:tcPr>
          <w:p w14:paraId="656146C6" w14:textId="77777777" w:rsidR="00CC641E" w:rsidRPr="005808FC" w:rsidRDefault="00CC641E">
            <w:pPr>
              <w:rPr>
                <w:b/>
                <w:bCs/>
              </w:rPr>
            </w:pPr>
            <w:r w:rsidRPr="00291DF5">
              <w:rPr>
                <w:b/>
                <w:bCs/>
              </w:rPr>
              <w:t>Ostali uključeni dionici:</w:t>
            </w:r>
          </w:p>
        </w:tc>
        <w:tc>
          <w:tcPr>
            <w:tcW w:w="5691" w:type="dxa"/>
          </w:tcPr>
          <w:p w14:paraId="5FE50D3E" w14:textId="77777777" w:rsidR="00CC641E" w:rsidRPr="003D373D" w:rsidRDefault="00CC641E" w:rsidP="005808FC">
            <w:pPr>
              <w:numPr>
                <w:ilvl w:val="0"/>
                <w:numId w:val="9"/>
              </w:numPr>
              <w:spacing w:after="0"/>
              <w:ind w:left="482" w:hanging="357"/>
              <w:jc w:val="left"/>
            </w:pPr>
            <w:r w:rsidRPr="00291DF5">
              <w:t>HEP-Operator distribucijskog sustava</w:t>
            </w:r>
          </w:p>
          <w:p w14:paraId="7139F244" w14:textId="77777777" w:rsidR="00CC641E" w:rsidRPr="003D373D" w:rsidRDefault="00CC641E" w:rsidP="005808FC">
            <w:pPr>
              <w:numPr>
                <w:ilvl w:val="0"/>
                <w:numId w:val="9"/>
              </w:numPr>
              <w:spacing w:after="0"/>
              <w:ind w:left="482" w:hanging="357"/>
              <w:jc w:val="left"/>
            </w:pPr>
            <w:r w:rsidRPr="00291DF5">
              <w:t>HEP Toplinarstvo, d.o.o.</w:t>
            </w:r>
          </w:p>
          <w:p w14:paraId="57100660" w14:textId="77777777" w:rsidR="00CC641E" w:rsidRPr="003D373D" w:rsidRDefault="00CC641E" w:rsidP="005808FC">
            <w:pPr>
              <w:numPr>
                <w:ilvl w:val="0"/>
                <w:numId w:val="9"/>
              </w:numPr>
              <w:spacing w:after="0"/>
              <w:ind w:left="482" w:hanging="357"/>
              <w:jc w:val="left"/>
            </w:pPr>
            <w:r w:rsidRPr="00291DF5">
              <w:t>Gradska plinara Zagreb, d.o.o.</w:t>
            </w:r>
          </w:p>
        </w:tc>
      </w:tr>
      <w:tr w:rsidR="00CC641E" w:rsidRPr="003D373D" w14:paraId="2B736B34" w14:textId="77777777" w:rsidTr="005808FC">
        <w:trPr>
          <w:trHeight w:val="227"/>
        </w:trPr>
        <w:tc>
          <w:tcPr>
            <w:tcW w:w="3325" w:type="dxa"/>
            <w:shd w:val="clear" w:color="auto" w:fill="F2DBDB" w:themeFill="accent2" w:themeFillTint="33"/>
          </w:tcPr>
          <w:p w14:paraId="29147EDC" w14:textId="77777777" w:rsidR="00CC641E" w:rsidRPr="005808FC" w:rsidRDefault="00CC641E">
            <w:pPr>
              <w:rPr>
                <w:b/>
                <w:bCs/>
              </w:rPr>
            </w:pPr>
            <w:r w:rsidRPr="00291DF5">
              <w:rPr>
                <w:b/>
                <w:bCs/>
              </w:rPr>
              <w:lastRenderedPageBreak/>
              <w:t>Početak/kraj provedbe (godine)</w:t>
            </w:r>
          </w:p>
        </w:tc>
        <w:tc>
          <w:tcPr>
            <w:tcW w:w="5691" w:type="dxa"/>
          </w:tcPr>
          <w:p w14:paraId="12539478" w14:textId="665D3936" w:rsidR="00CC641E" w:rsidRPr="005808FC" w:rsidRDefault="00CC641E">
            <w:pPr>
              <w:rPr>
                <w:rFonts w:eastAsia="Calibri"/>
                <w:b/>
                <w:bCs/>
              </w:rPr>
            </w:pPr>
            <w:r w:rsidRPr="00291DF5">
              <w:rPr>
                <w:rFonts w:eastAsia="Calibri"/>
                <w:b/>
                <w:bCs/>
              </w:rPr>
              <w:t xml:space="preserve">2022 </w:t>
            </w:r>
            <w:r w:rsidR="00D05D04">
              <w:rPr>
                <w:rFonts w:eastAsia="Calibri"/>
                <w:b/>
                <w:bCs/>
              </w:rPr>
              <w:t>–</w:t>
            </w:r>
            <w:r w:rsidRPr="00291DF5">
              <w:rPr>
                <w:rFonts w:eastAsia="Calibri"/>
                <w:b/>
                <w:bCs/>
              </w:rPr>
              <w:t xml:space="preserve"> 2024</w:t>
            </w:r>
          </w:p>
        </w:tc>
      </w:tr>
      <w:tr w:rsidR="00CC641E" w:rsidRPr="003D373D" w14:paraId="36DDA5AA" w14:textId="77777777" w:rsidTr="005808FC">
        <w:trPr>
          <w:trHeight w:val="227"/>
        </w:trPr>
        <w:tc>
          <w:tcPr>
            <w:tcW w:w="3325" w:type="dxa"/>
            <w:shd w:val="clear" w:color="auto" w:fill="F2DBDB" w:themeFill="accent2" w:themeFillTint="33"/>
          </w:tcPr>
          <w:p w14:paraId="05E478CB" w14:textId="77777777" w:rsidR="00CC641E" w:rsidRPr="005808FC" w:rsidRDefault="00CC641E">
            <w:pPr>
              <w:rPr>
                <w:b/>
                <w:bCs/>
              </w:rPr>
            </w:pPr>
            <w:r w:rsidRPr="00291DF5">
              <w:rPr>
                <w:b/>
                <w:bCs/>
              </w:rPr>
              <w:t>Procjena troškova (jedinična ili ukupna po mjeri)</w:t>
            </w:r>
          </w:p>
        </w:tc>
        <w:tc>
          <w:tcPr>
            <w:tcW w:w="5691" w:type="dxa"/>
          </w:tcPr>
          <w:p w14:paraId="28FAC17D" w14:textId="77777777" w:rsidR="00CC641E" w:rsidRPr="005808FC" w:rsidRDefault="00CC641E">
            <w:pPr>
              <w:rPr>
                <w:rFonts w:eastAsia="Calibri"/>
              </w:rPr>
            </w:pPr>
            <w:r w:rsidRPr="00291DF5">
              <w:rPr>
                <w:rFonts w:eastAsia="Calibri"/>
                <w:b/>
                <w:bCs/>
              </w:rPr>
              <w:t>1.000.000</w:t>
            </w:r>
          </w:p>
        </w:tc>
      </w:tr>
      <w:tr w:rsidR="00CC641E" w:rsidRPr="003D373D" w14:paraId="4A2E5BBC" w14:textId="77777777" w:rsidTr="005808FC">
        <w:trPr>
          <w:trHeight w:val="227"/>
        </w:trPr>
        <w:tc>
          <w:tcPr>
            <w:tcW w:w="3325" w:type="dxa"/>
            <w:shd w:val="clear" w:color="auto" w:fill="F2DBDB" w:themeFill="accent2" w:themeFillTint="33"/>
          </w:tcPr>
          <w:p w14:paraId="702928A5" w14:textId="77777777" w:rsidR="00CC641E" w:rsidRPr="005808FC" w:rsidRDefault="00CC641E">
            <w:pPr>
              <w:rPr>
                <w:b/>
                <w:bCs/>
              </w:rPr>
            </w:pPr>
            <w:r w:rsidRPr="00291DF5">
              <w:rPr>
                <w:b/>
                <w:bCs/>
              </w:rPr>
              <w:t>Izvor sredstava za provedbu</w:t>
            </w:r>
          </w:p>
        </w:tc>
        <w:tc>
          <w:tcPr>
            <w:tcW w:w="5691" w:type="dxa"/>
          </w:tcPr>
          <w:p w14:paraId="7609437D" w14:textId="77777777" w:rsidR="00CC641E" w:rsidRPr="003D373D" w:rsidRDefault="00CC641E" w:rsidP="005808FC">
            <w:pPr>
              <w:numPr>
                <w:ilvl w:val="0"/>
                <w:numId w:val="9"/>
              </w:numPr>
              <w:spacing w:after="0"/>
              <w:ind w:left="482" w:hanging="357"/>
              <w:jc w:val="left"/>
            </w:pPr>
            <w:r w:rsidRPr="00291DF5">
              <w:t>HEP-Operator distribucijskog sustava</w:t>
            </w:r>
          </w:p>
          <w:p w14:paraId="5C6F14DC" w14:textId="77777777" w:rsidR="00CC641E" w:rsidRPr="003D373D" w:rsidRDefault="00CC641E" w:rsidP="005808FC">
            <w:pPr>
              <w:numPr>
                <w:ilvl w:val="0"/>
                <w:numId w:val="9"/>
              </w:numPr>
              <w:spacing w:after="0"/>
              <w:ind w:left="482" w:hanging="357"/>
              <w:jc w:val="left"/>
            </w:pPr>
            <w:r w:rsidRPr="00291DF5">
              <w:t>HEP Toplinarstvo, d.o.o.</w:t>
            </w:r>
          </w:p>
          <w:p w14:paraId="0A52ACE3" w14:textId="629E223B" w:rsidR="00CC641E" w:rsidRPr="003D373D" w:rsidRDefault="00CC641E" w:rsidP="005808FC">
            <w:pPr>
              <w:numPr>
                <w:ilvl w:val="0"/>
                <w:numId w:val="9"/>
              </w:numPr>
              <w:spacing w:after="0"/>
              <w:ind w:left="482" w:hanging="357"/>
              <w:jc w:val="left"/>
            </w:pPr>
            <w:r w:rsidRPr="00291DF5">
              <w:t>Gradska plinara Zagreb, d.o.o.</w:t>
            </w:r>
          </w:p>
          <w:p w14:paraId="58F1A954" w14:textId="4708FEBF" w:rsidR="00CC641E" w:rsidRPr="003D373D" w:rsidRDefault="36BE23BD" w:rsidP="36BE23BD">
            <w:pPr>
              <w:numPr>
                <w:ilvl w:val="0"/>
                <w:numId w:val="9"/>
              </w:numPr>
              <w:spacing w:after="0"/>
              <w:ind w:left="482" w:hanging="357"/>
              <w:jc w:val="left"/>
            </w:pPr>
            <w:r w:rsidRPr="00291DF5">
              <w:t>Proračun grada Zagreba</w:t>
            </w:r>
          </w:p>
          <w:p w14:paraId="2C801EE7" w14:textId="25A9ADFC"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4CC5DEC9" w14:textId="77777777" w:rsidTr="005808FC">
        <w:trPr>
          <w:trHeight w:val="2717"/>
        </w:trPr>
        <w:tc>
          <w:tcPr>
            <w:tcW w:w="3325" w:type="dxa"/>
            <w:shd w:val="clear" w:color="auto" w:fill="F2DBDB" w:themeFill="accent2" w:themeFillTint="33"/>
          </w:tcPr>
          <w:p w14:paraId="6F8210A3" w14:textId="77777777" w:rsidR="00CC641E" w:rsidRPr="005808FC" w:rsidRDefault="00CC641E">
            <w:pPr>
              <w:rPr>
                <w:b/>
                <w:bCs/>
              </w:rPr>
            </w:pPr>
            <w:r w:rsidRPr="00291DF5">
              <w:rPr>
                <w:b/>
                <w:bCs/>
              </w:rPr>
              <w:t>Kratki opis/komentar</w:t>
            </w:r>
          </w:p>
        </w:tc>
        <w:tc>
          <w:tcPr>
            <w:tcW w:w="5691" w:type="dxa"/>
          </w:tcPr>
          <w:p w14:paraId="6BC53925" w14:textId="0677F98B" w:rsidR="00CC641E" w:rsidRPr="000509A0" w:rsidRDefault="00CC641E">
            <w:pPr>
              <w:contextualSpacing/>
            </w:pPr>
            <w:r w:rsidRPr="00291DF5">
              <w:t>Klimatske promjene bi mogle utjecati na količinu potrošene električne energije</w:t>
            </w:r>
            <w:r w:rsidR="000509A0">
              <w:t xml:space="preserve"> i </w:t>
            </w:r>
            <w:r w:rsidRPr="00291DF5">
              <w:t>topline te na vrijeme korištenja energije.</w:t>
            </w:r>
          </w:p>
          <w:p w14:paraId="082E2B11" w14:textId="77777777" w:rsidR="00CC641E" w:rsidRPr="000509A0" w:rsidRDefault="00CC641E">
            <w:pPr>
              <w:contextualSpacing/>
            </w:pPr>
            <w:r w:rsidRPr="00291DF5">
              <w:t xml:space="preserve">Smatra se da je više ugrožena distribucijska elektroenergetska mreža od toplinske mreže, dok je plinska mreža najmanje ugrožena. </w:t>
            </w:r>
          </w:p>
          <w:p w14:paraId="6E36F0EE" w14:textId="43AD0FA1" w:rsidR="00CC641E" w:rsidRPr="005808FC" w:rsidRDefault="00CC641E">
            <w:pPr>
              <w:contextualSpacing/>
              <w:rPr>
                <w:rFonts w:eastAsia="Calibri"/>
                <w:bCs/>
              </w:rPr>
            </w:pPr>
            <w:r w:rsidRPr="005808FC">
              <w:rPr>
                <w:bCs/>
              </w:rPr>
              <w:t>Cilj je analizirati otpornost distribucijskih sustava električne, toplinske energije</w:t>
            </w:r>
            <w:r w:rsidR="000509A0">
              <w:rPr>
                <w:bCs/>
              </w:rPr>
              <w:t xml:space="preserve"> i </w:t>
            </w:r>
            <w:r w:rsidRPr="005808FC">
              <w:rPr>
                <w:bCs/>
              </w:rPr>
              <w:t>prirodnog plina na klimatske promjene, prije svega na toplinske valove, te raditi na jačanju njihove otpornosti.</w:t>
            </w:r>
          </w:p>
        </w:tc>
      </w:tr>
    </w:tbl>
    <w:p w14:paraId="43026055" w14:textId="77777777" w:rsidR="00CC641E" w:rsidRDefault="00CC641E" w:rsidP="00AE5E1A">
      <w:pPr>
        <w:spacing w:after="160" w:line="259" w:lineRule="auto"/>
        <w:rPr>
          <w:rFonts w:cstheme="minorHAnsi"/>
          <w:b/>
        </w:rPr>
      </w:pPr>
    </w:p>
    <w:p w14:paraId="04569F5B" w14:textId="6555BEFD" w:rsidR="00AE5E1A" w:rsidRDefault="00AE5E1A" w:rsidP="006F376D">
      <w:pPr>
        <w:pStyle w:val="Heading2"/>
      </w:pPr>
      <w:bookmarkStart w:id="257" w:name="_Toc4156111"/>
      <w:r w:rsidRPr="006F376D">
        <w:t>Upravljanje vodama</w:t>
      </w:r>
      <w:bookmarkEnd w:id="257"/>
    </w:p>
    <w:p w14:paraId="7086CB5B" w14:textId="73A5586C" w:rsidR="006F376D" w:rsidRPr="005808FC" w:rsidRDefault="00CC39A5">
      <w:pPr>
        <w:tabs>
          <w:tab w:val="center" w:pos="1062"/>
        </w:tabs>
        <w:rPr>
          <w:rFonts w:eastAsia="Times New Roman"/>
          <w:lang w:eastAsia="hr-HR"/>
        </w:rPr>
      </w:pPr>
      <w:r w:rsidRPr="00291DF5">
        <w:rPr>
          <w:rFonts w:eastAsia="Times New Roman"/>
          <w:lang w:eastAsia="hr-HR"/>
        </w:rPr>
        <w:t xml:space="preserve">Upravljanja vodama predstavlja poseban izazov za prilagodbu klimatskim promjenama s </w:t>
      </w:r>
      <w:r w:rsidRPr="005808FC">
        <w:rPr>
          <w:rFonts w:eastAsia="Times New Roman"/>
          <w:lang w:eastAsia="hr-HR"/>
        </w:rPr>
        <w:t>obzirom na visoku osjetljivost vode na klimatske utjecaje.</w:t>
      </w:r>
    </w:p>
    <w:p w14:paraId="2FA732D6" w14:textId="1E3EF697" w:rsidR="006F376D" w:rsidRPr="005808FC" w:rsidRDefault="006F376D">
      <w:pPr>
        <w:tabs>
          <w:tab w:val="center" w:pos="1062"/>
        </w:tabs>
        <w:rPr>
          <w:rFonts w:eastAsia="Times New Roman"/>
          <w:lang w:eastAsia="hr-HR"/>
        </w:rPr>
      </w:pPr>
      <w:r w:rsidRPr="005808FC">
        <w:rPr>
          <w:rFonts w:eastAsia="Times New Roman"/>
          <w:lang w:eastAsia="hr-HR"/>
        </w:rPr>
        <w:t>Rizici se sumarno mogu predstaviti u vidu sljedećih grupa:</w:t>
      </w:r>
    </w:p>
    <w:p w14:paraId="598ED742" w14:textId="77777777" w:rsidR="006F376D" w:rsidRPr="005808FC" w:rsidRDefault="006F376D">
      <w:pPr>
        <w:pStyle w:val="ListParagraph"/>
        <w:numPr>
          <w:ilvl w:val="0"/>
          <w:numId w:val="79"/>
        </w:numPr>
        <w:rPr>
          <w:rFonts w:eastAsia="Times New Roman"/>
          <w:lang w:eastAsia="hr-HR"/>
        </w:rPr>
      </w:pPr>
      <w:r w:rsidRPr="005808FC">
        <w:rPr>
          <w:rFonts w:eastAsia="Times New Roman"/>
          <w:lang w:eastAsia="hr-HR"/>
        </w:rPr>
        <w:t>Smanjenje dostupnosti pitke vode uslijed dugotrajne suše</w:t>
      </w:r>
    </w:p>
    <w:p w14:paraId="57E4E6E7" w14:textId="77777777" w:rsidR="006F376D" w:rsidRPr="005808FC" w:rsidRDefault="006F376D">
      <w:pPr>
        <w:pStyle w:val="ListParagraph"/>
        <w:numPr>
          <w:ilvl w:val="0"/>
          <w:numId w:val="79"/>
        </w:numPr>
        <w:rPr>
          <w:rFonts w:eastAsia="Times New Roman"/>
          <w:lang w:eastAsia="hr-HR"/>
        </w:rPr>
      </w:pPr>
      <w:r w:rsidRPr="005808FC">
        <w:rPr>
          <w:rFonts w:eastAsia="Times New Roman"/>
          <w:lang w:eastAsia="hr-HR"/>
        </w:rPr>
        <w:t>Onečišćenje vodocrpilišta</w:t>
      </w:r>
    </w:p>
    <w:p w14:paraId="037B034A" w14:textId="77777777" w:rsidR="006F376D" w:rsidRPr="005808FC" w:rsidRDefault="006F376D">
      <w:pPr>
        <w:pStyle w:val="ListParagraph"/>
        <w:numPr>
          <w:ilvl w:val="0"/>
          <w:numId w:val="79"/>
        </w:numPr>
        <w:rPr>
          <w:rFonts w:eastAsia="Times New Roman"/>
          <w:lang w:eastAsia="hr-HR"/>
        </w:rPr>
      </w:pPr>
      <w:r w:rsidRPr="005808FC">
        <w:rPr>
          <w:rFonts w:eastAsia="Times New Roman"/>
          <w:lang w:eastAsia="hr-HR"/>
        </w:rPr>
        <w:t xml:space="preserve">Povećanje rizika od poplava </w:t>
      </w:r>
    </w:p>
    <w:p w14:paraId="3B6EBB24" w14:textId="0DCC9D96" w:rsidR="00D065D7" w:rsidRPr="005808FC" w:rsidRDefault="006F376D" w:rsidP="005808FC">
      <w:pPr>
        <w:pStyle w:val="ListParagraph"/>
        <w:numPr>
          <w:ilvl w:val="0"/>
          <w:numId w:val="79"/>
        </w:numPr>
        <w:spacing w:before="120"/>
      </w:pPr>
      <w:r w:rsidRPr="005808FC">
        <w:rPr>
          <w:rFonts w:eastAsia="Times New Roman"/>
          <w:lang w:eastAsia="hr-HR"/>
        </w:rPr>
        <w:t>Oštećenje vodoopskrbnih sustava uslijed pojave klizišta</w:t>
      </w:r>
    </w:p>
    <w:p w14:paraId="209CC24E" w14:textId="1F56493E" w:rsidR="00FA01AB" w:rsidRPr="00D21C4A" w:rsidRDefault="00FA01AB" w:rsidP="005808FC">
      <w:r w:rsidRPr="005808FC">
        <w:t>Ukoliko se ništa ne poduzme po pitanju klimatskih promjena unutar sektora hidrologije vodnih resursa, mogu se očekivati veće</w:t>
      </w:r>
      <w:r w:rsidR="000509A0">
        <w:t xml:space="preserve"> i </w:t>
      </w:r>
      <w:r w:rsidRPr="00291DF5">
        <w:t>učestalije štete od negativnog djelovanja voda, kao što su poplave</w:t>
      </w:r>
      <w:r w:rsidR="000509A0">
        <w:t xml:space="preserve"> i </w:t>
      </w:r>
      <w:r w:rsidRPr="00291DF5">
        <w:t>erozija,</w:t>
      </w:r>
      <w:r w:rsidR="000509A0">
        <w:t xml:space="preserve"> i </w:t>
      </w:r>
      <w:r w:rsidRPr="00291DF5">
        <w:t>to na vodo</w:t>
      </w:r>
      <w:r w:rsidRPr="005808FC">
        <w:t>tocima, hidromelioracijskim sustavima te u urbanim sredinama. U kontekstu korištenja voda mogu se očekivati redukcije u vodoopskrbi stanovništva, gospodarstva zbog nedostataka svježe vode kao posljedica suše. Ljetna oskudica vode vjerojatno će biti izražena</w:t>
      </w:r>
      <w:r w:rsidR="000509A0">
        <w:t xml:space="preserve"> i </w:t>
      </w:r>
      <w:r w:rsidRPr="00291DF5">
        <w:t>u poljoprivredi, zbog porasta potreba za vodom (veće temperature</w:t>
      </w:r>
      <w:r w:rsidR="000509A0">
        <w:t xml:space="preserve"> i </w:t>
      </w:r>
      <w:r w:rsidRPr="00291DF5">
        <w:t>evapotranspiracija), odnosno zbog smanjenja izdašnosti raspoloživih izvorišta vode. P</w:t>
      </w:r>
      <w:r w:rsidRPr="006B1383">
        <w:t>roblem ranjivosti vodnog sektora na klimatske promjene je prepoznat</w:t>
      </w:r>
      <w:r w:rsidR="000509A0">
        <w:t xml:space="preserve"> i </w:t>
      </w:r>
      <w:r w:rsidRPr="006B1383">
        <w:t xml:space="preserve">u jednom od temeljnih planskih dokumenata vodnog gospodarstva, </w:t>
      </w:r>
      <w:r w:rsidRPr="005808FC">
        <w:t>Planu upravljanja vodnim područjima 2016.-2021</w:t>
      </w:r>
      <w:r w:rsidRPr="00FA01AB">
        <w:t xml:space="preserve">. </w:t>
      </w:r>
      <w:r w:rsidRPr="006B1383">
        <w:t>godine. Prema tom dokumentu, očekuje se povećanje rizika od poplava zbog promjena trajanja, intenziteta</w:t>
      </w:r>
      <w:r w:rsidR="000509A0">
        <w:t xml:space="preserve"> i </w:t>
      </w:r>
      <w:r w:rsidRPr="006B1383">
        <w:t xml:space="preserve">učestalosti ekstremnih oborina, u kombinaciji s promjenama u načinu korištenja zemljišta. Također, postavlja se pitanje hoće li se zbog navedenih promjena trebati mijenjati dosadašnji pristup upravljanja rizicima od poplava. </w:t>
      </w:r>
    </w:p>
    <w:p w14:paraId="6EBC3F22" w14:textId="00B1BC31" w:rsidR="00FA01AB" w:rsidRPr="00FA01AB" w:rsidRDefault="00FA01AB" w:rsidP="005808FC">
      <w:r w:rsidRPr="00291DF5">
        <w:lastRenderedPageBreak/>
        <w:t>Prema Procjeni ugroženosti sta</w:t>
      </w:r>
      <w:r w:rsidRPr="005808FC">
        <w:t>novništva, materijalnih</w:t>
      </w:r>
      <w:r w:rsidR="000509A0">
        <w:t xml:space="preserve"> i </w:t>
      </w:r>
      <w:r w:rsidRPr="00291DF5">
        <w:t>kulturnih dobara</w:t>
      </w:r>
      <w:r w:rsidR="000509A0">
        <w:t xml:space="preserve"> i </w:t>
      </w:r>
      <w:r w:rsidRPr="00291DF5">
        <w:t>okoliša od katastrofa</w:t>
      </w:r>
      <w:r w:rsidR="000509A0">
        <w:t xml:space="preserve"> i </w:t>
      </w:r>
      <w:r w:rsidRPr="00291DF5">
        <w:t>velikih nesreća za područje Grada Zagreba, sustav opskrbe vodom na području Grada Zagreba</w:t>
      </w:r>
      <w:r w:rsidRPr="005808FC">
        <w:t xml:space="preserve"> mogao bi biti ugrožen dugotrajnom sušom koja bi dovela do pada razine pitke vode u izvorima, što bi moglo dovesti do nedostatka pitke vode (pogotovo u ljetnim mjesecima) te redukcije u opskrbi. S druge strane, sustav odvodnje bi mogao biti ugrožen poplavama. U proteklom razdoblju utvrđeno je kontinuirano povećanje potrošnje električne energije za crpljenje podzemne vode na lokacijama crpilišta Grada Zagreba, što ukazuje na prisutni trend smanjenja energetske učinkovitosti  vodoopskrbnoga sustava.</w:t>
      </w:r>
    </w:p>
    <w:p w14:paraId="46CEEDB1" w14:textId="31086E34" w:rsidR="00FA01AB" w:rsidRPr="00982332" w:rsidRDefault="00FA01AB" w:rsidP="005808FC">
      <w:pPr>
        <w:spacing w:before="120"/>
      </w:pPr>
      <w:r w:rsidRPr="00291DF5">
        <w:t>Sustavnih istraživanja u smislu osiguranja</w:t>
      </w:r>
      <w:r w:rsidR="000509A0">
        <w:t xml:space="preserve"> i </w:t>
      </w:r>
      <w:r w:rsidRPr="00291DF5">
        <w:t>kvantifikacije rezultata o mogućim utjecajima klim</w:t>
      </w:r>
      <w:r w:rsidRPr="005808FC">
        <w:t>atskih promjena na vodni sektor bilo je vrlo malo. Prevladava generalno prenošenje informacija</w:t>
      </w:r>
      <w:r w:rsidR="000509A0">
        <w:t xml:space="preserve"> i </w:t>
      </w:r>
      <w:r w:rsidRPr="00291DF5">
        <w:t>zaključaka iz recentnih dokumenata</w:t>
      </w:r>
      <w:r w:rsidR="000509A0">
        <w:t xml:space="preserve"> i </w:t>
      </w:r>
      <w:r w:rsidRPr="00291DF5">
        <w:t xml:space="preserve">svjetske literature. Posebno su rijetka međusektorska, interdisciplinarna istraživanja koja promjene </w:t>
      </w:r>
      <w:r w:rsidRPr="005808FC">
        <w:t>klimatskih prilika istražuju u više domena – npr. promjene količinskog stanja voda, njezine kakvoće, ali</w:t>
      </w:r>
      <w:r w:rsidR="000509A0">
        <w:t xml:space="preserve"> i </w:t>
      </w:r>
      <w:r w:rsidRPr="00291DF5">
        <w:t>promjenama u vodnim ekosustavima</w:t>
      </w:r>
      <w:r w:rsidR="000509A0">
        <w:t xml:space="preserve"> i </w:t>
      </w:r>
      <w:r w:rsidRPr="00291DF5">
        <w:t>mogućim mjerama prilagodbe. Stoga je nužno pokrenuti takva međusektorska istraživanja kojima je cilj osigura</w:t>
      </w:r>
      <w:r w:rsidRPr="005808FC">
        <w:t xml:space="preserve">ti primjerene rezultate koji mogu biti podloga za pouzdane procjene mogućih mjera prilagodbe. </w:t>
      </w:r>
    </w:p>
    <w:p w14:paraId="030AD17A"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45393570" w14:textId="77777777" w:rsidTr="005808FC">
        <w:trPr>
          <w:trHeight w:val="227"/>
        </w:trPr>
        <w:tc>
          <w:tcPr>
            <w:tcW w:w="3325" w:type="dxa"/>
            <w:shd w:val="clear" w:color="auto" w:fill="C6D9F1" w:themeFill="text2" w:themeFillTint="33"/>
          </w:tcPr>
          <w:p w14:paraId="5112E679"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5D208FCB" w14:textId="77777777" w:rsidR="00CC641E" w:rsidRPr="005808FC" w:rsidRDefault="00CC641E">
            <w:pPr>
              <w:rPr>
                <w:rFonts w:eastAsia="Calibri"/>
                <w:b/>
                <w:bCs/>
              </w:rPr>
            </w:pPr>
            <w:r w:rsidRPr="00291DF5">
              <w:rPr>
                <w:rFonts w:eastAsia="Calibri"/>
                <w:b/>
                <w:bCs/>
              </w:rPr>
              <w:t>9</w:t>
            </w:r>
          </w:p>
        </w:tc>
      </w:tr>
      <w:tr w:rsidR="00CC641E" w:rsidRPr="003D373D" w14:paraId="059D5E04" w14:textId="77777777" w:rsidTr="005808FC">
        <w:trPr>
          <w:trHeight w:val="818"/>
        </w:trPr>
        <w:tc>
          <w:tcPr>
            <w:tcW w:w="3325" w:type="dxa"/>
            <w:shd w:val="clear" w:color="auto" w:fill="C6D9F1" w:themeFill="text2" w:themeFillTint="33"/>
          </w:tcPr>
          <w:p w14:paraId="3EC3E999"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7CE5593C" w14:textId="2B787BDC" w:rsidR="00CC641E" w:rsidRPr="005808FC" w:rsidRDefault="00CC641E">
            <w:pPr>
              <w:autoSpaceDE w:val="0"/>
              <w:autoSpaceDN w:val="0"/>
              <w:adjustRightInd w:val="0"/>
              <w:rPr>
                <w:rFonts w:eastAsia="Calibri"/>
                <w:b/>
                <w:bCs/>
              </w:rPr>
            </w:pPr>
            <w:r w:rsidRPr="00291DF5">
              <w:rPr>
                <w:rFonts w:eastAsia="Calibri"/>
                <w:b/>
                <w:bCs/>
              </w:rPr>
              <w:t xml:space="preserve">Ekonomsko vrednovanje podzemnih voda kao temelja vodoopskrbe </w:t>
            </w:r>
            <w:r w:rsidR="009A473D">
              <w:rPr>
                <w:rFonts w:eastAsia="Calibri"/>
                <w:b/>
                <w:bCs/>
              </w:rPr>
              <w:t>G</w:t>
            </w:r>
            <w:r w:rsidRPr="005808FC">
              <w:rPr>
                <w:rFonts w:eastAsia="Calibri"/>
                <w:b/>
                <w:bCs/>
              </w:rPr>
              <w:t xml:space="preserve">rada Zagreba </w:t>
            </w:r>
          </w:p>
        </w:tc>
      </w:tr>
      <w:tr w:rsidR="00CC641E" w:rsidRPr="003D373D" w14:paraId="371E68D9" w14:textId="77777777" w:rsidTr="005808FC">
        <w:trPr>
          <w:trHeight w:val="227"/>
        </w:trPr>
        <w:tc>
          <w:tcPr>
            <w:tcW w:w="3325" w:type="dxa"/>
            <w:shd w:val="clear" w:color="auto" w:fill="F2DBDB" w:themeFill="accent2" w:themeFillTint="33"/>
          </w:tcPr>
          <w:p w14:paraId="012C85D1" w14:textId="77777777" w:rsidR="00CC641E" w:rsidRPr="005808FC" w:rsidRDefault="00CC641E">
            <w:pPr>
              <w:rPr>
                <w:b/>
                <w:bCs/>
              </w:rPr>
            </w:pPr>
            <w:r w:rsidRPr="00291DF5">
              <w:rPr>
                <w:b/>
                <w:bCs/>
              </w:rPr>
              <w:t>Nositelj aktivnosti:</w:t>
            </w:r>
          </w:p>
        </w:tc>
        <w:tc>
          <w:tcPr>
            <w:tcW w:w="5691" w:type="dxa"/>
          </w:tcPr>
          <w:p w14:paraId="0576BC31" w14:textId="48347EE3"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tc>
      </w:tr>
      <w:tr w:rsidR="00CC641E" w:rsidRPr="003D373D" w14:paraId="530F9DA3" w14:textId="77777777" w:rsidTr="005808FC">
        <w:trPr>
          <w:trHeight w:val="227"/>
        </w:trPr>
        <w:tc>
          <w:tcPr>
            <w:tcW w:w="3325" w:type="dxa"/>
            <w:shd w:val="clear" w:color="auto" w:fill="F2DBDB" w:themeFill="accent2" w:themeFillTint="33"/>
          </w:tcPr>
          <w:p w14:paraId="24A92224" w14:textId="77777777" w:rsidR="00CC641E" w:rsidRPr="005808FC" w:rsidRDefault="00CC641E">
            <w:pPr>
              <w:rPr>
                <w:b/>
                <w:bCs/>
              </w:rPr>
            </w:pPr>
            <w:r w:rsidRPr="00291DF5">
              <w:rPr>
                <w:b/>
                <w:bCs/>
              </w:rPr>
              <w:t>Partneri u provođenju aktivnosti:</w:t>
            </w:r>
          </w:p>
        </w:tc>
        <w:tc>
          <w:tcPr>
            <w:tcW w:w="5691" w:type="dxa"/>
          </w:tcPr>
          <w:p w14:paraId="26E24F79" w14:textId="7E141A4A" w:rsidR="00CC641E" w:rsidRPr="003D373D" w:rsidDel="00436CBA" w:rsidRDefault="00CC641E" w:rsidP="005808FC">
            <w:pPr>
              <w:numPr>
                <w:ilvl w:val="0"/>
                <w:numId w:val="9"/>
              </w:numPr>
              <w:spacing w:after="0"/>
              <w:ind w:left="482" w:hanging="357"/>
              <w:jc w:val="left"/>
            </w:pPr>
            <w:r w:rsidRPr="00291DF5">
              <w:t>Hrvatske vode</w:t>
            </w:r>
          </w:p>
        </w:tc>
      </w:tr>
      <w:tr w:rsidR="00CC641E" w:rsidRPr="003D373D" w14:paraId="31156FBF" w14:textId="77777777" w:rsidTr="005808FC">
        <w:trPr>
          <w:trHeight w:val="227"/>
        </w:trPr>
        <w:tc>
          <w:tcPr>
            <w:tcW w:w="3325" w:type="dxa"/>
            <w:shd w:val="clear" w:color="auto" w:fill="F2DBDB" w:themeFill="accent2" w:themeFillTint="33"/>
          </w:tcPr>
          <w:p w14:paraId="191F5766" w14:textId="77777777" w:rsidR="00CC641E" w:rsidRPr="005808FC" w:rsidRDefault="00CC641E">
            <w:pPr>
              <w:rPr>
                <w:b/>
                <w:bCs/>
              </w:rPr>
            </w:pPr>
            <w:r w:rsidRPr="00291DF5">
              <w:rPr>
                <w:b/>
                <w:bCs/>
              </w:rPr>
              <w:t>Ostali uključeni dionici:</w:t>
            </w:r>
          </w:p>
        </w:tc>
        <w:tc>
          <w:tcPr>
            <w:tcW w:w="5691" w:type="dxa"/>
          </w:tcPr>
          <w:p w14:paraId="64EB4726" w14:textId="64418809" w:rsidR="00CC641E" w:rsidRPr="003D373D" w:rsidRDefault="00CC641E" w:rsidP="005808FC">
            <w:pPr>
              <w:numPr>
                <w:ilvl w:val="0"/>
                <w:numId w:val="9"/>
              </w:numPr>
              <w:spacing w:after="0"/>
              <w:ind w:left="482" w:hanging="357"/>
              <w:jc w:val="left"/>
            </w:pPr>
            <w:r w:rsidRPr="00291DF5">
              <w:t>Rudarsko geološko naftni fakultet</w:t>
            </w:r>
          </w:p>
        </w:tc>
      </w:tr>
      <w:tr w:rsidR="00CC641E" w:rsidRPr="003D373D" w14:paraId="6E24C8BF" w14:textId="77777777" w:rsidTr="005808FC">
        <w:trPr>
          <w:trHeight w:val="227"/>
        </w:trPr>
        <w:tc>
          <w:tcPr>
            <w:tcW w:w="3325" w:type="dxa"/>
            <w:shd w:val="clear" w:color="auto" w:fill="F2DBDB" w:themeFill="accent2" w:themeFillTint="33"/>
          </w:tcPr>
          <w:p w14:paraId="1E6CBE4B" w14:textId="77777777" w:rsidR="00CC641E" w:rsidRPr="005808FC" w:rsidRDefault="00CC641E">
            <w:pPr>
              <w:rPr>
                <w:b/>
                <w:bCs/>
              </w:rPr>
            </w:pPr>
            <w:r w:rsidRPr="00291DF5">
              <w:rPr>
                <w:b/>
                <w:bCs/>
              </w:rPr>
              <w:t>Početak/kraj provedbe (godine)</w:t>
            </w:r>
          </w:p>
        </w:tc>
        <w:tc>
          <w:tcPr>
            <w:tcW w:w="5691" w:type="dxa"/>
          </w:tcPr>
          <w:p w14:paraId="4CCCF6CC" w14:textId="77777777" w:rsidR="00CC641E" w:rsidRPr="005808FC" w:rsidRDefault="00CC641E">
            <w:pPr>
              <w:pStyle w:val="ListParagraph"/>
              <w:ind w:left="133"/>
              <w:rPr>
                <w:rFonts w:eastAsia="Calibri"/>
                <w:b/>
                <w:bCs/>
              </w:rPr>
            </w:pPr>
            <w:r w:rsidRPr="00291DF5">
              <w:rPr>
                <w:rFonts w:eastAsia="Calibri"/>
                <w:b/>
                <w:bCs/>
              </w:rPr>
              <w:t>2021– 2022</w:t>
            </w:r>
          </w:p>
        </w:tc>
      </w:tr>
      <w:tr w:rsidR="00CC641E" w:rsidRPr="003D373D" w14:paraId="5D34C1D8" w14:textId="77777777" w:rsidTr="005808FC">
        <w:trPr>
          <w:trHeight w:val="227"/>
        </w:trPr>
        <w:tc>
          <w:tcPr>
            <w:tcW w:w="3325" w:type="dxa"/>
            <w:shd w:val="clear" w:color="auto" w:fill="F2DBDB" w:themeFill="accent2" w:themeFillTint="33"/>
          </w:tcPr>
          <w:p w14:paraId="14364305" w14:textId="77777777" w:rsidR="00CC641E" w:rsidRPr="005808FC" w:rsidRDefault="00CC641E">
            <w:pPr>
              <w:rPr>
                <w:b/>
                <w:bCs/>
              </w:rPr>
            </w:pPr>
            <w:r w:rsidRPr="00291DF5">
              <w:rPr>
                <w:b/>
                <w:bCs/>
              </w:rPr>
              <w:t>Procjena troškova (jedinična ili ukupna po mjeri)</w:t>
            </w:r>
          </w:p>
        </w:tc>
        <w:tc>
          <w:tcPr>
            <w:tcW w:w="5691" w:type="dxa"/>
          </w:tcPr>
          <w:p w14:paraId="00B5E592" w14:textId="77777777" w:rsidR="00CC641E" w:rsidRPr="005808FC" w:rsidRDefault="00CC641E">
            <w:pPr>
              <w:pStyle w:val="ListParagraph"/>
              <w:ind w:left="133"/>
              <w:rPr>
                <w:rFonts w:eastAsia="Calibri"/>
                <w:b/>
                <w:bCs/>
              </w:rPr>
            </w:pPr>
            <w:r w:rsidRPr="00291DF5">
              <w:rPr>
                <w:rFonts w:eastAsia="Calibri"/>
                <w:b/>
                <w:bCs/>
              </w:rPr>
              <w:t>3.000.000 kn</w:t>
            </w:r>
          </w:p>
        </w:tc>
      </w:tr>
      <w:tr w:rsidR="00CC641E" w:rsidRPr="003D373D" w14:paraId="5B318206" w14:textId="77777777" w:rsidTr="005808FC">
        <w:trPr>
          <w:trHeight w:val="227"/>
        </w:trPr>
        <w:tc>
          <w:tcPr>
            <w:tcW w:w="3325" w:type="dxa"/>
            <w:shd w:val="clear" w:color="auto" w:fill="F2DBDB" w:themeFill="accent2" w:themeFillTint="33"/>
          </w:tcPr>
          <w:p w14:paraId="4BFD50F6" w14:textId="77777777" w:rsidR="00CC641E" w:rsidRPr="005808FC" w:rsidRDefault="00CC641E">
            <w:pPr>
              <w:rPr>
                <w:b/>
                <w:bCs/>
              </w:rPr>
            </w:pPr>
            <w:r w:rsidRPr="00291DF5">
              <w:rPr>
                <w:b/>
                <w:bCs/>
              </w:rPr>
              <w:t>Izvor sredstava za provedbu</w:t>
            </w:r>
          </w:p>
        </w:tc>
        <w:tc>
          <w:tcPr>
            <w:tcW w:w="5691" w:type="dxa"/>
          </w:tcPr>
          <w:p w14:paraId="5017DC56" w14:textId="20F4ADBF" w:rsidR="00CC641E" w:rsidRPr="00025EA7" w:rsidRDefault="00CC641E" w:rsidP="005808FC">
            <w:pPr>
              <w:numPr>
                <w:ilvl w:val="0"/>
                <w:numId w:val="9"/>
              </w:numPr>
              <w:spacing w:after="0"/>
              <w:ind w:left="482" w:hanging="357"/>
              <w:jc w:val="left"/>
            </w:pPr>
            <w:r w:rsidRPr="00291DF5">
              <w:t>Proračun tvrtke Vodoopskrba</w:t>
            </w:r>
            <w:r w:rsidR="000509A0">
              <w:t xml:space="preserve"> i </w:t>
            </w:r>
            <w:r w:rsidRPr="00291DF5">
              <w:t>odvodnja, d.o.o.</w:t>
            </w:r>
          </w:p>
          <w:p w14:paraId="3E6CA975" w14:textId="77777777" w:rsidR="00CC641E" w:rsidRPr="003D373D" w:rsidRDefault="00CC641E" w:rsidP="005808FC">
            <w:pPr>
              <w:numPr>
                <w:ilvl w:val="0"/>
                <w:numId w:val="9"/>
              </w:numPr>
              <w:spacing w:after="0"/>
              <w:ind w:left="482" w:hanging="357"/>
              <w:jc w:val="left"/>
            </w:pPr>
            <w:r w:rsidRPr="00291DF5">
              <w:t>Državni proračun (HV)</w:t>
            </w:r>
          </w:p>
          <w:p w14:paraId="4904E0D1" w14:textId="410CA48D" w:rsidR="00CC641E" w:rsidRPr="003D373D" w:rsidRDefault="00CC641E" w:rsidP="005808FC">
            <w:pPr>
              <w:numPr>
                <w:ilvl w:val="0"/>
                <w:numId w:val="9"/>
              </w:numPr>
              <w:spacing w:after="0"/>
              <w:ind w:left="482" w:hanging="357"/>
              <w:jc w:val="left"/>
            </w:pPr>
            <w:r w:rsidRPr="00291DF5">
              <w:t>Proračun Grada Zagreba</w:t>
            </w:r>
          </w:p>
        </w:tc>
      </w:tr>
      <w:tr w:rsidR="00CC641E" w:rsidRPr="003D373D" w14:paraId="21835A4F" w14:textId="77777777" w:rsidTr="005808FC">
        <w:trPr>
          <w:trHeight w:val="2330"/>
        </w:trPr>
        <w:tc>
          <w:tcPr>
            <w:tcW w:w="3325" w:type="dxa"/>
            <w:shd w:val="clear" w:color="auto" w:fill="F2DBDB" w:themeFill="accent2" w:themeFillTint="33"/>
          </w:tcPr>
          <w:p w14:paraId="155600B1" w14:textId="77777777" w:rsidR="00CC641E" w:rsidRPr="005808FC" w:rsidRDefault="00CC641E">
            <w:pPr>
              <w:rPr>
                <w:b/>
                <w:bCs/>
              </w:rPr>
            </w:pPr>
            <w:r w:rsidRPr="00291DF5">
              <w:rPr>
                <w:b/>
                <w:bCs/>
              </w:rPr>
              <w:t xml:space="preserve">Kratki </w:t>
            </w:r>
            <w:r w:rsidRPr="005808FC">
              <w:rPr>
                <w:b/>
                <w:bCs/>
              </w:rPr>
              <w:t>opis/komentar</w:t>
            </w:r>
          </w:p>
        </w:tc>
        <w:tc>
          <w:tcPr>
            <w:tcW w:w="5691" w:type="dxa"/>
          </w:tcPr>
          <w:p w14:paraId="09215C13" w14:textId="36114257" w:rsidR="00CC641E" w:rsidRPr="005713FA" w:rsidRDefault="00CC641E">
            <w:pPr>
              <w:autoSpaceDE w:val="0"/>
              <w:autoSpaceDN w:val="0"/>
              <w:adjustRightInd w:val="0"/>
            </w:pPr>
            <w:r w:rsidRPr="00291DF5">
              <w:t>Potrebno je provesti ekonomsko vrednovanje funkcija podzemnih voda koje se temelje na crpljenju vode za potrebe vodoopskrbe, kao</w:t>
            </w:r>
            <w:r w:rsidR="000509A0">
              <w:t xml:space="preserve"> i </w:t>
            </w:r>
            <w:r w:rsidRPr="00291DF5">
              <w:t>ekoloških funkcija, naročito onih kojima se definira ovisnost podzemnih</w:t>
            </w:r>
            <w:r w:rsidR="000509A0">
              <w:t xml:space="preserve"> i </w:t>
            </w:r>
            <w:r w:rsidRPr="00291DF5">
              <w:t xml:space="preserve">površinskih voda -ova </w:t>
            </w:r>
            <w:r w:rsidRPr="005808FC">
              <w:t xml:space="preserve">aktivnost je nužna kako bi se dobili monetarni pokazatelji koristi, koji bi se uspoređivali s potencijalnim troškovima koji nastaju zbog onečišćenja podzemnih voda ili zbog prekomjernoga crpljenja podzemne vode, u cilju utvrđivanja ekonomski </w:t>
            </w:r>
            <w:r w:rsidRPr="005808FC">
              <w:lastRenderedPageBreak/>
              <w:t>najprihvatljivijih mjera smanjenja utjecaja</w:t>
            </w:r>
            <w:r w:rsidR="00BF0308" w:rsidRPr="005808FC">
              <w:t xml:space="preserve"> </w:t>
            </w:r>
            <w:r w:rsidRPr="005808FC">
              <w:t xml:space="preserve">klimatskih promjena na vodne resurse. </w:t>
            </w:r>
          </w:p>
          <w:p w14:paraId="5FD5E7BE" w14:textId="4F2ADAAC" w:rsidR="00CC641E" w:rsidRDefault="00CC641E">
            <w:pPr>
              <w:autoSpaceDE w:val="0"/>
              <w:autoSpaceDN w:val="0"/>
              <w:adjustRightInd w:val="0"/>
            </w:pPr>
            <w:r w:rsidRPr="00291DF5">
              <w:t>Ova mjera je studijsko-istraživačkog karaktera</w:t>
            </w:r>
            <w:r w:rsidR="000509A0">
              <w:t xml:space="preserve"> i </w:t>
            </w:r>
            <w:r w:rsidRPr="00291DF5">
              <w:t>predstavlja temelj za realizaciju drugih mjera, mjera s adaptivnim učinkom.</w:t>
            </w:r>
          </w:p>
          <w:p w14:paraId="2C284F9F" w14:textId="25DA476E" w:rsidR="00CC641E" w:rsidRPr="005808FC" w:rsidRDefault="00CC641E">
            <w:pPr>
              <w:autoSpaceDE w:val="0"/>
              <w:autoSpaceDN w:val="0"/>
              <w:adjustRightInd w:val="0"/>
              <w:rPr>
                <w:rFonts w:eastAsia="Calibri"/>
              </w:rPr>
            </w:pPr>
            <w:r w:rsidRPr="00291DF5">
              <w:t>Cilj je provesti analizu troškova</w:t>
            </w:r>
            <w:r w:rsidR="000509A0">
              <w:t xml:space="preserve"> i </w:t>
            </w:r>
            <w:r w:rsidRPr="00291DF5">
              <w:t>koristi primjene poj</w:t>
            </w:r>
            <w:r w:rsidRPr="005808FC">
              <w:t>edinačnih mjera ili kombinacije najučinkovitijih</w:t>
            </w:r>
            <w:r w:rsidR="000509A0">
              <w:t xml:space="preserve"> i </w:t>
            </w:r>
            <w:r w:rsidRPr="00291DF5">
              <w:t>najprihvatljivijih mjera za uklanjanje posljedica od smanjenja obnovljivih zaliha podzemnih voda i/ili pojave onečišćenja podzemnih voda kao posljedice ekstremnih hidroloških događaja zbog klimatskih pr</w:t>
            </w:r>
            <w:r w:rsidRPr="005808FC">
              <w:t>omjena, koje se mogu pojačati u kombinaciji s antropogenim utjecajima (primjerice uslijed nekontrolirane izgradnje velikih infrastrukturnih projekata).</w:t>
            </w:r>
          </w:p>
        </w:tc>
      </w:tr>
    </w:tbl>
    <w:p w14:paraId="35578A76" w14:textId="77777777" w:rsidR="00CC641E"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3337786B" w14:textId="77777777" w:rsidTr="005808FC">
        <w:trPr>
          <w:trHeight w:val="227"/>
        </w:trPr>
        <w:tc>
          <w:tcPr>
            <w:tcW w:w="3325" w:type="dxa"/>
            <w:shd w:val="clear" w:color="auto" w:fill="C6D9F1" w:themeFill="text2" w:themeFillTint="33"/>
          </w:tcPr>
          <w:p w14:paraId="7A67A23C"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74C7E209" w14:textId="77777777" w:rsidR="00CC641E" w:rsidRPr="005808FC" w:rsidRDefault="00CC641E">
            <w:pPr>
              <w:rPr>
                <w:rFonts w:eastAsia="Calibri"/>
                <w:b/>
                <w:bCs/>
              </w:rPr>
            </w:pPr>
            <w:r w:rsidRPr="00291DF5">
              <w:rPr>
                <w:rFonts w:eastAsia="Calibri"/>
                <w:b/>
                <w:bCs/>
              </w:rPr>
              <w:t>10</w:t>
            </w:r>
          </w:p>
        </w:tc>
      </w:tr>
      <w:tr w:rsidR="00CC641E" w:rsidRPr="003D373D" w14:paraId="49271C3D" w14:textId="77777777" w:rsidTr="005808FC">
        <w:trPr>
          <w:trHeight w:val="818"/>
        </w:trPr>
        <w:tc>
          <w:tcPr>
            <w:tcW w:w="3325" w:type="dxa"/>
            <w:shd w:val="clear" w:color="auto" w:fill="C6D9F1" w:themeFill="text2" w:themeFillTint="33"/>
          </w:tcPr>
          <w:p w14:paraId="7213722A"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6F0FB888" w14:textId="236CD61E" w:rsidR="00CC641E" w:rsidRPr="005808FC" w:rsidRDefault="00CC641E">
            <w:pPr>
              <w:autoSpaceDE w:val="0"/>
              <w:autoSpaceDN w:val="0"/>
              <w:adjustRightInd w:val="0"/>
              <w:rPr>
                <w:rFonts w:eastAsia="Calibri"/>
                <w:b/>
                <w:bCs/>
              </w:rPr>
            </w:pPr>
            <w:r w:rsidRPr="00291DF5">
              <w:rPr>
                <w:b/>
                <w:bCs/>
              </w:rPr>
              <w:t>Zaustavljanje</w:t>
            </w:r>
            <w:r w:rsidR="000509A0">
              <w:rPr>
                <w:b/>
                <w:bCs/>
              </w:rPr>
              <w:t xml:space="preserve"> i </w:t>
            </w:r>
            <w:r w:rsidRPr="00291DF5">
              <w:rPr>
                <w:b/>
                <w:bCs/>
              </w:rPr>
              <w:t xml:space="preserve">promjena  negativnih trendova pada </w:t>
            </w:r>
            <w:r w:rsidRPr="005808FC">
              <w:rPr>
                <w:b/>
                <w:bCs/>
              </w:rPr>
              <w:t>razina podzemnih voda</w:t>
            </w:r>
            <w:r w:rsidR="000509A0">
              <w:rPr>
                <w:b/>
                <w:bCs/>
              </w:rPr>
              <w:t xml:space="preserve"> i </w:t>
            </w:r>
            <w:r w:rsidRPr="00291DF5">
              <w:rPr>
                <w:b/>
                <w:bCs/>
              </w:rPr>
              <w:t>osiguranja  dovoljnih kapaciteta crpilišta za sigurnu vodoopskrbu</w:t>
            </w:r>
          </w:p>
        </w:tc>
      </w:tr>
      <w:tr w:rsidR="00CC641E" w:rsidRPr="003D373D" w14:paraId="2010625B" w14:textId="77777777" w:rsidTr="005808FC">
        <w:trPr>
          <w:trHeight w:val="227"/>
        </w:trPr>
        <w:tc>
          <w:tcPr>
            <w:tcW w:w="3325" w:type="dxa"/>
            <w:shd w:val="clear" w:color="auto" w:fill="F2DBDB" w:themeFill="accent2" w:themeFillTint="33"/>
          </w:tcPr>
          <w:p w14:paraId="7C731A1C" w14:textId="77777777" w:rsidR="00CC641E" w:rsidRPr="005808FC" w:rsidRDefault="00CC641E">
            <w:pPr>
              <w:rPr>
                <w:b/>
                <w:bCs/>
              </w:rPr>
            </w:pPr>
            <w:r w:rsidRPr="00291DF5">
              <w:rPr>
                <w:b/>
                <w:bCs/>
              </w:rPr>
              <w:t>Nositelj aktivnosti:</w:t>
            </w:r>
          </w:p>
        </w:tc>
        <w:tc>
          <w:tcPr>
            <w:tcW w:w="5691" w:type="dxa"/>
          </w:tcPr>
          <w:p w14:paraId="15F2D635" w14:textId="3C3D9CB2" w:rsidR="00CC641E" w:rsidRPr="003D373D" w:rsidRDefault="00CC641E" w:rsidP="005808FC">
            <w:pPr>
              <w:numPr>
                <w:ilvl w:val="0"/>
                <w:numId w:val="9"/>
              </w:numPr>
              <w:spacing w:after="0"/>
              <w:ind w:left="482" w:hanging="357"/>
              <w:jc w:val="left"/>
            </w:pPr>
            <w:r w:rsidRPr="00291DF5">
              <w:t>Hrvatske vode</w:t>
            </w:r>
          </w:p>
        </w:tc>
      </w:tr>
      <w:tr w:rsidR="00CC641E" w:rsidRPr="003D373D" w14:paraId="62F1A698" w14:textId="77777777" w:rsidTr="005808FC">
        <w:trPr>
          <w:trHeight w:val="227"/>
        </w:trPr>
        <w:tc>
          <w:tcPr>
            <w:tcW w:w="3325" w:type="dxa"/>
            <w:shd w:val="clear" w:color="auto" w:fill="F2DBDB" w:themeFill="accent2" w:themeFillTint="33"/>
          </w:tcPr>
          <w:p w14:paraId="2F9A1241" w14:textId="77777777" w:rsidR="00CC641E" w:rsidRPr="005808FC" w:rsidRDefault="00CC641E">
            <w:pPr>
              <w:rPr>
                <w:b/>
                <w:bCs/>
              </w:rPr>
            </w:pPr>
            <w:r w:rsidRPr="00291DF5">
              <w:rPr>
                <w:b/>
                <w:bCs/>
              </w:rPr>
              <w:t>Partneri u provođenju aktivnosti:</w:t>
            </w:r>
          </w:p>
        </w:tc>
        <w:tc>
          <w:tcPr>
            <w:tcW w:w="5691" w:type="dxa"/>
          </w:tcPr>
          <w:p w14:paraId="44BB0F3F" w14:textId="215F0402"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p w14:paraId="5744B03D" w14:textId="552982AA" w:rsidR="00CC641E" w:rsidRDefault="00CC641E" w:rsidP="005808FC">
            <w:pPr>
              <w:numPr>
                <w:ilvl w:val="0"/>
                <w:numId w:val="9"/>
              </w:numPr>
              <w:spacing w:after="0"/>
              <w:ind w:left="482" w:hanging="357"/>
              <w:jc w:val="left"/>
            </w:pPr>
            <w:r w:rsidRPr="00291DF5">
              <w:t>Gradski ured za strategijsko planiranje</w:t>
            </w:r>
            <w:r w:rsidR="000509A0">
              <w:t xml:space="preserve"> i </w:t>
            </w:r>
            <w:r w:rsidRPr="00291DF5">
              <w:t xml:space="preserve">razvoj </w:t>
            </w:r>
            <w:r w:rsidRPr="005808FC">
              <w:t>grada</w:t>
            </w:r>
          </w:p>
          <w:p w14:paraId="0129F186" w14:textId="140DD77B"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w:t>
            </w:r>
            <w:r w:rsidR="003E0AEA">
              <w:t>u</w:t>
            </w:r>
            <w:r w:rsidRPr="00291DF5">
              <w:t xml:space="preserve"> okoliša</w:t>
            </w:r>
          </w:p>
          <w:p w14:paraId="1F2A2AF7" w14:textId="280D029A" w:rsidR="00BF0308" w:rsidRDefault="00BF0308" w:rsidP="005808FC">
            <w:pPr>
              <w:numPr>
                <w:ilvl w:val="0"/>
                <w:numId w:val="9"/>
              </w:numPr>
              <w:spacing w:after="0"/>
              <w:ind w:left="482" w:hanging="357"/>
              <w:jc w:val="left"/>
            </w:pPr>
            <w:r w:rsidRPr="00291DF5">
              <w:t>Gradski ured za prostorno uređenje, izgradnju Grada, graditeljstvo, komunalne poslove</w:t>
            </w:r>
            <w:r w:rsidR="000509A0">
              <w:t xml:space="preserve"> i </w:t>
            </w:r>
            <w:r w:rsidRPr="00291DF5">
              <w:t xml:space="preserve">promet </w:t>
            </w:r>
          </w:p>
          <w:p w14:paraId="0563DBBD" w14:textId="372846A0" w:rsidR="00CC641E" w:rsidRPr="003D373D" w:rsidDel="00436CBA" w:rsidRDefault="00CC641E" w:rsidP="005808FC">
            <w:pPr>
              <w:numPr>
                <w:ilvl w:val="0"/>
                <w:numId w:val="9"/>
              </w:numPr>
              <w:spacing w:after="0"/>
              <w:ind w:left="482" w:hanging="357"/>
              <w:jc w:val="left"/>
            </w:pPr>
            <w:r w:rsidRPr="00291DF5">
              <w:t>Zavod za prostorno uređenje Grada Zagreba</w:t>
            </w:r>
          </w:p>
        </w:tc>
      </w:tr>
      <w:tr w:rsidR="00CC641E" w:rsidRPr="003D373D" w14:paraId="20D9E9FE" w14:textId="77777777" w:rsidTr="005808FC">
        <w:trPr>
          <w:trHeight w:val="227"/>
        </w:trPr>
        <w:tc>
          <w:tcPr>
            <w:tcW w:w="3325" w:type="dxa"/>
            <w:shd w:val="clear" w:color="auto" w:fill="F2DBDB" w:themeFill="accent2" w:themeFillTint="33"/>
          </w:tcPr>
          <w:p w14:paraId="6B90F340" w14:textId="77777777" w:rsidR="00CC641E" w:rsidRPr="005808FC" w:rsidRDefault="00CC641E">
            <w:pPr>
              <w:rPr>
                <w:b/>
                <w:bCs/>
              </w:rPr>
            </w:pPr>
            <w:r w:rsidRPr="00291DF5">
              <w:rPr>
                <w:b/>
                <w:bCs/>
              </w:rPr>
              <w:t>Ostali uključeni dionici</w:t>
            </w:r>
          </w:p>
        </w:tc>
        <w:tc>
          <w:tcPr>
            <w:tcW w:w="5691" w:type="dxa"/>
          </w:tcPr>
          <w:p w14:paraId="11B67CAE" w14:textId="4BE8E030" w:rsidR="00CC641E" w:rsidRDefault="00CC641E" w:rsidP="00C42B1B">
            <w:pPr>
              <w:numPr>
                <w:ilvl w:val="0"/>
                <w:numId w:val="9"/>
              </w:numPr>
              <w:spacing w:after="0"/>
              <w:ind w:left="482" w:hanging="357"/>
              <w:jc w:val="left"/>
            </w:pPr>
            <w:r w:rsidRPr="00291DF5">
              <w:t xml:space="preserve">Rudarsko </w:t>
            </w:r>
            <w:r w:rsidRPr="005808FC">
              <w:t>geološko naftni fakultet</w:t>
            </w:r>
          </w:p>
        </w:tc>
      </w:tr>
      <w:tr w:rsidR="00CC641E" w:rsidRPr="003D373D" w14:paraId="17ED0B79" w14:textId="77777777" w:rsidTr="005808FC">
        <w:trPr>
          <w:trHeight w:val="227"/>
        </w:trPr>
        <w:tc>
          <w:tcPr>
            <w:tcW w:w="3325" w:type="dxa"/>
            <w:shd w:val="clear" w:color="auto" w:fill="F2DBDB" w:themeFill="accent2" w:themeFillTint="33"/>
          </w:tcPr>
          <w:p w14:paraId="62F27363" w14:textId="77777777" w:rsidR="00CC641E" w:rsidRPr="005808FC" w:rsidRDefault="00CC641E">
            <w:pPr>
              <w:rPr>
                <w:b/>
                <w:bCs/>
              </w:rPr>
            </w:pPr>
            <w:r w:rsidRPr="00291DF5">
              <w:rPr>
                <w:b/>
                <w:bCs/>
              </w:rPr>
              <w:t>Početak/kraj provedbe (godine)</w:t>
            </w:r>
          </w:p>
        </w:tc>
        <w:tc>
          <w:tcPr>
            <w:tcW w:w="5691" w:type="dxa"/>
          </w:tcPr>
          <w:p w14:paraId="0A418D10" w14:textId="77777777" w:rsidR="00CC641E" w:rsidRPr="005808FC" w:rsidRDefault="00CC641E">
            <w:pPr>
              <w:pStyle w:val="ListParagraph"/>
              <w:ind w:left="133"/>
              <w:rPr>
                <w:rFonts w:eastAsia="Calibri"/>
                <w:b/>
                <w:bCs/>
              </w:rPr>
            </w:pPr>
            <w:r w:rsidRPr="00291DF5">
              <w:rPr>
                <w:rFonts w:eastAsia="Calibri"/>
                <w:b/>
                <w:bCs/>
              </w:rPr>
              <w:t>U fazama</w:t>
            </w:r>
          </w:p>
          <w:p w14:paraId="0FCD481A" w14:textId="77777777" w:rsidR="00CC641E" w:rsidRPr="005808FC" w:rsidRDefault="00CC641E">
            <w:pPr>
              <w:pStyle w:val="ListParagraph"/>
              <w:ind w:left="133"/>
              <w:rPr>
                <w:rFonts w:eastAsia="Calibri"/>
              </w:rPr>
            </w:pPr>
            <w:r w:rsidRPr="00291DF5">
              <w:rPr>
                <w:rFonts w:eastAsia="Calibri"/>
              </w:rPr>
              <w:t>Izrada studijske dokumentacije 2020-2022</w:t>
            </w:r>
          </w:p>
          <w:p w14:paraId="5153C424" w14:textId="77777777" w:rsidR="00CC641E" w:rsidRPr="005808FC" w:rsidRDefault="00CC641E">
            <w:pPr>
              <w:pStyle w:val="ListParagraph"/>
              <w:ind w:left="133"/>
              <w:rPr>
                <w:rFonts w:eastAsia="Calibri"/>
              </w:rPr>
            </w:pPr>
            <w:r w:rsidRPr="005808FC">
              <w:rPr>
                <w:rFonts w:eastAsia="Calibri"/>
              </w:rPr>
              <w:t>Izrada projektne dokumentacije 2022-2024</w:t>
            </w:r>
          </w:p>
          <w:p w14:paraId="159889D9" w14:textId="77777777" w:rsidR="00CC641E" w:rsidRPr="005808FC" w:rsidRDefault="00CC641E">
            <w:pPr>
              <w:pStyle w:val="ListParagraph"/>
              <w:ind w:left="133"/>
              <w:rPr>
                <w:rFonts w:eastAsia="Calibri"/>
                <w:b/>
                <w:bCs/>
              </w:rPr>
            </w:pPr>
            <w:r w:rsidRPr="005808FC">
              <w:rPr>
                <w:rFonts w:eastAsia="Calibri"/>
              </w:rPr>
              <w:t>Provedba projekata 2024-2030</w:t>
            </w:r>
          </w:p>
        </w:tc>
      </w:tr>
      <w:tr w:rsidR="00CC641E" w:rsidRPr="003D373D" w14:paraId="20DEA5AD" w14:textId="77777777" w:rsidTr="005808FC">
        <w:trPr>
          <w:trHeight w:val="227"/>
        </w:trPr>
        <w:tc>
          <w:tcPr>
            <w:tcW w:w="3325" w:type="dxa"/>
            <w:shd w:val="clear" w:color="auto" w:fill="F2DBDB" w:themeFill="accent2" w:themeFillTint="33"/>
          </w:tcPr>
          <w:p w14:paraId="7BDDD8ED" w14:textId="77777777" w:rsidR="00CC641E" w:rsidRPr="005808FC" w:rsidRDefault="00CC641E">
            <w:pPr>
              <w:rPr>
                <w:b/>
                <w:bCs/>
              </w:rPr>
            </w:pPr>
            <w:r w:rsidRPr="00291DF5">
              <w:rPr>
                <w:b/>
                <w:bCs/>
              </w:rPr>
              <w:t>Procjena troškova (jedinična ili ukupna po mjeri)</w:t>
            </w:r>
          </w:p>
        </w:tc>
        <w:tc>
          <w:tcPr>
            <w:tcW w:w="5691" w:type="dxa"/>
          </w:tcPr>
          <w:p w14:paraId="08D7F03D" w14:textId="77777777" w:rsidR="00CC641E" w:rsidRPr="005808FC" w:rsidRDefault="00CC641E">
            <w:pPr>
              <w:pStyle w:val="ListParagraph"/>
              <w:ind w:left="133"/>
              <w:rPr>
                <w:rFonts w:eastAsia="Calibri"/>
                <w:b/>
                <w:bCs/>
              </w:rPr>
            </w:pPr>
            <w:r w:rsidRPr="00291DF5">
              <w:rPr>
                <w:rFonts w:eastAsia="Calibri"/>
                <w:b/>
                <w:bCs/>
              </w:rPr>
              <w:t>Studija cca 1.500.000 HRK</w:t>
            </w:r>
          </w:p>
          <w:p w14:paraId="5F281C9D" w14:textId="77777777" w:rsidR="00CC641E" w:rsidRPr="005808FC" w:rsidRDefault="00CC641E">
            <w:pPr>
              <w:pStyle w:val="ListParagraph"/>
              <w:ind w:left="133"/>
              <w:rPr>
                <w:rFonts w:eastAsia="Calibri"/>
                <w:b/>
                <w:bCs/>
              </w:rPr>
            </w:pPr>
            <w:r w:rsidRPr="00291DF5">
              <w:rPr>
                <w:rFonts w:eastAsia="Calibri"/>
                <w:b/>
                <w:bCs/>
              </w:rPr>
              <w:t>Provedba – teško procjenjivo</w:t>
            </w:r>
          </w:p>
        </w:tc>
      </w:tr>
      <w:tr w:rsidR="00CC641E" w:rsidRPr="003D373D" w14:paraId="0BABB58C" w14:textId="77777777" w:rsidTr="005808FC">
        <w:trPr>
          <w:trHeight w:val="227"/>
        </w:trPr>
        <w:tc>
          <w:tcPr>
            <w:tcW w:w="3325" w:type="dxa"/>
            <w:shd w:val="clear" w:color="auto" w:fill="F2DBDB" w:themeFill="accent2" w:themeFillTint="33"/>
          </w:tcPr>
          <w:p w14:paraId="1886B43E" w14:textId="77777777" w:rsidR="00CC641E" w:rsidRPr="005808FC" w:rsidRDefault="00CC641E">
            <w:pPr>
              <w:rPr>
                <w:b/>
                <w:bCs/>
              </w:rPr>
            </w:pPr>
            <w:r w:rsidRPr="00291DF5">
              <w:rPr>
                <w:b/>
                <w:bCs/>
              </w:rPr>
              <w:t>Izvor sredstava za provedbu</w:t>
            </w:r>
          </w:p>
        </w:tc>
        <w:tc>
          <w:tcPr>
            <w:tcW w:w="5691" w:type="dxa"/>
          </w:tcPr>
          <w:p w14:paraId="02BD7290" w14:textId="77777777" w:rsidR="00CC641E" w:rsidRPr="003D373D" w:rsidRDefault="00CC641E" w:rsidP="005808FC">
            <w:pPr>
              <w:numPr>
                <w:ilvl w:val="0"/>
                <w:numId w:val="9"/>
              </w:numPr>
              <w:spacing w:after="0"/>
              <w:ind w:left="482" w:hanging="357"/>
              <w:jc w:val="left"/>
            </w:pPr>
            <w:r w:rsidRPr="00291DF5">
              <w:t>Državni proračun (HV)</w:t>
            </w:r>
          </w:p>
          <w:p w14:paraId="38E0AF17" w14:textId="162997C1" w:rsidR="00CC641E" w:rsidRDefault="00CC641E" w:rsidP="005808FC">
            <w:pPr>
              <w:numPr>
                <w:ilvl w:val="0"/>
                <w:numId w:val="9"/>
              </w:numPr>
              <w:spacing w:after="0"/>
              <w:ind w:left="482" w:hanging="357"/>
              <w:jc w:val="left"/>
            </w:pPr>
            <w:r w:rsidRPr="00291DF5">
              <w:t>Proračun tvrtke Vodoopskrba</w:t>
            </w:r>
            <w:r w:rsidR="000509A0">
              <w:t xml:space="preserve"> i </w:t>
            </w:r>
            <w:r w:rsidRPr="00291DF5">
              <w:t>odvodnja, d.o.o.</w:t>
            </w:r>
          </w:p>
          <w:p w14:paraId="77517969" w14:textId="2FBEFA1B" w:rsidR="00CC641E" w:rsidRPr="003D373D" w:rsidRDefault="00CC641E" w:rsidP="005808FC">
            <w:pPr>
              <w:numPr>
                <w:ilvl w:val="0"/>
                <w:numId w:val="9"/>
              </w:numPr>
              <w:spacing w:after="0"/>
              <w:ind w:left="482" w:hanging="357"/>
              <w:jc w:val="left"/>
            </w:pPr>
            <w:r w:rsidRPr="00291DF5">
              <w:t>Proračun Grada Zagreba</w:t>
            </w:r>
          </w:p>
        </w:tc>
      </w:tr>
      <w:tr w:rsidR="00CC641E" w:rsidRPr="003D373D" w14:paraId="220F14C3" w14:textId="77777777" w:rsidTr="005808FC">
        <w:trPr>
          <w:trHeight w:val="2330"/>
        </w:trPr>
        <w:tc>
          <w:tcPr>
            <w:tcW w:w="3325" w:type="dxa"/>
            <w:shd w:val="clear" w:color="auto" w:fill="F2DBDB" w:themeFill="accent2" w:themeFillTint="33"/>
          </w:tcPr>
          <w:p w14:paraId="55606DD6" w14:textId="77777777" w:rsidR="00CC641E" w:rsidRPr="005808FC" w:rsidRDefault="00CC641E">
            <w:pPr>
              <w:rPr>
                <w:b/>
                <w:bCs/>
              </w:rPr>
            </w:pPr>
            <w:r w:rsidRPr="00291DF5">
              <w:rPr>
                <w:b/>
                <w:bCs/>
              </w:rPr>
              <w:lastRenderedPageBreak/>
              <w:t>Kratki opis/komentar</w:t>
            </w:r>
          </w:p>
        </w:tc>
        <w:tc>
          <w:tcPr>
            <w:tcW w:w="5691" w:type="dxa"/>
          </w:tcPr>
          <w:p w14:paraId="32682F96" w14:textId="54AF775E" w:rsidR="00CC641E" w:rsidRPr="005808FC" w:rsidRDefault="00CC641E">
            <w:pPr>
              <w:autoSpaceDE w:val="0"/>
              <w:autoSpaceDN w:val="0"/>
              <w:adjustRightInd w:val="0"/>
              <w:rPr>
                <w:rFonts w:eastAsia="Calibri"/>
              </w:rPr>
            </w:pPr>
            <w:r w:rsidRPr="00291DF5">
              <w:t xml:space="preserve">Cilj mjere je ostvariti potrebne crpne </w:t>
            </w:r>
            <w:r w:rsidRPr="005808FC">
              <w:t>kapacitete za opskrbu sadašnjih</w:t>
            </w:r>
            <w:r w:rsidR="000509A0">
              <w:t xml:space="preserve"> i </w:t>
            </w:r>
            <w:r w:rsidRPr="00291DF5">
              <w:t>budućih korisnika usluge vodoopskrbe, povećati učinkovitost crpnih postrojenja te time ostvariti cilj održivog raspolaganja vodnim resursima.</w:t>
            </w:r>
          </w:p>
          <w:p w14:paraId="61F6544C" w14:textId="0745F81D" w:rsidR="00CC641E" w:rsidRDefault="00CC641E">
            <w:pPr>
              <w:autoSpaceDE w:val="0"/>
              <w:autoSpaceDN w:val="0"/>
              <w:adjustRightInd w:val="0"/>
            </w:pPr>
            <w:r w:rsidRPr="005808FC">
              <w:t>Potrebno je pokrenuti aktivnosti na izradi studije izvodljivosti, analize troškova</w:t>
            </w:r>
            <w:r w:rsidR="000509A0">
              <w:t xml:space="preserve"> i </w:t>
            </w:r>
            <w:r w:rsidRPr="00291DF5">
              <w:t>koristi, te procjene različitih alternativnih rješenja za zaustavljanje</w:t>
            </w:r>
            <w:r w:rsidR="000509A0">
              <w:t xml:space="preserve"> i </w:t>
            </w:r>
            <w:r w:rsidRPr="00291DF5">
              <w:t>promjenu negativnog trenda pada razina podzemnih voda</w:t>
            </w:r>
            <w:r w:rsidR="000509A0">
              <w:t xml:space="preserve"> i </w:t>
            </w:r>
            <w:r w:rsidRPr="00291DF5">
              <w:t>osiguranja dovoljnih kapaciteta crpilišta za sigurnu vodoopskrbu grada Zagreba. Provedbi mjere treba pristupi</w:t>
            </w:r>
            <w:r w:rsidRPr="005808FC">
              <w:t>ti integrirano</w:t>
            </w:r>
            <w:r w:rsidR="000509A0">
              <w:t xml:space="preserve"> i </w:t>
            </w:r>
            <w:r w:rsidRPr="00291DF5">
              <w:t>s posebnim naglaskom na zadržavanje visoke kakvoće podzemnih voda.</w:t>
            </w:r>
          </w:p>
          <w:p w14:paraId="02235F63" w14:textId="0FBAAC16" w:rsidR="00CC641E" w:rsidRPr="005713FA" w:rsidRDefault="00CC641E">
            <w:pPr>
              <w:autoSpaceDE w:val="0"/>
              <w:autoSpaceDN w:val="0"/>
              <w:adjustRightInd w:val="0"/>
              <w:rPr>
                <w:rFonts w:eastAsia="Calibri" w:cstheme="minorHAnsi"/>
              </w:rPr>
            </w:pPr>
            <w:r w:rsidRPr="00291DF5">
              <w:t>Po izradi studijske dokumentacije potrebno je izraditi projektnu dokumentaciju</w:t>
            </w:r>
            <w:r w:rsidR="000509A0">
              <w:t xml:space="preserve"> i </w:t>
            </w:r>
            <w:r w:rsidRPr="00291DF5">
              <w:t>provesti konkretne projektne aktivnosti.</w:t>
            </w:r>
          </w:p>
        </w:tc>
      </w:tr>
    </w:tbl>
    <w:p w14:paraId="7DABBF76" w14:textId="77777777" w:rsidR="00CC641E"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711C6639" w14:textId="77777777" w:rsidTr="005808FC">
        <w:trPr>
          <w:trHeight w:val="227"/>
        </w:trPr>
        <w:tc>
          <w:tcPr>
            <w:tcW w:w="3325" w:type="dxa"/>
            <w:shd w:val="clear" w:color="auto" w:fill="C6D9F1" w:themeFill="text2" w:themeFillTint="33"/>
          </w:tcPr>
          <w:p w14:paraId="40DD009D"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796D4C7E" w14:textId="77777777" w:rsidR="00CC641E" w:rsidRPr="005808FC" w:rsidRDefault="00CC641E">
            <w:pPr>
              <w:rPr>
                <w:rFonts w:eastAsia="Calibri"/>
                <w:b/>
                <w:bCs/>
              </w:rPr>
            </w:pPr>
            <w:r w:rsidRPr="00291DF5">
              <w:rPr>
                <w:rFonts w:eastAsia="Calibri"/>
                <w:b/>
                <w:bCs/>
              </w:rPr>
              <w:t>11</w:t>
            </w:r>
          </w:p>
        </w:tc>
      </w:tr>
      <w:tr w:rsidR="00CC641E" w:rsidRPr="003D373D" w14:paraId="224564DC" w14:textId="77777777" w:rsidTr="005808FC">
        <w:trPr>
          <w:trHeight w:val="818"/>
        </w:trPr>
        <w:tc>
          <w:tcPr>
            <w:tcW w:w="3325" w:type="dxa"/>
            <w:shd w:val="clear" w:color="auto" w:fill="C6D9F1" w:themeFill="text2" w:themeFillTint="33"/>
          </w:tcPr>
          <w:p w14:paraId="698A7AA3" w14:textId="77777777" w:rsidR="00CC641E" w:rsidRPr="005808FC" w:rsidRDefault="00CC641E">
            <w:pPr>
              <w:rPr>
                <w:b/>
                <w:bCs/>
              </w:rPr>
            </w:pPr>
            <w:r w:rsidRPr="00291DF5">
              <w:rPr>
                <w:b/>
                <w:bCs/>
              </w:rPr>
              <w:br w:type="page"/>
              <w:t xml:space="preserve">Ime </w:t>
            </w:r>
            <w:r w:rsidRPr="005808FC">
              <w:rPr>
                <w:b/>
                <w:bCs/>
              </w:rPr>
              <w:t>mjere/aktivnost</w:t>
            </w:r>
          </w:p>
        </w:tc>
        <w:tc>
          <w:tcPr>
            <w:tcW w:w="5691" w:type="dxa"/>
            <w:shd w:val="clear" w:color="auto" w:fill="C6D9F1" w:themeFill="text2" w:themeFillTint="33"/>
          </w:tcPr>
          <w:p w14:paraId="008FA8A5" w14:textId="4F01F481" w:rsidR="00CC641E" w:rsidRPr="005808FC" w:rsidRDefault="00CC641E">
            <w:pPr>
              <w:autoSpaceDE w:val="0"/>
              <w:autoSpaceDN w:val="0"/>
              <w:adjustRightInd w:val="0"/>
              <w:rPr>
                <w:rFonts w:eastAsia="Calibri"/>
                <w:b/>
                <w:bCs/>
              </w:rPr>
            </w:pPr>
            <w:r w:rsidRPr="00291DF5">
              <w:rPr>
                <w:rFonts w:eastAsia="Times New Roman"/>
                <w:b/>
                <w:bCs/>
                <w:lang w:eastAsia="hr-HR"/>
              </w:rPr>
              <w:t xml:space="preserve">Zaštita </w:t>
            </w:r>
            <w:r w:rsidR="00DD4AB6" w:rsidRPr="00622850">
              <w:rPr>
                <w:rFonts w:eastAsia="Times New Roman"/>
                <w:b/>
                <w:bCs/>
                <w:lang w:eastAsia="hr-HR"/>
              </w:rPr>
              <w:t>preljevnih</w:t>
            </w:r>
            <w:r w:rsidRPr="00622850">
              <w:rPr>
                <w:rFonts w:eastAsia="Times New Roman"/>
                <w:b/>
                <w:bCs/>
                <w:lang w:eastAsia="hr-HR"/>
              </w:rPr>
              <w:t xml:space="preserve"> područja crpilišta kroz novelaciju zona sanitarne zaštite crpilišta, uključujući sanaciju onečišćenih dijelova </w:t>
            </w:r>
            <w:r w:rsidR="00DD4AB6" w:rsidRPr="00622850">
              <w:rPr>
                <w:rFonts w:eastAsia="Times New Roman"/>
                <w:b/>
                <w:bCs/>
                <w:lang w:eastAsia="hr-HR"/>
              </w:rPr>
              <w:t>preljevnih</w:t>
            </w:r>
            <w:r w:rsidRPr="00622850">
              <w:rPr>
                <w:rFonts w:eastAsia="Times New Roman"/>
                <w:b/>
                <w:bCs/>
                <w:lang w:eastAsia="hr-HR"/>
              </w:rPr>
              <w:t xml:space="preserve"> </w:t>
            </w:r>
            <w:r w:rsidRPr="00291DF5">
              <w:rPr>
                <w:rFonts w:eastAsia="Times New Roman"/>
                <w:b/>
                <w:bCs/>
                <w:lang w:eastAsia="hr-HR"/>
              </w:rPr>
              <w:t>područja crpilišta</w:t>
            </w:r>
          </w:p>
        </w:tc>
      </w:tr>
      <w:tr w:rsidR="00CC641E" w:rsidRPr="003D373D" w14:paraId="5E8459C9" w14:textId="77777777" w:rsidTr="005808FC">
        <w:trPr>
          <w:trHeight w:val="227"/>
        </w:trPr>
        <w:tc>
          <w:tcPr>
            <w:tcW w:w="3325" w:type="dxa"/>
            <w:shd w:val="clear" w:color="auto" w:fill="F2DBDB" w:themeFill="accent2" w:themeFillTint="33"/>
          </w:tcPr>
          <w:p w14:paraId="5B3B1820" w14:textId="77777777" w:rsidR="00CC641E" w:rsidRPr="005808FC" w:rsidRDefault="00CC641E">
            <w:pPr>
              <w:rPr>
                <w:b/>
                <w:bCs/>
              </w:rPr>
            </w:pPr>
            <w:r w:rsidRPr="00291DF5">
              <w:rPr>
                <w:b/>
                <w:bCs/>
              </w:rPr>
              <w:t>Nositelj aktivnosti:</w:t>
            </w:r>
          </w:p>
        </w:tc>
        <w:tc>
          <w:tcPr>
            <w:tcW w:w="5691" w:type="dxa"/>
          </w:tcPr>
          <w:p w14:paraId="394D1DFE" w14:textId="739A4F2C" w:rsidR="00CC641E" w:rsidRPr="003D373D" w:rsidRDefault="00CC641E" w:rsidP="005808FC">
            <w:pPr>
              <w:numPr>
                <w:ilvl w:val="0"/>
                <w:numId w:val="9"/>
              </w:numPr>
              <w:spacing w:after="0"/>
              <w:ind w:left="482" w:hanging="357"/>
              <w:jc w:val="left"/>
            </w:pPr>
            <w:r w:rsidRPr="00291DF5">
              <w:t>Hrvatske vode</w:t>
            </w:r>
          </w:p>
        </w:tc>
      </w:tr>
      <w:tr w:rsidR="00CC641E" w:rsidRPr="003D373D" w14:paraId="7DE53A25" w14:textId="77777777" w:rsidTr="005808FC">
        <w:trPr>
          <w:trHeight w:val="227"/>
        </w:trPr>
        <w:tc>
          <w:tcPr>
            <w:tcW w:w="3325" w:type="dxa"/>
            <w:shd w:val="clear" w:color="auto" w:fill="F2DBDB" w:themeFill="accent2" w:themeFillTint="33"/>
          </w:tcPr>
          <w:p w14:paraId="16755CEC" w14:textId="77777777" w:rsidR="00CC641E" w:rsidRPr="005808FC" w:rsidRDefault="00CC641E">
            <w:pPr>
              <w:rPr>
                <w:b/>
                <w:bCs/>
              </w:rPr>
            </w:pPr>
            <w:r w:rsidRPr="00291DF5">
              <w:rPr>
                <w:b/>
                <w:bCs/>
              </w:rPr>
              <w:t xml:space="preserve">Partneri u provođenju </w:t>
            </w:r>
            <w:r w:rsidRPr="005808FC">
              <w:rPr>
                <w:b/>
                <w:bCs/>
              </w:rPr>
              <w:t>aktivnosti:</w:t>
            </w:r>
          </w:p>
        </w:tc>
        <w:tc>
          <w:tcPr>
            <w:tcW w:w="5691" w:type="dxa"/>
          </w:tcPr>
          <w:p w14:paraId="2F7A889A" w14:textId="190DE789"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p w14:paraId="0AD73EA3" w14:textId="4578311C" w:rsidR="00CC641E" w:rsidRDefault="00CC641E" w:rsidP="005808FC">
            <w:pPr>
              <w:numPr>
                <w:ilvl w:val="0"/>
                <w:numId w:val="9"/>
              </w:numPr>
              <w:spacing w:after="0"/>
              <w:ind w:left="482" w:hanging="357"/>
              <w:jc w:val="left"/>
            </w:pPr>
            <w:r w:rsidRPr="00291DF5">
              <w:t>Gradski ured za strategijsko planiranje</w:t>
            </w:r>
            <w:r w:rsidR="000509A0">
              <w:t xml:space="preserve"> i </w:t>
            </w:r>
            <w:r w:rsidRPr="00291DF5">
              <w:t>razvoj grada</w:t>
            </w:r>
          </w:p>
          <w:p w14:paraId="7E8A99A6" w14:textId="77777777" w:rsidR="00CC641E" w:rsidRDefault="00CC641E" w:rsidP="005808FC">
            <w:pPr>
              <w:numPr>
                <w:ilvl w:val="0"/>
                <w:numId w:val="9"/>
              </w:numPr>
              <w:spacing w:after="0"/>
              <w:ind w:left="482" w:hanging="357"/>
              <w:jc w:val="left"/>
            </w:pPr>
            <w:r w:rsidRPr="00291DF5">
              <w:t xml:space="preserve">Zavod za prostorno uređenje Grada Zagreba </w:t>
            </w:r>
          </w:p>
          <w:p w14:paraId="26357C7A" w14:textId="2F00DDCF"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zaštiti okoliša</w:t>
            </w:r>
          </w:p>
          <w:p w14:paraId="6CF521DE" w14:textId="4F4A117C" w:rsidR="00CC641E" w:rsidRDefault="00CC641E" w:rsidP="005808FC">
            <w:pPr>
              <w:numPr>
                <w:ilvl w:val="0"/>
                <w:numId w:val="9"/>
              </w:numPr>
              <w:spacing w:after="0"/>
              <w:ind w:left="482" w:hanging="357"/>
              <w:jc w:val="left"/>
            </w:pPr>
            <w:r w:rsidRPr="00291DF5">
              <w:t xml:space="preserve">Gradski ured za prostorno uređenje, </w:t>
            </w:r>
            <w:r w:rsidRPr="005808FC">
              <w:t>komunalne poslove</w:t>
            </w:r>
            <w:r w:rsidR="000509A0">
              <w:t xml:space="preserve"> i </w:t>
            </w:r>
            <w:r w:rsidRPr="00291DF5">
              <w:t>promet</w:t>
            </w:r>
          </w:p>
          <w:p w14:paraId="132141C7" w14:textId="678DA03B" w:rsidR="00CC641E" w:rsidRPr="00282CAD" w:rsidDel="00436CBA" w:rsidRDefault="00CC641E" w:rsidP="005808FC">
            <w:pPr>
              <w:numPr>
                <w:ilvl w:val="0"/>
                <w:numId w:val="9"/>
              </w:numPr>
              <w:spacing w:after="0"/>
              <w:ind w:left="482" w:hanging="357"/>
              <w:jc w:val="left"/>
            </w:pPr>
            <w:r w:rsidRPr="00291DF5">
              <w:t>Gradski zavod za zaštitu spomenika kulture</w:t>
            </w:r>
            <w:r w:rsidR="000509A0">
              <w:t xml:space="preserve"> i </w:t>
            </w:r>
            <w:r w:rsidRPr="00291DF5">
              <w:t>prirode</w:t>
            </w:r>
          </w:p>
        </w:tc>
      </w:tr>
      <w:tr w:rsidR="00CC641E" w:rsidRPr="003D373D" w14:paraId="3D164370" w14:textId="77777777" w:rsidTr="005808FC">
        <w:trPr>
          <w:trHeight w:val="227"/>
        </w:trPr>
        <w:tc>
          <w:tcPr>
            <w:tcW w:w="3325" w:type="dxa"/>
            <w:shd w:val="clear" w:color="auto" w:fill="F2DBDB" w:themeFill="accent2" w:themeFillTint="33"/>
          </w:tcPr>
          <w:p w14:paraId="5DF488E3" w14:textId="77777777" w:rsidR="00CC641E" w:rsidRPr="005808FC" w:rsidRDefault="00CC641E">
            <w:pPr>
              <w:rPr>
                <w:b/>
                <w:bCs/>
              </w:rPr>
            </w:pPr>
            <w:r w:rsidRPr="00291DF5">
              <w:rPr>
                <w:b/>
                <w:bCs/>
              </w:rPr>
              <w:t>Ostali uključeni dionici:</w:t>
            </w:r>
          </w:p>
        </w:tc>
        <w:tc>
          <w:tcPr>
            <w:tcW w:w="5691" w:type="dxa"/>
          </w:tcPr>
          <w:p w14:paraId="38375074" w14:textId="3F53971D" w:rsidR="00CC641E" w:rsidRDefault="00CC641E" w:rsidP="00C42B1B">
            <w:pPr>
              <w:numPr>
                <w:ilvl w:val="0"/>
                <w:numId w:val="9"/>
              </w:numPr>
              <w:spacing w:after="0"/>
              <w:ind w:left="482" w:hanging="357"/>
              <w:jc w:val="left"/>
            </w:pPr>
            <w:r w:rsidRPr="00291DF5">
              <w:t>Nastavni zavod za javno zdravstvo, dr. Andrija Štampar</w:t>
            </w:r>
          </w:p>
        </w:tc>
      </w:tr>
      <w:tr w:rsidR="00CC641E" w:rsidRPr="003D373D" w14:paraId="5EDE1863" w14:textId="77777777" w:rsidTr="005808FC">
        <w:trPr>
          <w:trHeight w:val="227"/>
        </w:trPr>
        <w:tc>
          <w:tcPr>
            <w:tcW w:w="3325" w:type="dxa"/>
            <w:shd w:val="clear" w:color="auto" w:fill="F2DBDB" w:themeFill="accent2" w:themeFillTint="33"/>
          </w:tcPr>
          <w:p w14:paraId="1A25FC9A" w14:textId="77777777" w:rsidR="00CC641E" w:rsidRPr="005808FC" w:rsidRDefault="00CC641E">
            <w:pPr>
              <w:rPr>
                <w:b/>
                <w:bCs/>
              </w:rPr>
            </w:pPr>
            <w:r w:rsidRPr="00291DF5">
              <w:rPr>
                <w:b/>
                <w:bCs/>
              </w:rPr>
              <w:t>Početak/kraj provedbe (godine)</w:t>
            </w:r>
          </w:p>
        </w:tc>
        <w:tc>
          <w:tcPr>
            <w:tcW w:w="5691" w:type="dxa"/>
          </w:tcPr>
          <w:p w14:paraId="3E585C6A" w14:textId="77777777" w:rsidR="00CC641E" w:rsidRPr="005808FC" w:rsidRDefault="00CC641E">
            <w:pPr>
              <w:pStyle w:val="ListParagraph"/>
              <w:ind w:left="133"/>
              <w:rPr>
                <w:rFonts w:eastAsia="Calibri"/>
                <w:b/>
                <w:bCs/>
              </w:rPr>
            </w:pPr>
            <w:r w:rsidRPr="00291DF5">
              <w:rPr>
                <w:rFonts w:eastAsia="Calibri"/>
                <w:b/>
                <w:bCs/>
              </w:rPr>
              <w:t>2021-2026</w:t>
            </w:r>
          </w:p>
        </w:tc>
      </w:tr>
      <w:tr w:rsidR="00CC641E" w:rsidRPr="003D373D" w14:paraId="01BBDCD7" w14:textId="77777777" w:rsidTr="005808FC">
        <w:trPr>
          <w:trHeight w:val="227"/>
        </w:trPr>
        <w:tc>
          <w:tcPr>
            <w:tcW w:w="3325" w:type="dxa"/>
            <w:shd w:val="clear" w:color="auto" w:fill="F2DBDB" w:themeFill="accent2" w:themeFillTint="33"/>
          </w:tcPr>
          <w:p w14:paraId="095A6B8E" w14:textId="77777777" w:rsidR="00CC641E" w:rsidRPr="005808FC" w:rsidRDefault="00CC641E">
            <w:pPr>
              <w:rPr>
                <w:b/>
                <w:bCs/>
              </w:rPr>
            </w:pPr>
            <w:r w:rsidRPr="00291DF5">
              <w:rPr>
                <w:b/>
                <w:bCs/>
              </w:rPr>
              <w:t xml:space="preserve">Procjena troškova </w:t>
            </w:r>
            <w:r w:rsidRPr="005808FC">
              <w:rPr>
                <w:b/>
                <w:bCs/>
              </w:rPr>
              <w:t>(jedinična ili ukupna po mjeri)</w:t>
            </w:r>
          </w:p>
        </w:tc>
        <w:tc>
          <w:tcPr>
            <w:tcW w:w="5691" w:type="dxa"/>
          </w:tcPr>
          <w:p w14:paraId="6CDCD50A" w14:textId="77777777" w:rsidR="00CC641E" w:rsidRPr="005808FC" w:rsidRDefault="00CC641E">
            <w:pPr>
              <w:pStyle w:val="ListParagraph"/>
              <w:ind w:left="133"/>
              <w:rPr>
                <w:rFonts w:eastAsia="Calibri"/>
                <w:b/>
                <w:bCs/>
              </w:rPr>
            </w:pPr>
            <w:r w:rsidRPr="00291DF5">
              <w:rPr>
                <w:rFonts w:eastAsia="Calibri"/>
                <w:b/>
                <w:bCs/>
              </w:rPr>
              <w:t>Analitički dio 1.500.000 HRK</w:t>
            </w:r>
          </w:p>
          <w:p w14:paraId="6EE5D226" w14:textId="77777777" w:rsidR="00CC641E" w:rsidRPr="005808FC" w:rsidRDefault="00CC641E">
            <w:pPr>
              <w:pStyle w:val="ListParagraph"/>
              <w:ind w:left="133"/>
              <w:rPr>
                <w:rFonts w:eastAsia="Calibri"/>
                <w:b/>
                <w:bCs/>
              </w:rPr>
            </w:pPr>
            <w:r w:rsidRPr="00291DF5">
              <w:rPr>
                <w:rFonts w:eastAsia="Calibri"/>
                <w:b/>
                <w:bCs/>
              </w:rPr>
              <w:t>Provedba – više desetaka milijuna HRK</w:t>
            </w:r>
          </w:p>
        </w:tc>
      </w:tr>
      <w:tr w:rsidR="00CC641E" w:rsidRPr="003D373D" w14:paraId="489E7E12" w14:textId="77777777" w:rsidTr="005808FC">
        <w:trPr>
          <w:trHeight w:val="227"/>
        </w:trPr>
        <w:tc>
          <w:tcPr>
            <w:tcW w:w="3325" w:type="dxa"/>
            <w:shd w:val="clear" w:color="auto" w:fill="F2DBDB" w:themeFill="accent2" w:themeFillTint="33"/>
          </w:tcPr>
          <w:p w14:paraId="1F13E046" w14:textId="77777777" w:rsidR="00CC641E" w:rsidRPr="005808FC" w:rsidRDefault="00CC641E">
            <w:pPr>
              <w:rPr>
                <w:b/>
                <w:bCs/>
              </w:rPr>
            </w:pPr>
            <w:r w:rsidRPr="00291DF5">
              <w:rPr>
                <w:b/>
                <w:bCs/>
              </w:rPr>
              <w:t>Izvor sredstava za provedbu</w:t>
            </w:r>
          </w:p>
        </w:tc>
        <w:tc>
          <w:tcPr>
            <w:tcW w:w="5691" w:type="dxa"/>
          </w:tcPr>
          <w:p w14:paraId="588FB1CD" w14:textId="77777777" w:rsidR="00CC641E" w:rsidRPr="003D373D" w:rsidRDefault="00CC641E" w:rsidP="005808FC">
            <w:pPr>
              <w:numPr>
                <w:ilvl w:val="0"/>
                <w:numId w:val="9"/>
              </w:numPr>
              <w:spacing w:after="0"/>
              <w:ind w:left="482" w:hanging="357"/>
              <w:jc w:val="left"/>
            </w:pPr>
            <w:r w:rsidRPr="00291DF5">
              <w:t>Državni proračun (HV)</w:t>
            </w:r>
          </w:p>
          <w:p w14:paraId="1BA4E42F" w14:textId="3F48DDA3" w:rsidR="00CC641E" w:rsidRDefault="00CC641E" w:rsidP="005808FC">
            <w:pPr>
              <w:numPr>
                <w:ilvl w:val="0"/>
                <w:numId w:val="9"/>
              </w:numPr>
              <w:spacing w:after="0"/>
              <w:ind w:left="482" w:hanging="357"/>
              <w:jc w:val="left"/>
            </w:pPr>
            <w:r w:rsidRPr="00291DF5">
              <w:t>Proračun tvrtke Vodoopskrba</w:t>
            </w:r>
            <w:r w:rsidR="000509A0">
              <w:t xml:space="preserve"> i </w:t>
            </w:r>
            <w:r w:rsidRPr="00291DF5">
              <w:t>odvodnja, d.o.o.</w:t>
            </w:r>
          </w:p>
          <w:p w14:paraId="1FD2A955" w14:textId="77777777" w:rsidR="00CC641E" w:rsidRDefault="00CC641E" w:rsidP="005808FC">
            <w:pPr>
              <w:numPr>
                <w:ilvl w:val="0"/>
                <w:numId w:val="9"/>
              </w:numPr>
              <w:spacing w:after="0"/>
              <w:ind w:left="482" w:hanging="357"/>
              <w:jc w:val="left"/>
            </w:pPr>
            <w:r w:rsidRPr="00291DF5">
              <w:t>Proračun Grada Zagreba</w:t>
            </w:r>
          </w:p>
          <w:p w14:paraId="542C7557" w14:textId="1977E828" w:rsidR="00CC641E" w:rsidRPr="00C42B1B" w:rsidRDefault="00C42B1B" w:rsidP="00C42B1B">
            <w:pPr>
              <w:numPr>
                <w:ilvl w:val="0"/>
                <w:numId w:val="9"/>
              </w:numPr>
              <w:spacing w:after="0"/>
              <w:ind w:left="482" w:hanging="357"/>
              <w:jc w:val="left"/>
            </w:pPr>
            <w:r>
              <w:t>Europski strukturni i investicijski fondovi</w:t>
            </w:r>
          </w:p>
        </w:tc>
      </w:tr>
      <w:tr w:rsidR="00CC641E" w:rsidRPr="003D373D" w14:paraId="69DA2C33" w14:textId="77777777" w:rsidTr="005808FC">
        <w:trPr>
          <w:trHeight w:val="980"/>
        </w:trPr>
        <w:tc>
          <w:tcPr>
            <w:tcW w:w="3325" w:type="dxa"/>
            <w:shd w:val="clear" w:color="auto" w:fill="F2DBDB" w:themeFill="accent2" w:themeFillTint="33"/>
          </w:tcPr>
          <w:p w14:paraId="03574EDC" w14:textId="77777777" w:rsidR="00CC641E" w:rsidRPr="007F57CA" w:rsidRDefault="00CC641E">
            <w:pPr>
              <w:autoSpaceDE w:val="0"/>
              <w:autoSpaceDN w:val="0"/>
              <w:adjustRightInd w:val="0"/>
            </w:pPr>
            <w:r w:rsidRPr="00291DF5">
              <w:lastRenderedPageBreak/>
              <w:t xml:space="preserve">Kratki </w:t>
            </w:r>
            <w:r w:rsidRPr="005808FC">
              <w:t>opis/komentar</w:t>
            </w:r>
          </w:p>
        </w:tc>
        <w:tc>
          <w:tcPr>
            <w:tcW w:w="5691" w:type="dxa"/>
          </w:tcPr>
          <w:p w14:paraId="47790AFD" w14:textId="1AF23A60" w:rsidR="00CC641E" w:rsidRPr="007F57CA" w:rsidRDefault="00CC641E">
            <w:pPr>
              <w:autoSpaceDE w:val="0"/>
              <w:autoSpaceDN w:val="0"/>
              <w:adjustRightInd w:val="0"/>
            </w:pPr>
            <w:r w:rsidRPr="00291DF5">
              <w:t>Cilj mjere je zaštititi podzemne vode u priljevnim područjima zagrebačkih crpilišta te sanirati onečišćenja radi osiguranja sigurne vodoopskrbe Grada Zagreba, kao</w:t>
            </w:r>
            <w:r w:rsidR="000509A0">
              <w:t xml:space="preserve"> i </w:t>
            </w:r>
            <w:r w:rsidRPr="00291DF5">
              <w:t>radi zadovoljavanja zahtjeva iz EU direktiva</w:t>
            </w:r>
            <w:r w:rsidR="000509A0">
              <w:t xml:space="preserve"> i </w:t>
            </w:r>
            <w:r w:rsidRPr="00291DF5">
              <w:t>smjernica, poglavito Okv</w:t>
            </w:r>
            <w:r w:rsidRPr="005808FC">
              <w:t>irne direktive o vodama.</w:t>
            </w:r>
          </w:p>
          <w:p w14:paraId="762DE5F6" w14:textId="706D0BFB" w:rsidR="00CC641E" w:rsidRPr="007F57CA" w:rsidRDefault="00CC641E">
            <w:pPr>
              <w:autoSpaceDE w:val="0"/>
              <w:autoSpaceDN w:val="0"/>
              <w:adjustRightInd w:val="0"/>
            </w:pPr>
            <w:r w:rsidRPr="00291DF5">
              <w:t>Mjera se sastoji od analitičkog dijela</w:t>
            </w:r>
            <w:r w:rsidR="000509A0">
              <w:t xml:space="preserve"> i </w:t>
            </w:r>
            <w:r w:rsidRPr="00291DF5">
              <w:t>dijela koji podrazumijeva provedbu konkretnih sanacijskih zahvata. U studijsko-analitičko-istraživačkom dijelu potrebno je pokrenuti aktivnosti novelacije zona sanitarne zaštite, tj. analizu učinkovitosti zaštite podzemnih voda u priljevnim područjima</w:t>
            </w:r>
            <w:r w:rsidR="000509A0">
              <w:t xml:space="preserve"> </w:t>
            </w:r>
            <w:r w:rsidRPr="00291DF5">
              <w:t>crp</w:t>
            </w:r>
            <w:r w:rsidRPr="005808FC">
              <w:t>ilišta, u uvjetima sve naglašenijih utjecaja klimatskih promjena</w:t>
            </w:r>
            <w:r w:rsidR="000509A0">
              <w:t xml:space="preserve"> i </w:t>
            </w:r>
            <w:r w:rsidRPr="00291DF5">
              <w:t>razraditi primjenu integriranih instrumenata</w:t>
            </w:r>
            <w:r w:rsidR="000509A0">
              <w:t xml:space="preserve"> i </w:t>
            </w:r>
            <w:r w:rsidRPr="00291DF5">
              <w:t>mjera zaštite podzemnih voda u priljevnim područjima crpilišta</w:t>
            </w:r>
            <w:r w:rsidR="000509A0">
              <w:t xml:space="preserve"> i </w:t>
            </w:r>
            <w:r w:rsidRPr="00291DF5">
              <w:t>analizu troškova</w:t>
            </w:r>
            <w:r w:rsidR="000509A0">
              <w:t xml:space="preserve"> i </w:t>
            </w:r>
            <w:r w:rsidRPr="00291DF5">
              <w:t>koristi.</w:t>
            </w:r>
          </w:p>
          <w:p w14:paraId="59DC0C8C" w14:textId="22718875" w:rsidR="00CC641E" w:rsidRPr="007F57CA" w:rsidRDefault="00CC641E">
            <w:pPr>
              <w:autoSpaceDE w:val="0"/>
              <w:autoSpaceDN w:val="0"/>
              <w:adjustRightInd w:val="0"/>
            </w:pPr>
            <w:r w:rsidRPr="00291DF5">
              <w:t>Dio mjere s adaptivnim učinkom podraz</w:t>
            </w:r>
            <w:r w:rsidRPr="005808FC">
              <w:t xml:space="preserve">umijeva identifikaciju </w:t>
            </w:r>
            <w:r w:rsidR="000509A0">
              <w:t>i</w:t>
            </w:r>
            <w:r w:rsidRPr="005808FC">
              <w:t xml:space="preserve"> provedbu potrebnih konkretnih sanacijskih zahvata onečišćenih dijelova vodonosnoga sustava u okviru priljevnih područja crpilišta po prioritetima.</w:t>
            </w:r>
          </w:p>
        </w:tc>
      </w:tr>
    </w:tbl>
    <w:p w14:paraId="04251EFB" w14:textId="77777777" w:rsidR="00CC641E"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1B173A3A" w14:textId="77777777" w:rsidTr="005808FC">
        <w:trPr>
          <w:trHeight w:val="227"/>
        </w:trPr>
        <w:tc>
          <w:tcPr>
            <w:tcW w:w="3325" w:type="dxa"/>
            <w:shd w:val="clear" w:color="auto" w:fill="C6D9F1" w:themeFill="text2" w:themeFillTint="33"/>
          </w:tcPr>
          <w:p w14:paraId="1F223B02"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7F3E7B90" w14:textId="77777777" w:rsidR="00CC641E" w:rsidRPr="005808FC" w:rsidRDefault="00CC641E">
            <w:pPr>
              <w:rPr>
                <w:rFonts w:eastAsia="Calibri"/>
                <w:b/>
                <w:bCs/>
              </w:rPr>
            </w:pPr>
            <w:r w:rsidRPr="00291DF5">
              <w:rPr>
                <w:rFonts w:eastAsia="Calibri"/>
                <w:b/>
                <w:bCs/>
              </w:rPr>
              <w:t>12</w:t>
            </w:r>
          </w:p>
        </w:tc>
      </w:tr>
      <w:tr w:rsidR="00CC641E" w:rsidRPr="003D373D" w14:paraId="357C3DED" w14:textId="77777777" w:rsidTr="005808FC">
        <w:trPr>
          <w:trHeight w:val="818"/>
        </w:trPr>
        <w:tc>
          <w:tcPr>
            <w:tcW w:w="3325" w:type="dxa"/>
            <w:shd w:val="clear" w:color="auto" w:fill="C6D9F1" w:themeFill="text2" w:themeFillTint="33"/>
          </w:tcPr>
          <w:p w14:paraId="652180BC"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515498F1" w14:textId="788CB61C" w:rsidR="00CC641E" w:rsidRPr="005808FC" w:rsidRDefault="00CC641E">
            <w:pPr>
              <w:autoSpaceDE w:val="0"/>
              <w:autoSpaceDN w:val="0"/>
              <w:adjustRightInd w:val="0"/>
              <w:rPr>
                <w:rFonts w:eastAsia="Calibri"/>
                <w:b/>
                <w:bCs/>
              </w:rPr>
            </w:pPr>
            <w:r w:rsidRPr="00291DF5">
              <w:rPr>
                <w:b/>
                <w:bCs/>
              </w:rPr>
              <w:t xml:space="preserve">Identificirati osjetljive </w:t>
            </w:r>
            <w:r w:rsidRPr="005808FC">
              <w:rPr>
                <w:b/>
                <w:bCs/>
              </w:rPr>
              <w:t>skupine društva</w:t>
            </w:r>
            <w:r w:rsidR="000509A0">
              <w:rPr>
                <w:b/>
                <w:bCs/>
              </w:rPr>
              <w:t xml:space="preserve"> i </w:t>
            </w:r>
            <w:r w:rsidRPr="00291DF5">
              <w:rPr>
                <w:b/>
                <w:bCs/>
              </w:rPr>
              <w:t>kritičnu imovinu na poplave</w:t>
            </w:r>
          </w:p>
        </w:tc>
      </w:tr>
      <w:tr w:rsidR="00CC641E" w:rsidRPr="003D373D" w14:paraId="462E50CB" w14:textId="77777777" w:rsidTr="005808FC">
        <w:trPr>
          <w:trHeight w:val="227"/>
        </w:trPr>
        <w:tc>
          <w:tcPr>
            <w:tcW w:w="3325" w:type="dxa"/>
            <w:shd w:val="clear" w:color="auto" w:fill="F2DBDB" w:themeFill="accent2" w:themeFillTint="33"/>
          </w:tcPr>
          <w:p w14:paraId="7A6087E8" w14:textId="77777777" w:rsidR="00CC641E" w:rsidRPr="005808FC" w:rsidRDefault="00CC641E">
            <w:pPr>
              <w:rPr>
                <w:b/>
                <w:bCs/>
              </w:rPr>
            </w:pPr>
            <w:r w:rsidRPr="00291DF5">
              <w:rPr>
                <w:b/>
                <w:bCs/>
              </w:rPr>
              <w:t>Nositelj aktivnosti:</w:t>
            </w:r>
          </w:p>
        </w:tc>
        <w:tc>
          <w:tcPr>
            <w:tcW w:w="5691" w:type="dxa"/>
          </w:tcPr>
          <w:p w14:paraId="25E10FF7" w14:textId="01DC4413" w:rsidR="00CC641E" w:rsidRPr="003D373D" w:rsidRDefault="00CC641E" w:rsidP="005808FC">
            <w:pPr>
              <w:numPr>
                <w:ilvl w:val="0"/>
                <w:numId w:val="9"/>
              </w:numPr>
              <w:spacing w:after="0"/>
              <w:ind w:left="482" w:hanging="357"/>
              <w:jc w:val="left"/>
            </w:pPr>
            <w:r w:rsidRPr="00291DF5">
              <w:t>Hrvatske vode</w:t>
            </w:r>
          </w:p>
        </w:tc>
      </w:tr>
      <w:tr w:rsidR="00CC641E" w:rsidRPr="003D373D" w14:paraId="72C8DE26" w14:textId="77777777" w:rsidTr="005808FC">
        <w:trPr>
          <w:trHeight w:val="227"/>
        </w:trPr>
        <w:tc>
          <w:tcPr>
            <w:tcW w:w="3325" w:type="dxa"/>
            <w:shd w:val="clear" w:color="auto" w:fill="F2DBDB" w:themeFill="accent2" w:themeFillTint="33"/>
          </w:tcPr>
          <w:p w14:paraId="79DE6252" w14:textId="77777777" w:rsidR="00CC641E" w:rsidRPr="005808FC" w:rsidRDefault="00CC641E">
            <w:pPr>
              <w:rPr>
                <w:b/>
                <w:bCs/>
              </w:rPr>
            </w:pPr>
            <w:r w:rsidRPr="00291DF5">
              <w:rPr>
                <w:b/>
                <w:bCs/>
              </w:rPr>
              <w:t>Partneri u provođenju aktivnosti:</w:t>
            </w:r>
          </w:p>
        </w:tc>
        <w:tc>
          <w:tcPr>
            <w:tcW w:w="5691" w:type="dxa"/>
          </w:tcPr>
          <w:p w14:paraId="636ED72D" w14:textId="77777777" w:rsidR="00CC641E" w:rsidRDefault="00CC641E" w:rsidP="005808FC">
            <w:pPr>
              <w:numPr>
                <w:ilvl w:val="0"/>
                <w:numId w:val="9"/>
              </w:numPr>
              <w:spacing w:after="0"/>
              <w:ind w:left="482" w:hanging="357"/>
              <w:jc w:val="left"/>
            </w:pPr>
            <w:r w:rsidRPr="00291DF5">
              <w:t>Ured za upravljanje u hitnim situacijama</w:t>
            </w:r>
          </w:p>
          <w:p w14:paraId="2E41CF10" w14:textId="4933468F" w:rsidR="00CC641E" w:rsidRDefault="00CC641E" w:rsidP="005808FC">
            <w:pPr>
              <w:numPr>
                <w:ilvl w:val="0"/>
                <w:numId w:val="9"/>
              </w:numPr>
              <w:spacing w:after="0"/>
              <w:ind w:left="482" w:hanging="357"/>
              <w:jc w:val="left"/>
            </w:pPr>
            <w:r w:rsidRPr="00291DF5">
              <w:t>Gradski ured za strategijsko planiranje</w:t>
            </w:r>
            <w:r w:rsidR="000509A0">
              <w:t xml:space="preserve"> i </w:t>
            </w:r>
            <w:r w:rsidRPr="00291DF5">
              <w:t>razvoj grada</w:t>
            </w:r>
          </w:p>
          <w:p w14:paraId="2DB15A00" w14:textId="77777777" w:rsidR="00CC641E" w:rsidRDefault="00CC641E" w:rsidP="005808FC">
            <w:pPr>
              <w:numPr>
                <w:ilvl w:val="0"/>
                <w:numId w:val="9"/>
              </w:numPr>
              <w:spacing w:after="0"/>
              <w:ind w:left="482" w:hanging="357"/>
              <w:jc w:val="left"/>
            </w:pPr>
            <w:r w:rsidRPr="00291DF5">
              <w:t xml:space="preserve">Zavod za prostorno uređenje Grada Zagreba </w:t>
            </w:r>
          </w:p>
          <w:p w14:paraId="07D68CE4" w14:textId="4F26B57D"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zaštiti okoliša</w:t>
            </w:r>
          </w:p>
          <w:p w14:paraId="4CE7C6F7" w14:textId="1B0D5893" w:rsidR="00CC641E" w:rsidRPr="003D373D" w:rsidDel="00436CBA" w:rsidRDefault="00BF0308" w:rsidP="005808FC">
            <w:pPr>
              <w:numPr>
                <w:ilvl w:val="0"/>
                <w:numId w:val="9"/>
              </w:numPr>
              <w:spacing w:after="0"/>
              <w:ind w:left="482" w:hanging="357"/>
              <w:jc w:val="left"/>
            </w:pPr>
            <w:r w:rsidRPr="00291DF5">
              <w:t>Gradski ured za prostorno uređenje, izgradnju Grada, graditeljstvo, komunalne poslove</w:t>
            </w:r>
            <w:r w:rsidR="000509A0">
              <w:t xml:space="preserve"> i </w:t>
            </w:r>
            <w:r w:rsidRPr="00291DF5">
              <w:t>promet</w:t>
            </w:r>
          </w:p>
        </w:tc>
      </w:tr>
      <w:tr w:rsidR="00CC641E" w:rsidRPr="003D373D" w14:paraId="2FA5145F" w14:textId="77777777" w:rsidTr="005808FC">
        <w:trPr>
          <w:trHeight w:val="227"/>
        </w:trPr>
        <w:tc>
          <w:tcPr>
            <w:tcW w:w="3325" w:type="dxa"/>
            <w:shd w:val="clear" w:color="auto" w:fill="F2DBDB" w:themeFill="accent2" w:themeFillTint="33"/>
          </w:tcPr>
          <w:p w14:paraId="1EFF51A4" w14:textId="77777777" w:rsidR="00CC641E" w:rsidRPr="005808FC" w:rsidRDefault="00CC641E">
            <w:pPr>
              <w:rPr>
                <w:b/>
                <w:bCs/>
              </w:rPr>
            </w:pPr>
            <w:r w:rsidRPr="00291DF5">
              <w:rPr>
                <w:b/>
                <w:bCs/>
              </w:rPr>
              <w:t>Ostali uključeni dionici:</w:t>
            </w:r>
          </w:p>
        </w:tc>
        <w:tc>
          <w:tcPr>
            <w:tcW w:w="5691" w:type="dxa"/>
          </w:tcPr>
          <w:p w14:paraId="43EBC18B" w14:textId="6A0BC2E9" w:rsidR="00CC641E" w:rsidRPr="003D373D" w:rsidRDefault="00CC641E" w:rsidP="005808FC">
            <w:pPr>
              <w:numPr>
                <w:ilvl w:val="0"/>
                <w:numId w:val="9"/>
              </w:numPr>
              <w:spacing w:after="0"/>
              <w:ind w:left="482" w:hanging="357"/>
              <w:jc w:val="left"/>
            </w:pPr>
            <w:r w:rsidRPr="00291DF5">
              <w:t xml:space="preserve">Državna uprava za </w:t>
            </w:r>
            <w:r w:rsidRPr="005808FC">
              <w:t>zaštitu</w:t>
            </w:r>
            <w:r w:rsidR="000509A0">
              <w:t xml:space="preserve"> i </w:t>
            </w:r>
            <w:r w:rsidRPr="00291DF5">
              <w:t>spašavanje</w:t>
            </w:r>
          </w:p>
          <w:p w14:paraId="53C7B62F" w14:textId="68C0332D" w:rsidR="00CC641E" w:rsidRDefault="00CC641E" w:rsidP="00C42B1B">
            <w:pPr>
              <w:numPr>
                <w:ilvl w:val="0"/>
                <w:numId w:val="9"/>
              </w:numPr>
              <w:spacing w:after="0"/>
              <w:ind w:left="482" w:hanging="357"/>
              <w:jc w:val="left"/>
            </w:pPr>
            <w:r w:rsidRPr="00291DF5">
              <w:t>Nastavni zavod za javno zdravstvo, dr. Andrija Štampar</w:t>
            </w:r>
          </w:p>
        </w:tc>
      </w:tr>
      <w:tr w:rsidR="00CC641E" w:rsidRPr="003D373D" w14:paraId="0E001991" w14:textId="77777777" w:rsidTr="005808FC">
        <w:trPr>
          <w:trHeight w:val="227"/>
        </w:trPr>
        <w:tc>
          <w:tcPr>
            <w:tcW w:w="3325" w:type="dxa"/>
            <w:shd w:val="clear" w:color="auto" w:fill="F2DBDB" w:themeFill="accent2" w:themeFillTint="33"/>
          </w:tcPr>
          <w:p w14:paraId="6B0B5E8B" w14:textId="77777777" w:rsidR="00CC641E" w:rsidRPr="005808FC" w:rsidRDefault="00CC641E">
            <w:pPr>
              <w:rPr>
                <w:b/>
                <w:bCs/>
              </w:rPr>
            </w:pPr>
            <w:r w:rsidRPr="00291DF5">
              <w:rPr>
                <w:b/>
                <w:bCs/>
              </w:rPr>
              <w:t>Početak/kraj provedbe (godine)</w:t>
            </w:r>
          </w:p>
        </w:tc>
        <w:tc>
          <w:tcPr>
            <w:tcW w:w="5691" w:type="dxa"/>
          </w:tcPr>
          <w:p w14:paraId="2E36F920" w14:textId="77777777" w:rsidR="00CC641E" w:rsidRPr="005808FC" w:rsidRDefault="00CC641E">
            <w:pPr>
              <w:pStyle w:val="ListParagraph"/>
              <w:ind w:left="133"/>
              <w:rPr>
                <w:rFonts w:eastAsia="Calibri"/>
                <w:b/>
                <w:bCs/>
              </w:rPr>
            </w:pPr>
            <w:r w:rsidRPr="00291DF5">
              <w:rPr>
                <w:rFonts w:eastAsia="Calibri"/>
                <w:b/>
                <w:bCs/>
              </w:rPr>
              <w:t>2021-2022</w:t>
            </w:r>
          </w:p>
        </w:tc>
      </w:tr>
      <w:tr w:rsidR="00CC641E" w:rsidRPr="003D373D" w14:paraId="6D5BF57D" w14:textId="77777777" w:rsidTr="005808FC">
        <w:trPr>
          <w:trHeight w:val="227"/>
        </w:trPr>
        <w:tc>
          <w:tcPr>
            <w:tcW w:w="3325" w:type="dxa"/>
            <w:shd w:val="clear" w:color="auto" w:fill="F2DBDB" w:themeFill="accent2" w:themeFillTint="33"/>
          </w:tcPr>
          <w:p w14:paraId="34E19A75" w14:textId="77777777" w:rsidR="00CC641E" w:rsidRPr="005808FC" w:rsidRDefault="00CC641E">
            <w:pPr>
              <w:rPr>
                <w:b/>
                <w:bCs/>
              </w:rPr>
            </w:pPr>
            <w:r w:rsidRPr="00291DF5">
              <w:rPr>
                <w:b/>
                <w:bCs/>
              </w:rPr>
              <w:t>Procjena troškova (jedinična ili ukupna po mjeri)</w:t>
            </w:r>
          </w:p>
        </w:tc>
        <w:tc>
          <w:tcPr>
            <w:tcW w:w="5691" w:type="dxa"/>
          </w:tcPr>
          <w:p w14:paraId="4DEF389E" w14:textId="77777777" w:rsidR="00CC641E" w:rsidRPr="005808FC" w:rsidRDefault="00CC641E">
            <w:pPr>
              <w:pStyle w:val="ListParagraph"/>
              <w:ind w:left="133"/>
              <w:rPr>
                <w:rFonts w:eastAsia="Calibri"/>
                <w:b/>
                <w:bCs/>
              </w:rPr>
            </w:pPr>
            <w:r w:rsidRPr="00291DF5">
              <w:rPr>
                <w:rFonts w:eastAsia="Calibri"/>
                <w:b/>
                <w:bCs/>
              </w:rPr>
              <w:t>1.000.000 HRK</w:t>
            </w:r>
          </w:p>
        </w:tc>
      </w:tr>
      <w:tr w:rsidR="00CC641E" w:rsidRPr="003D373D" w14:paraId="6AE43A63" w14:textId="77777777" w:rsidTr="005808FC">
        <w:trPr>
          <w:trHeight w:val="227"/>
        </w:trPr>
        <w:tc>
          <w:tcPr>
            <w:tcW w:w="3325" w:type="dxa"/>
            <w:shd w:val="clear" w:color="auto" w:fill="F2DBDB" w:themeFill="accent2" w:themeFillTint="33"/>
          </w:tcPr>
          <w:p w14:paraId="7BE5B26B" w14:textId="77777777" w:rsidR="00CC641E" w:rsidRPr="005808FC" w:rsidRDefault="00CC641E">
            <w:pPr>
              <w:rPr>
                <w:b/>
                <w:bCs/>
              </w:rPr>
            </w:pPr>
            <w:r w:rsidRPr="00291DF5">
              <w:rPr>
                <w:b/>
                <w:bCs/>
              </w:rPr>
              <w:t>Izvor sredstava za provedbu</w:t>
            </w:r>
          </w:p>
        </w:tc>
        <w:tc>
          <w:tcPr>
            <w:tcW w:w="5691" w:type="dxa"/>
          </w:tcPr>
          <w:p w14:paraId="35FAB65F" w14:textId="77777777" w:rsidR="00CC641E" w:rsidRPr="003D373D" w:rsidRDefault="00CC641E" w:rsidP="005808FC">
            <w:pPr>
              <w:numPr>
                <w:ilvl w:val="0"/>
                <w:numId w:val="9"/>
              </w:numPr>
              <w:spacing w:after="0"/>
              <w:ind w:left="482" w:hanging="357"/>
              <w:jc w:val="left"/>
            </w:pPr>
            <w:r w:rsidRPr="00291DF5">
              <w:t xml:space="preserve">Državni </w:t>
            </w:r>
            <w:r w:rsidRPr="005808FC">
              <w:t>proračun (HV)</w:t>
            </w:r>
          </w:p>
          <w:p w14:paraId="6E332BF5" w14:textId="77777777" w:rsidR="00CC641E" w:rsidRDefault="00CC641E" w:rsidP="005808FC">
            <w:pPr>
              <w:numPr>
                <w:ilvl w:val="0"/>
                <w:numId w:val="9"/>
              </w:numPr>
              <w:spacing w:after="0"/>
              <w:ind w:left="482" w:hanging="357"/>
              <w:jc w:val="left"/>
            </w:pPr>
            <w:r w:rsidRPr="00291DF5">
              <w:t>Proračun grada Zagreba</w:t>
            </w:r>
          </w:p>
          <w:p w14:paraId="3C06C5EF" w14:textId="61426B30" w:rsidR="00CC641E" w:rsidRPr="00C42B1B" w:rsidRDefault="00C42B1B" w:rsidP="00C42B1B">
            <w:pPr>
              <w:numPr>
                <w:ilvl w:val="0"/>
                <w:numId w:val="9"/>
              </w:numPr>
              <w:spacing w:after="0"/>
              <w:ind w:left="482" w:hanging="357"/>
              <w:jc w:val="left"/>
            </w:pPr>
            <w:r>
              <w:lastRenderedPageBreak/>
              <w:t>Europski strukturni i investicijski fondovi</w:t>
            </w:r>
          </w:p>
        </w:tc>
      </w:tr>
      <w:tr w:rsidR="00CC641E" w:rsidRPr="003D373D" w14:paraId="5A85E82E" w14:textId="77777777" w:rsidTr="005808FC">
        <w:trPr>
          <w:trHeight w:val="1970"/>
        </w:trPr>
        <w:tc>
          <w:tcPr>
            <w:tcW w:w="3325" w:type="dxa"/>
            <w:shd w:val="clear" w:color="auto" w:fill="F2DBDB" w:themeFill="accent2" w:themeFillTint="33"/>
          </w:tcPr>
          <w:p w14:paraId="50A0DCA1" w14:textId="77777777" w:rsidR="00CC641E" w:rsidRPr="005808FC" w:rsidRDefault="00CC641E">
            <w:pPr>
              <w:autoSpaceDE w:val="0"/>
              <w:autoSpaceDN w:val="0"/>
              <w:adjustRightInd w:val="0"/>
              <w:rPr>
                <w:b/>
                <w:bCs/>
              </w:rPr>
            </w:pPr>
            <w:r w:rsidRPr="00291DF5">
              <w:rPr>
                <w:b/>
                <w:bCs/>
              </w:rPr>
              <w:lastRenderedPageBreak/>
              <w:t>Kratki opis/komentar</w:t>
            </w:r>
          </w:p>
        </w:tc>
        <w:tc>
          <w:tcPr>
            <w:tcW w:w="5691" w:type="dxa"/>
          </w:tcPr>
          <w:p w14:paraId="284EC259" w14:textId="4B3534AA" w:rsidR="00CC641E" w:rsidRDefault="00CC641E">
            <w:pPr>
              <w:autoSpaceDE w:val="0"/>
              <w:autoSpaceDN w:val="0"/>
              <w:adjustRightInd w:val="0"/>
            </w:pPr>
            <w:r w:rsidRPr="00291DF5">
              <w:t>Cilj mjere je ublažavanje ljudskih</w:t>
            </w:r>
            <w:r w:rsidR="000509A0">
              <w:t xml:space="preserve"> i </w:t>
            </w:r>
            <w:r w:rsidRPr="00291DF5">
              <w:t>materijalnih gubitaka u naseljenim</w:t>
            </w:r>
            <w:r w:rsidR="000509A0">
              <w:t xml:space="preserve"> i </w:t>
            </w:r>
            <w:r w:rsidRPr="00291DF5">
              <w:t>gospodarskim područjima Grada Zagreba gdje je visoki rizik poplava. Pri tome je ključan brži</w:t>
            </w:r>
            <w:r w:rsidR="000509A0">
              <w:t xml:space="preserve"> i </w:t>
            </w:r>
            <w:r w:rsidRPr="00291DF5">
              <w:t>spremniji odgovor lokalne zajednice</w:t>
            </w:r>
            <w:r w:rsidR="000509A0">
              <w:t xml:space="preserve"> i </w:t>
            </w:r>
            <w:r w:rsidRPr="00291DF5">
              <w:t>institucija nadležnih za sanaciju za poplave prepoznavanjem prioritetnih skupina društva, čije će se potrebe brzo prepoznati, čija će se područja najprije evakuirati</w:t>
            </w:r>
            <w:r w:rsidR="000509A0">
              <w:t xml:space="preserve"> i </w:t>
            </w:r>
            <w:r w:rsidRPr="00291DF5">
              <w:t>čija će se</w:t>
            </w:r>
            <w:r w:rsidR="00BF0308" w:rsidRPr="005808FC">
              <w:t xml:space="preserve"> </w:t>
            </w:r>
            <w:r w:rsidRPr="005808FC">
              <w:t>imovina zaštititi.</w:t>
            </w:r>
          </w:p>
          <w:p w14:paraId="7082871A" w14:textId="3C68904C" w:rsidR="00CC641E" w:rsidRPr="00357D1D" w:rsidRDefault="00CC641E">
            <w:pPr>
              <w:autoSpaceDE w:val="0"/>
              <w:autoSpaceDN w:val="0"/>
              <w:adjustRightInd w:val="0"/>
            </w:pPr>
            <w:r w:rsidRPr="00291DF5">
              <w:t>Potrebno je identificirati ona naselja, kuće</w:t>
            </w:r>
            <w:r w:rsidR="000509A0">
              <w:t xml:space="preserve"> i </w:t>
            </w:r>
            <w:r w:rsidRPr="00291DF5">
              <w:t>nastambe koje se nalaze u najosjetljivijim područjima s obzirom na vodene površine u neposrednoj blizini</w:t>
            </w:r>
            <w:r w:rsidR="000509A0">
              <w:t xml:space="preserve"> i </w:t>
            </w:r>
            <w:r w:rsidRPr="00291DF5">
              <w:t>s obzirom na dostupnu infrastrukturu</w:t>
            </w:r>
            <w:r w:rsidR="000509A0">
              <w:t xml:space="preserve"> i </w:t>
            </w:r>
            <w:r w:rsidRPr="00291DF5">
              <w:t>postojanje adekvatno izgrađenih nasipa. Potrebno je  d</w:t>
            </w:r>
            <w:r w:rsidRPr="005808FC">
              <w:t>etaljno analizirati glavne djelatnosti kojima se lokalno stanovništvo potencijalno pogođeno poplavom bavi. Meteorološki</w:t>
            </w:r>
            <w:r w:rsidR="000509A0">
              <w:t xml:space="preserve"> i </w:t>
            </w:r>
            <w:r w:rsidRPr="00291DF5">
              <w:t>klimatski podaci trebaju pomoći pri identifikaciji najvjerojatnijeg unutar godišnjeg rasporeda poplavnih događaja za pojedine lokac</w:t>
            </w:r>
            <w:r w:rsidRPr="005808FC">
              <w:t>ije (bitno za poljoprivredu), a preciznije treba identificirati položaje</w:t>
            </w:r>
            <w:r w:rsidR="000509A0">
              <w:t xml:space="preserve"> i </w:t>
            </w:r>
            <w:r w:rsidRPr="00291DF5">
              <w:t>karakteristike najranjivijih</w:t>
            </w:r>
            <w:r w:rsidR="000509A0">
              <w:t xml:space="preserve"> i </w:t>
            </w:r>
            <w:r w:rsidRPr="00291DF5">
              <w:t>najosjetljivijih socijalnih skupina, čime će se povećati efikasnost procjene rizika od poplava te intervencije službi spašavanja u slučaju popla</w:t>
            </w:r>
            <w:r w:rsidRPr="005808FC">
              <w:t>va. U slučaju neprihvatljivih rizika od poplava na temelju prethodne identifikacije osjetljivih skupina, nadležne institucije trebaju organizirati edukacijske programe za informiranje dijela stanovništva potencijalno najviše pogođenog poplavama, te organizirati kao odgovor na zaštitu kućanstava od poplava. U materijalima treba obraditi</w:t>
            </w:r>
            <w:r w:rsidR="000509A0">
              <w:t xml:space="preserve"> i </w:t>
            </w:r>
            <w:r w:rsidRPr="00291DF5">
              <w:t>preporučeni tip gradnje i/ili prilagodbu infrastrukture u kućanstvima</w:t>
            </w:r>
            <w:r w:rsidR="000509A0">
              <w:t xml:space="preserve"> i </w:t>
            </w:r>
            <w:r w:rsidRPr="00291DF5">
              <w:t>na poljoprivrednim</w:t>
            </w:r>
            <w:r w:rsidR="000509A0">
              <w:t xml:space="preserve"> i </w:t>
            </w:r>
            <w:r w:rsidRPr="00291DF5">
              <w:t>industrijskim površinama u slučaju poplave.</w:t>
            </w:r>
          </w:p>
        </w:tc>
      </w:tr>
    </w:tbl>
    <w:p w14:paraId="5E2910BD" w14:textId="77777777" w:rsidR="00CC641E"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7CDA1FED" w14:textId="77777777" w:rsidTr="005808FC">
        <w:trPr>
          <w:trHeight w:val="227"/>
        </w:trPr>
        <w:tc>
          <w:tcPr>
            <w:tcW w:w="3325" w:type="dxa"/>
            <w:shd w:val="clear" w:color="auto" w:fill="C6D9F1" w:themeFill="text2" w:themeFillTint="33"/>
          </w:tcPr>
          <w:p w14:paraId="68740F4E"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477C0BB6" w14:textId="77777777" w:rsidR="00CC641E" w:rsidRPr="005808FC" w:rsidRDefault="00CC641E">
            <w:pPr>
              <w:rPr>
                <w:rFonts w:eastAsia="Calibri"/>
                <w:b/>
                <w:bCs/>
              </w:rPr>
            </w:pPr>
            <w:r w:rsidRPr="00291DF5">
              <w:rPr>
                <w:rFonts w:eastAsia="Calibri"/>
                <w:b/>
                <w:bCs/>
              </w:rPr>
              <w:t>13</w:t>
            </w:r>
          </w:p>
        </w:tc>
      </w:tr>
      <w:tr w:rsidR="00CC641E" w:rsidRPr="003D373D" w14:paraId="597130E4" w14:textId="77777777" w:rsidTr="005808FC">
        <w:trPr>
          <w:trHeight w:val="557"/>
        </w:trPr>
        <w:tc>
          <w:tcPr>
            <w:tcW w:w="3325" w:type="dxa"/>
            <w:shd w:val="clear" w:color="auto" w:fill="C6D9F1" w:themeFill="text2" w:themeFillTint="33"/>
          </w:tcPr>
          <w:p w14:paraId="5707CCFE" w14:textId="77777777" w:rsidR="00CC641E" w:rsidRPr="005808FC" w:rsidRDefault="00CC641E">
            <w:pPr>
              <w:rPr>
                <w:b/>
                <w:bCs/>
              </w:rPr>
            </w:pPr>
            <w:r w:rsidRPr="00291DF5">
              <w:rPr>
                <w:b/>
                <w:bCs/>
              </w:rPr>
              <w:br w:type="page"/>
            </w:r>
            <w:r w:rsidRPr="005808FC">
              <w:rPr>
                <w:b/>
                <w:bCs/>
              </w:rPr>
              <w:t>Ime mjere/aktivnost</w:t>
            </w:r>
          </w:p>
        </w:tc>
        <w:tc>
          <w:tcPr>
            <w:tcW w:w="5691" w:type="dxa"/>
            <w:shd w:val="clear" w:color="auto" w:fill="C6D9F1" w:themeFill="text2" w:themeFillTint="33"/>
          </w:tcPr>
          <w:p w14:paraId="61501CE4" w14:textId="77777777" w:rsidR="00CC641E" w:rsidRPr="005808FC" w:rsidRDefault="00CC641E">
            <w:pPr>
              <w:autoSpaceDE w:val="0"/>
              <w:autoSpaceDN w:val="0"/>
              <w:adjustRightInd w:val="0"/>
              <w:rPr>
                <w:rFonts w:eastAsia="Calibri"/>
                <w:b/>
                <w:bCs/>
              </w:rPr>
            </w:pPr>
            <w:r w:rsidRPr="00291DF5">
              <w:rPr>
                <w:b/>
                <w:bCs/>
              </w:rPr>
              <w:t>Obnova korita rijeke Save</w:t>
            </w:r>
          </w:p>
        </w:tc>
      </w:tr>
      <w:tr w:rsidR="00CC641E" w:rsidRPr="003D373D" w14:paraId="37145D69" w14:textId="77777777" w:rsidTr="005808FC">
        <w:trPr>
          <w:trHeight w:val="227"/>
        </w:trPr>
        <w:tc>
          <w:tcPr>
            <w:tcW w:w="3325" w:type="dxa"/>
            <w:shd w:val="clear" w:color="auto" w:fill="F2DBDB" w:themeFill="accent2" w:themeFillTint="33"/>
          </w:tcPr>
          <w:p w14:paraId="666D8167" w14:textId="77777777" w:rsidR="00CC641E" w:rsidRPr="005808FC" w:rsidRDefault="00CC641E">
            <w:pPr>
              <w:rPr>
                <w:b/>
                <w:bCs/>
              </w:rPr>
            </w:pPr>
            <w:r w:rsidRPr="00291DF5">
              <w:rPr>
                <w:b/>
                <w:bCs/>
              </w:rPr>
              <w:t>Nositelj aktivnosti:</w:t>
            </w:r>
          </w:p>
        </w:tc>
        <w:tc>
          <w:tcPr>
            <w:tcW w:w="5691" w:type="dxa"/>
          </w:tcPr>
          <w:p w14:paraId="2E3EB78D" w14:textId="727A8FB5" w:rsidR="00CC641E" w:rsidRPr="003D373D" w:rsidRDefault="00CC641E" w:rsidP="005808FC">
            <w:pPr>
              <w:numPr>
                <w:ilvl w:val="0"/>
                <w:numId w:val="9"/>
              </w:numPr>
              <w:spacing w:after="0"/>
              <w:ind w:left="482" w:hanging="357"/>
              <w:jc w:val="left"/>
            </w:pPr>
            <w:r w:rsidRPr="00291DF5">
              <w:t>Hrvatske vode</w:t>
            </w:r>
          </w:p>
        </w:tc>
      </w:tr>
      <w:tr w:rsidR="00CC641E" w:rsidRPr="003D373D" w14:paraId="4FE79104" w14:textId="77777777" w:rsidTr="005808FC">
        <w:trPr>
          <w:trHeight w:val="227"/>
        </w:trPr>
        <w:tc>
          <w:tcPr>
            <w:tcW w:w="3325" w:type="dxa"/>
            <w:shd w:val="clear" w:color="auto" w:fill="F2DBDB" w:themeFill="accent2" w:themeFillTint="33"/>
          </w:tcPr>
          <w:p w14:paraId="23506009" w14:textId="77777777" w:rsidR="00CC641E" w:rsidRPr="005808FC" w:rsidRDefault="00CC641E">
            <w:pPr>
              <w:rPr>
                <w:b/>
                <w:bCs/>
              </w:rPr>
            </w:pPr>
            <w:r w:rsidRPr="00291DF5">
              <w:rPr>
                <w:b/>
                <w:bCs/>
              </w:rPr>
              <w:t>Partneri u provođenju aktivnosti:</w:t>
            </w:r>
          </w:p>
        </w:tc>
        <w:tc>
          <w:tcPr>
            <w:tcW w:w="5691" w:type="dxa"/>
          </w:tcPr>
          <w:p w14:paraId="5D80F968" w14:textId="12749911" w:rsidR="00CC641E" w:rsidRDefault="00CC641E" w:rsidP="005808FC">
            <w:pPr>
              <w:numPr>
                <w:ilvl w:val="0"/>
                <w:numId w:val="9"/>
              </w:numPr>
              <w:spacing w:after="0"/>
              <w:ind w:left="482" w:hanging="357"/>
              <w:jc w:val="left"/>
            </w:pPr>
            <w:r w:rsidRPr="00291DF5">
              <w:t>Gradski ured za strategijsko planiranje</w:t>
            </w:r>
            <w:r w:rsidR="000509A0">
              <w:t xml:space="preserve"> i </w:t>
            </w:r>
            <w:r w:rsidRPr="00291DF5">
              <w:t>razvoj grada</w:t>
            </w:r>
          </w:p>
          <w:p w14:paraId="37ECF734" w14:textId="77777777" w:rsidR="00CC641E" w:rsidRDefault="00CC641E" w:rsidP="005808FC">
            <w:pPr>
              <w:numPr>
                <w:ilvl w:val="0"/>
                <w:numId w:val="9"/>
              </w:numPr>
              <w:spacing w:after="0"/>
              <w:ind w:left="482" w:hanging="357"/>
              <w:jc w:val="left"/>
            </w:pPr>
            <w:r w:rsidRPr="00291DF5">
              <w:t xml:space="preserve">Zavod za prostorno uređenje Grada Zagreba </w:t>
            </w:r>
          </w:p>
          <w:p w14:paraId="2AB28C90" w14:textId="1E20D268" w:rsidR="00BF0308"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15649CFF" w14:textId="6C34A038" w:rsidR="00CC641E" w:rsidRPr="003D373D" w:rsidDel="00436CBA" w:rsidRDefault="00BF0308" w:rsidP="005808FC">
            <w:pPr>
              <w:numPr>
                <w:ilvl w:val="0"/>
                <w:numId w:val="9"/>
              </w:numPr>
              <w:spacing w:after="0"/>
              <w:ind w:left="482" w:hanging="357"/>
              <w:jc w:val="left"/>
            </w:pPr>
            <w:r w:rsidRPr="00291DF5">
              <w:t>Gradski ured za prostorno uređenje, izgradnju Grada, graditeljstvo, komunalne poslove</w:t>
            </w:r>
            <w:r w:rsidR="000509A0">
              <w:t xml:space="preserve"> i </w:t>
            </w:r>
            <w:r w:rsidRPr="00291DF5">
              <w:t>promet</w:t>
            </w:r>
            <w:r w:rsidRPr="005808FC" w:rsidDel="00436CBA">
              <w:t xml:space="preserve"> </w:t>
            </w:r>
          </w:p>
        </w:tc>
      </w:tr>
      <w:tr w:rsidR="00CC641E" w:rsidRPr="003D373D" w14:paraId="15FDEC84" w14:textId="77777777" w:rsidTr="005808FC">
        <w:trPr>
          <w:trHeight w:val="227"/>
        </w:trPr>
        <w:tc>
          <w:tcPr>
            <w:tcW w:w="3325" w:type="dxa"/>
            <w:shd w:val="clear" w:color="auto" w:fill="F2DBDB" w:themeFill="accent2" w:themeFillTint="33"/>
          </w:tcPr>
          <w:p w14:paraId="01B33101" w14:textId="77777777" w:rsidR="00CC641E" w:rsidRPr="005808FC" w:rsidRDefault="00CC641E">
            <w:pPr>
              <w:rPr>
                <w:b/>
                <w:bCs/>
              </w:rPr>
            </w:pPr>
            <w:r w:rsidRPr="00291DF5">
              <w:rPr>
                <w:b/>
                <w:bCs/>
              </w:rPr>
              <w:lastRenderedPageBreak/>
              <w:t>Ostali uključeni dionici:</w:t>
            </w:r>
          </w:p>
        </w:tc>
        <w:tc>
          <w:tcPr>
            <w:tcW w:w="5691" w:type="dxa"/>
          </w:tcPr>
          <w:p w14:paraId="51326949" w14:textId="5BCD0876" w:rsidR="00CC641E" w:rsidRDefault="00CC641E" w:rsidP="00C42B1B">
            <w:pPr>
              <w:numPr>
                <w:ilvl w:val="0"/>
                <w:numId w:val="9"/>
              </w:numPr>
              <w:spacing w:after="0"/>
              <w:ind w:left="482" w:hanging="357"/>
              <w:jc w:val="left"/>
            </w:pPr>
            <w:r w:rsidRPr="00291DF5">
              <w:t xml:space="preserve">Državna uprava za </w:t>
            </w:r>
            <w:r w:rsidRPr="005808FC">
              <w:t>zaštitu</w:t>
            </w:r>
            <w:r w:rsidR="000509A0">
              <w:t xml:space="preserve"> i </w:t>
            </w:r>
            <w:r w:rsidRPr="00291DF5">
              <w:t>spašavanje</w:t>
            </w:r>
          </w:p>
        </w:tc>
      </w:tr>
      <w:tr w:rsidR="00CC641E" w:rsidRPr="003D373D" w14:paraId="42A2E0B1" w14:textId="77777777" w:rsidTr="005808FC">
        <w:trPr>
          <w:trHeight w:val="227"/>
        </w:trPr>
        <w:tc>
          <w:tcPr>
            <w:tcW w:w="3325" w:type="dxa"/>
            <w:shd w:val="clear" w:color="auto" w:fill="F2DBDB" w:themeFill="accent2" w:themeFillTint="33"/>
          </w:tcPr>
          <w:p w14:paraId="49673302" w14:textId="77777777" w:rsidR="00CC641E" w:rsidRPr="005808FC" w:rsidRDefault="00CC641E">
            <w:pPr>
              <w:rPr>
                <w:b/>
                <w:bCs/>
              </w:rPr>
            </w:pPr>
            <w:r w:rsidRPr="00291DF5">
              <w:rPr>
                <w:b/>
                <w:bCs/>
              </w:rPr>
              <w:t>Početak/kraj provedbe (godine)</w:t>
            </w:r>
          </w:p>
        </w:tc>
        <w:tc>
          <w:tcPr>
            <w:tcW w:w="5691" w:type="dxa"/>
          </w:tcPr>
          <w:p w14:paraId="171CB044" w14:textId="77777777" w:rsidR="00CC641E" w:rsidRPr="005808FC" w:rsidRDefault="00CC641E">
            <w:pPr>
              <w:pStyle w:val="ListParagraph"/>
              <w:ind w:left="133"/>
              <w:rPr>
                <w:rFonts w:eastAsia="Calibri"/>
                <w:b/>
                <w:bCs/>
              </w:rPr>
            </w:pPr>
            <w:r w:rsidRPr="00291DF5">
              <w:rPr>
                <w:rFonts w:eastAsia="Calibri"/>
                <w:b/>
                <w:bCs/>
              </w:rPr>
              <w:t>2021-2030</w:t>
            </w:r>
          </w:p>
        </w:tc>
      </w:tr>
      <w:tr w:rsidR="00CC641E" w:rsidRPr="003D373D" w14:paraId="09D1A25D" w14:textId="77777777" w:rsidTr="005808FC">
        <w:trPr>
          <w:trHeight w:val="227"/>
        </w:trPr>
        <w:tc>
          <w:tcPr>
            <w:tcW w:w="3325" w:type="dxa"/>
            <w:shd w:val="clear" w:color="auto" w:fill="F2DBDB" w:themeFill="accent2" w:themeFillTint="33"/>
          </w:tcPr>
          <w:p w14:paraId="7D92C4C8" w14:textId="77777777" w:rsidR="00CC641E" w:rsidRPr="005808FC" w:rsidRDefault="00CC641E">
            <w:pPr>
              <w:rPr>
                <w:b/>
                <w:bCs/>
              </w:rPr>
            </w:pPr>
            <w:r w:rsidRPr="00291DF5">
              <w:rPr>
                <w:b/>
                <w:bCs/>
              </w:rPr>
              <w:t>Procjena troškova (jedinična ili ukupna po mjeri)</w:t>
            </w:r>
          </w:p>
        </w:tc>
        <w:tc>
          <w:tcPr>
            <w:tcW w:w="5691" w:type="dxa"/>
          </w:tcPr>
          <w:p w14:paraId="02942EBC" w14:textId="77777777" w:rsidR="00CC641E" w:rsidRPr="005808FC" w:rsidRDefault="00CC641E">
            <w:pPr>
              <w:pStyle w:val="ListParagraph"/>
              <w:ind w:left="133"/>
              <w:rPr>
                <w:rFonts w:eastAsia="Calibri"/>
                <w:b/>
                <w:bCs/>
              </w:rPr>
            </w:pPr>
            <w:r w:rsidRPr="00291DF5">
              <w:rPr>
                <w:rFonts w:eastAsia="Calibri"/>
                <w:b/>
                <w:bCs/>
              </w:rPr>
              <w:t>10.000.000 HRK</w:t>
            </w:r>
          </w:p>
        </w:tc>
      </w:tr>
      <w:tr w:rsidR="00CC641E" w:rsidRPr="003D373D" w14:paraId="69492FD0" w14:textId="77777777" w:rsidTr="005808FC">
        <w:trPr>
          <w:trHeight w:val="227"/>
        </w:trPr>
        <w:tc>
          <w:tcPr>
            <w:tcW w:w="3325" w:type="dxa"/>
            <w:shd w:val="clear" w:color="auto" w:fill="F2DBDB" w:themeFill="accent2" w:themeFillTint="33"/>
          </w:tcPr>
          <w:p w14:paraId="4A4E88E0" w14:textId="77777777" w:rsidR="00CC641E" w:rsidRPr="005808FC" w:rsidRDefault="00CC641E">
            <w:pPr>
              <w:rPr>
                <w:b/>
                <w:bCs/>
              </w:rPr>
            </w:pPr>
            <w:r w:rsidRPr="00291DF5">
              <w:rPr>
                <w:b/>
                <w:bCs/>
              </w:rPr>
              <w:t>Izvor sredstava za provedbu</w:t>
            </w:r>
          </w:p>
        </w:tc>
        <w:tc>
          <w:tcPr>
            <w:tcW w:w="5691" w:type="dxa"/>
          </w:tcPr>
          <w:p w14:paraId="41E5E7F6" w14:textId="77777777" w:rsidR="00CC641E" w:rsidRPr="003D373D" w:rsidRDefault="00CC641E" w:rsidP="005808FC">
            <w:pPr>
              <w:numPr>
                <w:ilvl w:val="0"/>
                <w:numId w:val="9"/>
              </w:numPr>
              <w:spacing w:after="0"/>
              <w:ind w:left="482" w:hanging="357"/>
              <w:jc w:val="left"/>
            </w:pPr>
            <w:r w:rsidRPr="00291DF5">
              <w:t>Državni proračun (HV)</w:t>
            </w:r>
          </w:p>
          <w:p w14:paraId="4C16FF08" w14:textId="77777777" w:rsidR="00C42B1B" w:rsidRPr="003D373D" w:rsidRDefault="00C42B1B" w:rsidP="00C42B1B">
            <w:pPr>
              <w:numPr>
                <w:ilvl w:val="0"/>
                <w:numId w:val="9"/>
              </w:numPr>
              <w:spacing w:after="0"/>
              <w:ind w:left="482" w:hanging="357"/>
              <w:jc w:val="left"/>
            </w:pPr>
            <w:r>
              <w:t>Europski strukturni i investicijski fondovi</w:t>
            </w:r>
          </w:p>
          <w:p w14:paraId="6ED12A1B" w14:textId="5C46E4ED" w:rsidR="00CC641E" w:rsidRPr="003D373D" w:rsidRDefault="00CC641E" w:rsidP="005808FC">
            <w:pPr>
              <w:numPr>
                <w:ilvl w:val="0"/>
                <w:numId w:val="9"/>
              </w:numPr>
              <w:spacing w:after="0"/>
              <w:ind w:left="482" w:hanging="357"/>
              <w:jc w:val="left"/>
            </w:pPr>
            <w:r w:rsidRPr="00291DF5">
              <w:t>Proračun grada Zagreba</w:t>
            </w:r>
          </w:p>
        </w:tc>
      </w:tr>
      <w:tr w:rsidR="00CC641E" w:rsidRPr="003D373D" w14:paraId="68E4D7F1" w14:textId="77777777" w:rsidTr="005808FC">
        <w:trPr>
          <w:trHeight w:val="1970"/>
        </w:trPr>
        <w:tc>
          <w:tcPr>
            <w:tcW w:w="3325" w:type="dxa"/>
            <w:shd w:val="clear" w:color="auto" w:fill="F2DBDB" w:themeFill="accent2" w:themeFillTint="33"/>
          </w:tcPr>
          <w:p w14:paraId="37BC2EE1" w14:textId="77777777" w:rsidR="00CC641E" w:rsidRPr="00357D1D" w:rsidRDefault="00CC641E">
            <w:pPr>
              <w:autoSpaceDE w:val="0"/>
              <w:autoSpaceDN w:val="0"/>
              <w:adjustRightInd w:val="0"/>
            </w:pPr>
            <w:r w:rsidRPr="00291DF5">
              <w:t xml:space="preserve">Kratki </w:t>
            </w:r>
            <w:r w:rsidRPr="005808FC">
              <w:t>opis/komentar</w:t>
            </w:r>
          </w:p>
        </w:tc>
        <w:tc>
          <w:tcPr>
            <w:tcW w:w="5691" w:type="dxa"/>
          </w:tcPr>
          <w:p w14:paraId="495F524B" w14:textId="6F70481F" w:rsidR="00CC641E" w:rsidRPr="007F57CA" w:rsidRDefault="00CC641E">
            <w:pPr>
              <w:autoSpaceDE w:val="0"/>
              <w:autoSpaceDN w:val="0"/>
              <w:adjustRightInd w:val="0"/>
            </w:pPr>
            <w:r w:rsidRPr="00291DF5">
              <w:t>Cilj mjere je nivelacija korita te obnova postojećih</w:t>
            </w:r>
            <w:r w:rsidR="000509A0">
              <w:t xml:space="preserve"> i </w:t>
            </w:r>
            <w:r w:rsidRPr="00291DF5">
              <w:t>izgradnja dodatnih nasipa u svrhu sprečavanja poplava na mjestima trenutno ugroženim od  povećanog vodostaja rijeke Save. Potrebno je izraditi analizu stanja, studiju izvodljivosti ure</w:t>
            </w:r>
            <w:r w:rsidRPr="005808FC">
              <w:t>đenja</w:t>
            </w:r>
            <w:r w:rsidR="000509A0">
              <w:t xml:space="preserve"> i </w:t>
            </w:r>
            <w:r w:rsidRPr="00291DF5">
              <w:t>korištenja Save, te provesti konkretne mjere nivelacije korita</w:t>
            </w:r>
            <w:r w:rsidR="000509A0">
              <w:t xml:space="preserve"> i </w:t>
            </w:r>
            <w:r w:rsidRPr="00291DF5">
              <w:t>obnove postojećih, te izgradnje novih nasipa te rekonstrukcije</w:t>
            </w:r>
            <w:r w:rsidR="000509A0">
              <w:t xml:space="preserve"> i </w:t>
            </w:r>
            <w:r w:rsidRPr="00291DF5">
              <w:t>izgradnje novih dionica kanala.</w:t>
            </w:r>
          </w:p>
        </w:tc>
      </w:tr>
    </w:tbl>
    <w:p w14:paraId="7B920E7C"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20CA5B88" w14:textId="77777777" w:rsidTr="005808FC">
        <w:trPr>
          <w:trHeight w:val="227"/>
        </w:trPr>
        <w:tc>
          <w:tcPr>
            <w:tcW w:w="3325" w:type="dxa"/>
            <w:shd w:val="clear" w:color="auto" w:fill="C6D9F1" w:themeFill="text2" w:themeFillTint="33"/>
          </w:tcPr>
          <w:p w14:paraId="2D42984B"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6ED948CA" w14:textId="77777777" w:rsidR="00CC641E" w:rsidRPr="005808FC" w:rsidRDefault="00CC641E">
            <w:pPr>
              <w:rPr>
                <w:rFonts w:eastAsia="Calibri"/>
                <w:b/>
                <w:bCs/>
              </w:rPr>
            </w:pPr>
            <w:r w:rsidRPr="00291DF5">
              <w:rPr>
                <w:rFonts w:eastAsia="Calibri"/>
                <w:b/>
                <w:bCs/>
              </w:rPr>
              <w:t>14</w:t>
            </w:r>
          </w:p>
        </w:tc>
      </w:tr>
      <w:tr w:rsidR="00CC641E" w:rsidRPr="003D373D" w14:paraId="3C15E272" w14:textId="77777777" w:rsidTr="005808FC">
        <w:trPr>
          <w:trHeight w:val="818"/>
        </w:trPr>
        <w:tc>
          <w:tcPr>
            <w:tcW w:w="3325" w:type="dxa"/>
            <w:shd w:val="clear" w:color="auto" w:fill="C6D9F1" w:themeFill="text2" w:themeFillTint="33"/>
          </w:tcPr>
          <w:p w14:paraId="0E26247C"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685265BD" w14:textId="77777777" w:rsidR="00CC641E" w:rsidRPr="005808FC" w:rsidRDefault="00CC641E">
            <w:pPr>
              <w:autoSpaceDE w:val="0"/>
              <w:autoSpaceDN w:val="0"/>
              <w:adjustRightInd w:val="0"/>
              <w:rPr>
                <w:rFonts w:eastAsia="Calibri"/>
                <w:b/>
                <w:bCs/>
              </w:rPr>
            </w:pPr>
            <w:r w:rsidRPr="00291DF5">
              <w:rPr>
                <w:rFonts w:eastAsia="Calibri"/>
                <w:b/>
                <w:bCs/>
              </w:rPr>
              <w:t xml:space="preserve">Smanjenje gubitaka vode u </w:t>
            </w:r>
            <w:r w:rsidRPr="005808FC">
              <w:rPr>
                <w:rFonts w:eastAsia="Calibri"/>
                <w:b/>
                <w:bCs/>
              </w:rPr>
              <w:t>vodoopskrbnoj mreži grada Zagreba – rekonstrukcija mreže</w:t>
            </w:r>
          </w:p>
        </w:tc>
      </w:tr>
      <w:tr w:rsidR="00CC641E" w:rsidRPr="003D373D" w14:paraId="01D33C7D" w14:textId="77777777" w:rsidTr="005808FC">
        <w:trPr>
          <w:trHeight w:val="227"/>
        </w:trPr>
        <w:tc>
          <w:tcPr>
            <w:tcW w:w="3325" w:type="dxa"/>
            <w:shd w:val="clear" w:color="auto" w:fill="F2DBDB" w:themeFill="accent2" w:themeFillTint="33"/>
          </w:tcPr>
          <w:p w14:paraId="2E9D00A3" w14:textId="77777777" w:rsidR="00CC641E" w:rsidRPr="005808FC" w:rsidRDefault="00CC641E">
            <w:pPr>
              <w:rPr>
                <w:b/>
                <w:bCs/>
              </w:rPr>
            </w:pPr>
            <w:r w:rsidRPr="00291DF5">
              <w:rPr>
                <w:b/>
                <w:bCs/>
              </w:rPr>
              <w:t>Nositelj aktivnosti:</w:t>
            </w:r>
          </w:p>
        </w:tc>
        <w:tc>
          <w:tcPr>
            <w:tcW w:w="5691" w:type="dxa"/>
          </w:tcPr>
          <w:p w14:paraId="582E4328" w14:textId="4FBF106B"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tc>
      </w:tr>
      <w:tr w:rsidR="00CC641E" w:rsidRPr="003D373D" w14:paraId="54FADD06" w14:textId="77777777" w:rsidTr="005808FC">
        <w:trPr>
          <w:trHeight w:val="227"/>
        </w:trPr>
        <w:tc>
          <w:tcPr>
            <w:tcW w:w="3325" w:type="dxa"/>
            <w:shd w:val="clear" w:color="auto" w:fill="F2DBDB" w:themeFill="accent2" w:themeFillTint="33"/>
          </w:tcPr>
          <w:p w14:paraId="1FC42A8E" w14:textId="77777777" w:rsidR="00CC641E" w:rsidRPr="005808FC" w:rsidRDefault="00CC641E">
            <w:pPr>
              <w:rPr>
                <w:b/>
                <w:bCs/>
              </w:rPr>
            </w:pPr>
            <w:r w:rsidRPr="00291DF5">
              <w:rPr>
                <w:b/>
                <w:bCs/>
              </w:rPr>
              <w:t>Partneri u provođenju aktivnosti:</w:t>
            </w:r>
          </w:p>
        </w:tc>
        <w:tc>
          <w:tcPr>
            <w:tcW w:w="5691" w:type="dxa"/>
          </w:tcPr>
          <w:p w14:paraId="43A14455" w14:textId="77777777" w:rsidR="00CC641E" w:rsidRDefault="00CC641E" w:rsidP="005808FC">
            <w:pPr>
              <w:numPr>
                <w:ilvl w:val="0"/>
                <w:numId w:val="9"/>
              </w:numPr>
              <w:spacing w:after="0"/>
              <w:ind w:left="482" w:hanging="357"/>
              <w:jc w:val="left"/>
            </w:pPr>
            <w:r w:rsidRPr="00291DF5">
              <w:t xml:space="preserve">Zagrebački holding </w:t>
            </w:r>
          </w:p>
          <w:p w14:paraId="1CC74AF2" w14:textId="6FE5B81A"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2492E621" w14:textId="5AD4B87A" w:rsidR="00CC641E" w:rsidRDefault="00CC641E" w:rsidP="005808FC">
            <w:pPr>
              <w:numPr>
                <w:ilvl w:val="0"/>
                <w:numId w:val="9"/>
              </w:numPr>
              <w:spacing w:after="0"/>
              <w:ind w:left="482" w:hanging="357"/>
              <w:jc w:val="left"/>
            </w:pPr>
            <w:r w:rsidRPr="00291DF5">
              <w:t xml:space="preserve">Gradski ured za </w:t>
            </w:r>
            <w:r w:rsidRPr="005808FC">
              <w:t>prostorno uređenje, komunalne poslove</w:t>
            </w:r>
            <w:r w:rsidR="000509A0">
              <w:t xml:space="preserve"> i </w:t>
            </w:r>
            <w:r w:rsidRPr="00291DF5">
              <w:t>promet</w:t>
            </w:r>
          </w:p>
          <w:p w14:paraId="32934D04" w14:textId="77777777" w:rsidR="00CC641E" w:rsidRDefault="00CC641E" w:rsidP="005808FC">
            <w:pPr>
              <w:numPr>
                <w:ilvl w:val="0"/>
                <w:numId w:val="9"/>
              </w:numPr>
              <w:spacing w:after="0"/>
              <w:ind w:left="482" w:hanging="357"/>
              <w:jc w:val="left"/>
            </w:pPr>
            <w:r w:rsidRPr="00291DF5">
              <w:t>Gradski ured za mjesnu samoupravu</w:t>
            </w:r>
          </w:p>
          <w:p w14:paraId="57FE61CD" w14:textId="2DB6040D" w:rsidR="00CC641E" w:rsidRPr="003D373D" w:rsidDel="00436CBA" w:rsidRDefault="00CC641E" w:rsidP="005808FC">
            <w:pPr>
              <w:numPr>
                <w:ilvl w:val="0"/>
                <w:numId w:val="9"/>
              </w:numPr>
              <w:spacing w:after="0"/>
              <w:ind w:left="482" w:hanging="357"/>
              <w:jc w:val="left"/>
            </w:pPr>
            <w:r w:rsidRPr="00291DF5">
              <w:t>Gradski zavod za zaštitu spomenika kulture</w:t>
            </w:r>
            <w:r w:rsidR="000509A0">
              <w:t xml:space="preserve"> i </w:t>
            </w:r>
            <w:r w:rsidRPr="00291DF5">
              <w:t>prirode</w:t>
            </w:r>
          </w:p>
        </w:tc>
      </w:tr>
      <w:tr w:rsidR="00CC641E" w:rsidRPr="003D373D" w14:paraId="397AB38A" w14:textId="77777777" w:rsidTr="005808FC">
        <w:trPr>
          <w:trHeight w:val="227"/>
        </w:trPr>
        <w:tc>
          <w:tcPr>
            <w:tcW w:w="3325" w:type="dxa"/>
            <w:shd w:val="clear" w:color="auto" w:fill="F2DBDB" w:themeFill="accent2" w:themeFillTint="33"/>
          </w:tcPr>
          <w:p w14:paraId="36FE0A12" w14:textId="77777777" w:rsidR="00CC641E" w:rsidRPr="005808FC" w:rsidRDefault="00CC641E">
            <w:pPr>
              <w:rPr>
                <w:b/>
                <w:bCs/>
              </w:rPr>
            </w:pPr>
            <w:r w:rsidRPr="00291DF5">
              <w:rPr>
                <w:b/>
                <w:bCs/>
              </w:rPr>
              <w:t>Ostali uključeni dionici:</w:t>
            </w:r>
          </w:p>
        </w:tc>
        <w:tc>
          <w:tcPr>
            <w:tcW w:w="5691" w:type="dxa"/>
          </w:tcPr>
          <w:p w14:paraId="4AD514AD" w14:textId="77777777" w:rsidR="00CC641E" w:rsidRPr="003D373D" w:rsidRDefault="00CC641E" w:rsidP="005808FC">
            <w:pPr>
              <w:numPr>
                <w:ilvl w:val="0"/>
                <w:numId w:val="9"/>
              </w:numPr>
              <w:spacing w:after="0"/>
              <w:ind w:left="482" w:hanging="357"/>
              <w:jc w:val="left"/>
            </w:pPr>
            <w:r w:rsidRPr="00291DF5">
              <w:t>Hrvatske vode</w:t>
            </w:r>
          </w:p>
          <w:p w14:paraId="6B871D44" w14:textId="77777777" w:rsidR="00CC641E" w:rsidRPr="003D373D" w:rsidRDefault="00CC641E" w:rsidP="005808FC">
            <w:pPr>
              <w:numPr>
                <w:ilvl w:val="0"/>
                <w:numId w:val="9"/>
              </w:numPr>
              <w:spacing w:after="0"/>
              <w:ind w:left="482" w:hanging="357"/>
              <w:jc w:val="left"/>
            </w:pPr>
            <w:r w:rsidRPr="00291DF5">
              <w:t>Zagrebačke otpadne vode, d.o.o.</w:t>
            </w:r>
          </w:p>
        </w:tc>
      </w:tr>
      <w:tr w:rsidR="00CC641E" w:rsidRPr="003D373D" w14:paraId="353E4FAE" w14:textId="77777777" w:rsidTr="005808FC">
        <w:trPr>
          <w:trHeight w:val="227"/>
        </w:trPr>
        <w:tc>
          <w:tcPr>
            <w:tcW w:w="3325" w:type="dxa"/>
            <w:shd w:val="clear" w:color="auto" w:fill="F2DBDB" w:themeFill="accent2" w:themeFillTint="33"/>
          </w:tcPr>
          <w:p w14:paraId="33467619" w14:textId="77777777" w:rsidR="00CC641E" w:rsidRPr="005808FC" w:rsidRDefault="00CC641E">
            <w:pPr>
              <w:rPr>
                <w:b/>
                <w:bCs/>
              </w:rPr>
            </w:pPr>
            <w:r w:rsidRPr="00291DF5">
              <w:rPr>
                <w:b/>
                <w:bCs/>
              </w:rPr>
              <w:t>Početak/kraj provedbe (godine)</w:t>
            </w:r>
          </w:p>
        </w:tc>
        <w:tc>
          <w:tcPr>
            <w:tcW w:w="5691" w:type="dxa"/>
          </w:tcPr>
          <w:p w14:paraId="312D6311" w14:textId="77777777" w:rsidR="00CC641E" w:rsidRPr="005808FC" w:rsidRDefault="00CC641E">
            <w:pPr>
              <w:pStyle w:val="ListParagraph"/>
              <w:ind w:left="133"/>
              <w:rPr>
                <w:rFonts w:eastAsia="Calibri"/>
                <w:b/>
                <w:bCs/>
              </w:rPr>
            </w:pPr>
            <w:r w:rsidRPr="00291DF5">
              <w:rPr>
                <w:rFonts w:eastAsia="Calibri"/>
                <w:b/>
                <w:bCs/>
              </w:rPr>
              <w:t xml:space="preserve">2020– </w:t>
            </w:r>
            <w:r w:rsidRPr="005808FC">
              <w:rPr>
                <w:rFonts w:eastAsia="Calibri"/>
                <w:b/>
                <w:bCs/>
              </w:rPr>
              <w:t>2030</w:t>
            </w:r>
          </w:p>
        </w:tc>
      </w:tr>
      <w:tr w:rsidR="00CC641E" w:rsidRPr="003D373D" w14:paraId="284C6896" w14:textId="77777777" w:rsidTr="005808FC">
        <w:trPr>
          <w:trHeight w:val="227"/>
        </w:trPr>
        <w:tc>
          <w:tcPr>
            <w:tcW w:w="3325" w:type="dxa"/>
            <w:shd w:val="clear" w:color="auto" w:fill="F2DBDB" w:themeFill="accent2" w:themeFillTint="33"/>
          </w:tcPr>
          <w:p w14:paraId="32838B25" w14:textId="77777777" w:rsidR="00CC641E" w:rsidRPr="005808FC" w:rsidRDefault="00CC641E">
            <w:pPr>
              <w:rPr>
                <w:b/>
                <w:bCs/>
              </w:rPr>
            </w:pPr>
            <w:r w:rsidRPr="00291DF5">
              <w:rPr>
                <w:b/>
                <w:bCs/>
              </w:rPr>
              <w:t>Procjena troškova (jedinična ili ukupna po mjeri)</w:t>
            </w:r>
          </w:p>
        </w:tc>
        <w:tc>
          <w:tcPr>
            <w:tcW w:w="5691" w:type="dxa"/>
          </w:tcPr>
          <w:p w14:paraId="7B7DE879" w14:textId="27EAA9DF" w:rsidR="00CC641E" w:rsidRPr="005808FC" w:rsidRDefault="00CC641E">
            <w:pPr>
              <w:pStyle w:val="ListParagraph"/>
              <w:ind w:left="133"/>
              <w:rPr>
                <w:rFonts w:eastAsia="Calibri"/>
                <w:b/>
                <w:bCs/>
              </w:rPr>
            </w:pPr>
            <w:r w:rsidRPr="00291DF5">
              <w:rPr>
                <w:rFonts w:eastAsia="Calibri"/>
                <w:b/>
                <w:bCs/>
              </w:rPr>
              <w:t>&gt;</w:t>
            </w:r>
            <w:r w:rsidR="00E42B46">
              <w:rPr>
                <w:rFonts w:eastAsia="Calibri"/>
                <w:b/>
                <w:bCs/>
              </w:rPr>
              <w:t xml:space="preserve"> </w:t>
            </w:r>
            <w:r w:rsidRPr="00291DF5">
              <w:rPr>
                <w:rFonts w:eastAsia="Calibri"/>
                <w:b/>
                <w:bCs/>
              </w:rPr>
              <w:t>1.000.000.000 kn</w:t>
            </w:r>
          </w:p>
        </w:tc>
      </w:tr>
      <w:tr w:rsidR="00CC641E" w:rsidRPr="003D373D" w14:paraId="7CF078E4" w14:textId="77777777" w:rsidTr="005808FC">
        <w:trPr>
          <w:trHeight w:val="227"/>
        </w:trPr>
        <w:tc>
          <w:tcPr>
            <w:tcW w:w="3325" w:type="dxa"/>
            <w:shd w:val="clear" w:color="auto" w:fill="F2DBDB" w:themeFill="accent2" w:themeFillTint="33"/>
          </w:tcPr>
          <w:p w14:paraId="16551B6F" w14:textId="77777777" w:rsidR="00CC641E" w:rsidRPr="005808FC" w:rsidRDefault="00CC641E">
            <w:pPr>
              <w:rPr>
                <w:b/>
                <w:bCs/>
              </w:rPr>
            </w:pPr>
            <w:r w:rsidRPr="00291DF5">
              <w:rPr>
                <w:b/>
                <w:bCs/>
              </w:rPr>
              <w:t>Izvor sredstava za provedbu</w:t>
            </w:r>
          </w:p>
        </w:tc>
        <w:tc>
          <w:tcPr>
            <w:tcW w:w="5691" w:type="dxa"/>
          </w:tcPr>
          <w:p w14:paraId="5A0A3C1A" w14:textId="3AC6377F" w:rsidR="00CC641E" w:rsidRPr="00025EA7" w:rsidRDefault="00CC641E" w:rsidP="005808FC">
            <w:pPr>
              <w:numPr>
                <w:ilvl w:val="0"/>
                <w:numId w:val="9"/>
              </w:numPr>
              <w:spacing w:after="0"/>
              <w:ind w:left="482" w:hanging="357"/>
              <w:jc w:val="left"/>
            </w:pPr>
            <w:r w:rsidRPr="00291DF5">
              <w:t>Proračun tvrtke Vodoopskrba</w:t>
            </w:r>
            <w:r w:rsidR="000509A0">
              <w:t xml:space="preserve"> i </w:t>
            </w:r>
            <w:r w:rsidRPr="00291DF5">
              <w:t>odvodnja, d.o.o.</w:t>
            </w:r>
          </w:p>
          <w:p w14:paraId="55B095EC" w14:textId="77777777" w:rsidR="00CC641E" w:rsidRPr="00025EA7" w:rsidRDefault="00CC641E" w:rsidP="005808FC">
            <w:pPr>
              <w:numPr>
                <w:ilvl w:val="0"/>
                <w:numId w:val="9"/>
              </w:numPr>
              <w:spacing w:after="0"/>
              <w:ind w:left="482" w:hanging="357"/>
              <w:jc w:val="left"/>
            </w:pPr>
            <w:r w:rsidRPr="00291DF5">
              <w:t>Proračun Grada Zagreba</w:t>
            </w:r>
          </w:p>
          <w:p w14:paraId="77CC8AA9" w14:textId="0CF48073" w:rsidR="00CC641E" w:rsidRPr="00C42B1B" w:rsidRDefault="00C42B1B" w:rsidP="00C42B1B">
            <w:pPr>
              <w:numPr>
                <w:ilvl w:val="0"/>
                <w:numId w:val="9"/>
              </w:numPr>
              <w:spacing w:after="0"/>
              <w:ind w:left="482" w:hanging="357"/>
              <w:jc w:val="left"/>
            </w:pPr>
            <w:r>
              <w:t>Europski strukturni i investicijski fondovi</w:t>
            </w:r>
          </w:p>
        </w:tc>
      </w:tr>
      <w:tr w:rsidR="00CC641E" w:rsidRPr="003D373D" w14:paraId="4CCC9DF0" w14:textId="77777777" w:rsidTr="005808FC">
        <w:trPr>
          <w:trHeight w:val="800"/>
        </w:trPr>
        <w:tc>
          <w:tcPr>
            <w:tcW w:w="3325" w:type="dxa"/>
            <w:shd w:val="clear" w:color="auto" w:fill="F2DBDB" w:themeFill="accent2" w:themeFillTint="33"/>
          </w:tcPr>
          <w:p w14:paraId="305ABAA4" w14:textId="77777777" w:rsidR="00CC641E" w:rsidRPr="005808FC" w:rsidRDefault="00CC641E">
            <w:pPr>
              <w:rPr>
                <w:b/>
                <w:bCs/>
              </w:rPr>
            </w:pPr>
            <w:r w:rsidRPr="00291DF5">
              <w:rPr>
                <w:b/>
                <w:bCs/>
              </w:rPr>
              <w:lastRenderedPageBreak/>
              <w:t>Kratki opis/komentar</w:t>
            </w:r>
          </w:p>
        </w:tc>
        <w:tc>
          <w:tcPr>
            <w:tcW w:w="5691" w:type="dxa"/>
          </w:tcPr>
          <w:p w14:paraId="23B6EA24" w14:textId="72103B22" w:rsidR="00CC641E" w:rsidRPr="005808FC" w:rsidRDefault="00CC641E">
            <w:pPr>
              <w:contextualSpacing/>
              <w:rPr>
                <w:shd w:val="clear" w:color="auto" w:fill="FFFFFF"/>
              </w:rPr>
            </w:pPr>
            <w:r w:rsidRPr="00291DF5">
              <w:t xml:space="preserve">Voda je kao resurs jedan od </w:t>
            </w:r>
            <w:r w:rsidRPr="005808FC">
              <w:t>najosjetljivijih na učinke klimatskih promjena</w:t>
            </w:r>
            <w:r w:rsidR="000509A0">
              <w:t xml:space="preserve"> i </w:t>
            </w:r>
            <w:r w:rsidRPr="00291DF5">
              <w:t>to u vidu njene dostupnosti</w:t>
            </w:r>
            <w:r w:rsidR="000509A0">
              <w:t xml:space="preserve"> i </w:t>
            </w:r>
            <w:r w:rsidRPr="00291DF5">
              <w:t>kvalitete. Njena dostupnost sve je veći problem, stoga je svaka aktivnost koja ima za očuvanja vode kao resursa izrazito poželjna</w:t>
            </w:r>
            <w:r w:rsidR="000509A0">
              <w:t xml:space="preserve"> i </w:t>
            </w:r>
            <w:r w:rsidRPr="00291DF5">
              <w:t>potrebna. Cilj ove mjere je sveobuh</w:t>
            </w:r>
            <w:r w:rsidRPr="005808FC">
              <w:t>vatnom rekonstrukcijom vodoopskrbne mreže omogućiti učinkovitiji vodoopskrbni sustav, s aspekta smanjenja gubitaka</w:t>
            </w:r>
            <w:r w:rsidR="000509A0">
              <w:t xml:space="preserve"> i </w:t>
            </w:r>
            <w:r w:rsidRPr="00291DF5">
              <w:t>povećanja sigurnosti opskrbe</w:t>
            </w:r>
            <w:r w:rsidR="000509A0">
              <w:t xml:space="preserve"> i </w:t>
            </w:r>
            <w:r w:rsidRPr="00291DF5">
              <w:t xml:space="preserve">na taj način </w:t>
            </w:r>
            <w:r w:rsidRPr="005808FC">
              <w:rPr>
                <w:shd w:val="clear" w:color="auto" w:fill="FFFFFF"/>
              </w:rPr>
              <w:t>usklađivanje s Okvirnom direktivom o vodama (2000/60/EC)</w:t>
            </w:r>
            <w:r w:rsidR="000509A0">
              <w:rPr>
                <w:shd w:val="clear" w:color="auto" w:fill="FFFFFF"/>
              </w:rPr>
              <w:t xml:space="preserve"> i </w:t>
            </w:r>
            <w:r w:rsidRPr="005808FC">
              <w:rPr>
                <w:shd w:val="clear" w:color="auto" w:fill="FFFFFF"/>
              </w:rPr>
              <w:t>Direktivom o kvaliteti vode namijenjene za ljudsku potrošnju (98/83/EC), a kako bi se osigurale dovoljne količine zdravstveno ispravne vode za ljudsku potrošnju</w:t>
            </w:r>
            <w:r w:rsidR="000509A0">
              <w:rPr>
                <w:shd w:val="clear" w:color="auto" w:fill="FFFFFF"/>
              </w:rPr>
              <w:t xml:space="preserve"> i </w:t>
            </w:r>
            <w:r w:rsidRPr="005808FC">
              <w:rPr>
                <w:shd w:val="clear" w:color="auto" w:fill="FFFFFF"/>
              </w:rPr>
              <w:t>povećala stopa priključenosti stanovništva na javne sustave vodoopskrbe. Provedba konkretnih aktivnosti doprinijeti će ostvarivanju specifičnog cilja Operativnog programa „Konkurentnost</w:t>
            </w:r>
            <w:r w:rsidR="000509A0">
              <w:rPr>
                <w:shd w:val="clear" w:color="auto" w:fill="FFFFFF"/>
              </w:rPr>
              <w:t xml:space="preserve"> i </w:t>
            </w:r>
            <w:r w:rsidRPr="005808FC">
              <w:rPr>
                <w:shd w:val="clear" w:color="auto" w:fill="FFFFFF"/>
              </w:rPr>
              <w:t>kohezija“: - 6ii 1 – Unapređenje javnog vodoopskrbnog sustava u svrhu osiguranja kvalitete</w:t>
            </w:r>
            <w:r w:rsidR="000509A0">
              <w:rPr>
                <w:shd w:val="clear" w:color="auto" w:fill="FFFFFF"/>
              </w:rPr>
              <w:t xml:space="preserve"> i </w:t>
            </w:r>
            <w:r w:rsidRPr="005808FC">
              <w:rPr>
                <w:shd w:val="clear" w:color="auto" w:fill="FFFFFF"/>
              </w:rPr>
              <w:t>sigurnosti usluga opskrbe pitkom vodom kroz izgradnju</w:t>
            </w:r>
            <w:r w:rsidR="000509A0">
              <w:rPr>
                <w:shd w:val="clear" w:color="auto" w:fill="FFFFFF"/>
              </w:rPr>
              <w:t xml:space="preserve"> i </w:t>
            </w:r>
            <w:r w:rsidRPr="005808FC">
              <w:rPr>
                <w:shd w:val="clear" w:color="auto" w:fill="FFFFFF"/>
              </w:rPr>
              <w:t xml:space="preserve">rekonstrukciju vodoopskrbnog sustava te provedbi obveza preuzetih tijekom procesa pregovora za pristupanje Republike Hrvatske u EU sadržanih u Ugovoru o pristupanju Republike Hrvatske Europskoj uniji te prenesenih u Višegodišnji program gradnje komunalnih vodnih građevina za razdoblje 2014.-2023. </w:t>
            </w:r>
          </w:p>
          <w:p w14:paraId="3B412246" w14:textId="5495861C" w:rsidR="00CC641E" w:rsidRPr="005808FC" w:rsidRDefault="00CC641E">
            <w:pPr>
              <w:contextualSpacing/>
              <w:rPr>
                <w:rFonts w:eastAsia="Calibri"/>
              </w:rPr>
            </w:pPr>
            <w:r w:rsidRPr="00291DF5">
              <w:rPr>
                <w:rFonts w:eastAsia="Calibri"/>
              </w:rPr>
              <w:t>Konkretne aktivnosti koje je potrebno provesti podrazumijevaju izradu studijske</w:t>
            </w:r>
            <w:r w:rsidR="000509A0">
              <w:rPr>
                <w:rFonts w:eastAsia="Calibri"/>
              </w:rPr>
              <w:t xml:space="preserve"> i </w:t>
            </w:r>
            <w:r w:rsidRPr="00291DF5">
              <w:rPr>
                <w:rFonts w:eastAsia="Calibri"/>
              </w:rPr>
              <w:t>projektne dokumentacije</w:t>
            </w:r>
            <w:r w:rsidR="000509A0">
              <w:rPr>
                <w:rFonts w:eastAsia="Calibri"/>
              </w:rPr>
              <w:t xml:space="preserve"> i </w:t>
            </w:r>
            <w:r w:rsidRPr="00291DF5">
              <w:rPr>
                <w:rFonts w:eastAsia="Calibri"/>
              </w:rPr>
              <w:t>provedbu fizičkih zahvata rekonstrukcije</w:t>
            </w:r>
            <w:r w:rsidR="000509A0">
              <w:rPr>
                <w:rFonts w:eastAsia="Calibri"/>
              </w:rPr>
              <w:t xml:space="preserve"> i </w:t>
            </w:r>
            <w:r w:rsidRPr="00291DF5">
              <w:rPr>
                <w:rFonts w:eastAsia="Calibri"/>
              </w:rPr>
              <w:t>ugradnje opreme za pametno praćenje vodoopskrbnog sustava.</w:t>
            </w:r>
          </w:p>
        </w:tc>
      </w:tr>
    </w:tbl>
    <w:p w14:paraId="39EFF542"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53E15005" w14:textId="77777777" w:rsidTr="005808FC">
        <w:trPr>
          <w:trHeight w:val="227"/>
        </w:trPr>
        <w:tc>
          <w:tcPr>
            <w:tcW w:w="3325" w:type="dxa"/>
            <w:shd w:val="clear" w:color="auto" w:fill="C6D9F1" w:themeFill="text2" w:themeFillTint="33"/>
          </w:tcPr>
          <w:p w14:paraId="45A0C5A2"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43CABDD4" w14:textId="77777777" w:rsidR="00CC641E" w:rsidRPr="005808FC" w:rsidRDefault="00CC641E">
            <w:pPr>
              <w:rPr>
                <w:rFonts w:eastAsia="Calibri"/>
                <w:b/>
                <w:bCs/>
              </w:rPr>
            </w:pPr>
            <w:r w:rsidRPr="00291DF5">
              <w:rPr>
                <w:rFonts w:eastAsia="Calibri"/>
                <w:b/>
                <w:bCs/>
              </w:rPr>
              <w:t>15</w:t>
            </w:r>
          </w:p>
        </w:tc>
      </w:tr>
      <w:tr w:rsidR="00CC641E" w:rsidRPr="003D373D" w14:paraId="0284C8B7" w14:textId="77777777" w:rsidTr="005808FC">
        <w:trPr>
          <w:trHeight w:val="818"/>
        </w:trPr>
        <w:tc>
          <w:tcPr>
            <w:tcW w:w="3325" w:type="dxa"/>
            <w:shd w:val="clear" w:color="auto" w:fill="C6D9F1" w:themeFill="text2" w:themeFillTint="33"/>
          </w:tcPr>
          <w:p w14:paraId="05C7C023"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5EB5E0FA" w14:textId="7AF4FA81" w:rsidR="00CC641E" w:rsidRPr="003D373D" w:rsidRDefault="00CC641E">
            <w:pPr>
              <w:autoSpaceDE w:val="0"/>
              <w:autoSpaceDN w:val="0"/>
              <w:adjustRightInd w:val="0"/>
              <w:rPr>
                <w:rFonts w:eastAsia="Calibri" w:cstheme="minorHAnsi"/>
                <w:b/>
              </w:rPr>
            </w:pPr>
            <w:r w:rsidRPr="00291DF5">
              <w:rPr>
                <w:rFonts w:eastAsia="Calibri"/>
                <w:b/>
                <w:bCs/>
              </w:rPr>
              <w:t>Podizanje javne svijesti o značaju potrošnje vode u kućanstvima</w:t>
            </w:r>
            <w:r w:rsidR="000509A0">
              <w:rPr>
                <w:rFonts w:eastAsia="Calibri"/>
                <w:b/>
                <w:bCs/>
              </w:rPr>
              <w:t xml:space="preserve"> i </w:t>
            </w:r>
            <w:r w:rsidRPr="00291DF5">
              <w:rPr>
                <w:rFonts w:eastAsia="Calibri"/>
                <w:b/>
                <w:bCs/>
              </w:rPr>
              <w:t>utjecaju klimatskih promjena na vode kao sastavnicu okoliša</w:t>
            </w:r>
          </w:p>
        </w:tc>
      </w:tr>
      <w:tr w:rsidR="00CC641E" w:rsidRPr="003D373D" w14:paraId="267D0D6B" w14:textId="77777777" w:rsidTr="005808FC">
        <w:trPr>
          <w:trHeight w:val="227"/>
        </w:trPr>
        <w:tc>
          <w:tcPr>
            <w:tcW w:w="3325" w:type="dxa"/>
            <w:shd w:val="clear" w:color="auto" w:fill="F2DBDB" w:themeFill="accent2" w:themeFillTint="33"/>
          </w:tcPr>
          <w:p w14:paraId="3B14CB8E" w14:textId="77777777" w:rsidR="00CC641E" w:rsidRPr="005808FC" w:rsidRDefault="00CC641E">
            <w:pPr>
              <w:rPr>
                <w:b/>
                <w:bCs/>
              </w:rPr>
            </w:pPr>
            <w:r w:rsidRPr="00291DF5">
              <w:rPr>
                <w:b/>
                <w:bCs/>
              </w:rPr>
              <w:t>Nositelj aktivnosti:</w:t>
            </w:r>
          </w:p>
        </w:tc>
        <w:tc>
          <w:tcPr>
            <w:tcW w:w="5691" w:type="dxa"/>
          </w:tcPr>
          <w:p w14:paraId="36C45EFE" w14:textId="233B1ADB" w:rsidR="00CC641E" w:rsidRPr="003D373D" w:rsidRDefault="00CC641E" w:rsidP="005808FC">
            <w:pPr>
              <w:numPr>
                <w:ilvl w:val="0"/>
                <w:numId w:val="9"/>
              </w:numPr>
              <w:spacing w:after="0"/>
              <w:ind w:left="482" w:hanging="357"/>
              <w:jc w:val="left"/>
            </w:pPr>
            <w:r w:rsidRPr="00291DF5">
              <w:t>Gradski ured za gospodarstvo, energetiku</w:t>
            </w:r>
            <w:r w:rsidR="000509A0">
              <w:t xml:space="preserve"> i </w:t>
            </w:r>
            <w:r w:rsidRPr="00291DF5">
              <w:t xml:space="preserve">zaštitu </w:t>
            </w:r>
            <w:r w:rsidRPr="005808FC">
              <w:t>okoliša</w:t>
            </w:r>
          </w:p>
        </w:tc>
      </w:tr>
      <w:tr w:rsidR="00CC641E" w:rsidRPr="003D373D" w14:paraId="794DC34B" w14:textId="77777777" w:rsidTr="005808FC">
        <w:trPr>
          <w:trHeight w:val="227"/>
        </w:trPr>
        <w:tc>
          <w:tcPr>
            <w:tcW w:w="3325" w:type="dxa"/>
            <w:shd w:val="clear" w:color="auto" w:fill="F2DBDB" w:themeFill="accent2" w:themeFillTint="33"/>
          </w:tcPr>
          <w:p w14:paraId="26787EDD" w14:textId="77777777" w:rsidR="00CC641E" w:rsidRPr="005808FC" w:rsidRDefault="00CC641E">
            <w:pPr>
              <w:rPr>
                <w:b/>
                <w:bCs/>
              </w:rPr>
            </w:pPr>
            <w:r w:rsidRPr="00291DF5">
              <w:rPr>
                <w:b/>
                <w:bCs/>
              </w:rPr>
              <w:t>Partneri u provođenju aktivnosti:</w:t>
            </w:r>
          </w:p>
        </w:tc>
        <w:tc>
          <w:tcPr>
            <w:tcW w:w="5691" w:type="dxa"/>
          </w:tcPr>
          <w:p w14:paraId="77A7B894" w14:textId="2D81FDEE"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p w14:paraId="7860ECDD" w14:textId="77777777" w:rsidR="00CC641E" w:rsidRPr="003D373D" w:rsidRDefault="00CC641E" w:rsidP="005808FC">
            <w:pPr>
              <w:numPr>
                <w:ilvl w:val="0"/>
                <w:numId w:val="9"/>
              </w:numPr>
              <w:spacing w:after="0"/>
              <w:ind w:left="482" w:hanging="357"/>
              <w:jc w:val="left"/>
            </w:pPr>
            <w:r w:rsidRPr="00291DF5">
              <w:t>Gradski ured za zdravstvo</w:t>
            </w:r>
          </w:p>
          <w:p w14:paraId="396BD817" w14:textId="1707A2D8" w:rsidR="00CC641E" w:rsidRPr="003D373D" w:rsidDel="00436CBA" w:rsidRDefault="00CC641E" w:rsidP="005808FC">
            <w:pPr>
              <w:numPr>
                <w:ilvl w:val="0"/>
                <w:numId w:val="9"/>
              </w:numPr>
              <w:spacing w:after="0"/>
              <w:ind w:left="482" w:hanging="357"/>
              <w:jc w:val="left"/>
            </w:pPr>
            <w:r w:rsidRPr="00291DF5">
              <w:t xml:space="preserve">Gradski ured za obrazovanje </w:t>
            </w:r>
          </w:p>
        </w:tc>
      </w:tr>
      <w:tr w:rsidR="00CC641E" w:rsidRPr="003D373D" w14:paraId="4F0454DF" w14:textId="77777777" w:rsidTr="005808FC">
        <w:trPr>
          <w:trHeight w:val="227"/>
        </w:trPr>
        <w:tc>
          <w:tcPr>
            <w:tcW w:w="3325" w:type="dxa"/>
            <w:shd w:val="clear" w:color="auto" w:fill="F2DBDB" w:themeFill="accent2" w:themeFillTint="33"/>
          </w:tcPr>
          <w:p w14:paraId="374A0564" w14:textId="77777777" w:rsidR="00CC641E" w:rsidRPr="005808FC" w:rsidRDefault="00CC641E">
            <w:pPr>
              <w:rPr>
                <w:b/>
                <w:bCs/>
              </w:rPr>
            </w:pPr>
            <w:r w:rsidRPr="00291DF5">
              <w:rPr>
                <w:b/>
                <w:bCs/>
              </w:rPr>
              <w:t>Ostali uključeni dionici:</w:t>
            </w:r>
          </w:p>
        </w:tc>
        <w:tc>
          <w:tcPr>
            <w:tcW w:w="5691" w:type="dxa"/>
          </w:tcPr>
          <w:p w14:paraId="2DBD8B98" w14:textId="77777777" w:rsidR="00CC641E" w:rsidRDefault="00CC641E" w:rsidP="005808FC">
            <w:pPr>
              <w:numPr>
                <w:ilvl w:val="0"/>
                <w:numId w:val="9"/>
              </w:numPr>
              <w:spacing w:after="0"/>
              <w:ind w:left="482" w:hanging="357"/>
              <w:jc w:val="left"/>
            </w:pPr>
            <w:r w:rsidRPr="00291DF5">
              <w:t>Nastavni zavod za javno zdravstvo Dr. Andrija Štampar</w:t>
            </w:r>
          </w:p>
          <w:p w14:paraId="5BA11DE2" w14:textId="77777777" w:rsidR="00CC641E" w:rsidRPr="003D373D" w:rsidRDefault="00CC641E" w:rsidP="005808FC">
            <w:pPr>
              <w:numPr>
                <w:ilvl w:val="0"/>
                <w:numId w:val="9"/>
              </w:numPr>
              <w:spacing w:after="0"/>
              <w:ind w:left="482" w:hanging="357"/>
              <w:jc w:val="left"/>
            </w:pPr>
            <w:r w:rsidRPr="00291DF5">
              <w:t>Hrvatske vode</w:t>
            </w:r>
          </w:p>
        </w:tc>
      </w:tr>
      <w:tr w:rsidR="00CC641E" w:rsidRPr="003D373D" w14:paraId="73ED1E51" w14:textId="77777777" w:rsidTr="005808FC">
        <w:trPr>
          <w:trHeight w:val="227"/>
        </w:trPr>
        <w:tc>
          <w:tcPr>
            <w:tcW w:w="3325" w:type="dxa"/>
            <w:shd w:val="clear" w:color="auto" w:fill="F2DBDB" w:themeFill="accent2" w:themeFillTint="33"/>
          </w:tcPr>
          <w:p w14:paraId="7438CCD2" w14:textId="77777777" w:rsidR="00CC641E" w:rsidRPr="005808FC" w:rsidRDefault="00CC641E">
            <w:pPr>
              <w:rPr>
                <w:b/>
                <w:bCs/>
              </w:rPr>
            </w:pPr>
            <w:r w:rsidRPr="00291DF5">
              <w:rPr>
                <w:b/>
                <w:bCs/>
              </w:rPr>
              <w:t xml:space="preserve">Početak/kraj </w:t>
            </w:r>
            <w:r w:rsidRPr="005808FC">
              <w:rPr>
                <w:b/>
                <w:bCs/>
              </w:rPr>
              <w:t>provedbe (godine)</w:t>
            </w:r>
          </w:p>
        </w:tc>
        <w:tc>
          <w:tcPr>
            <w:tcW w:w="5691" w:type="dxa"/>
          </w:tcPr>
          <w:p w14:paraId="42167E03" w14:textId="77777777" w:rsidR="00CC641E" w:rsidRPr="005808FC" w:rsidRDefault="00CC641E">
            <w:pPr>
              <w:rPr>
                <w:rFonts w:eastAsia="Calibri"/>
                <w:b/>
                <w:bCs/>
              </w:rPr>
            </w:pPr>
            <w:r w:rsidRPr="00291DF5">
              <w:rPr>
                <w:rFonts w:eastAsia="Calibri"/>
                <w:b/>
                <w:bCs/>
              </w:rPr>
              <w:t>2020 – 2030 (kontinuirano)</w:t>
            </w:r>
          </w:p>
        </w:tc>
      </w:tr>
      <w:tr w:rsidR="00CC641E" w:rsidRPr="003D373D" w14:paraId="0817E8D0" w14:textId="77777777" w:rsidTr="005808FC">
        <w:trPr>
          <w:trHeight w:val="227"/>
        </w:trPr>
        <w:tc>
          <w:tcPr>
            <w:tcW w:w="3325" w:type="dxa"/>
            <w:shd w:val="clear" w:color="auto" w:fill="F2DBDB" w:themeFill="accent2" w:themeFillTint="33"/>
          </w:tcPr>
          <w:p w14:paraId="6AB0F279" w14:textId="77777777" w:rsidR="00CC641E" w:rsidRPr="005808FC" w:rsidRDefault="00CC641E">
            <w:pPr>
              <w:rPr>
                <w:b/>
                <w:bCs/>
              </w:rPr>
            </w:pPr>
            <w:r w:rsidRPr="00291DF5">
              <w:rPr>
                <w:b/>
                <w:bCs/>
              </w:rPr>
              <w:lastRenderedPageBreak/>
              <w:t>Procjena troškova (jedinična ili ukupna po mjeri)</w:t>
            </w:r>
          </w:p>
        </w:tc>
        <w:tc>
          <w:tcPr>
            <w:tcW w:w="5691" w:type="dxa"/>
          </w:tcPr>
          <w:p w14:paraId="2152FF46" w14:textId="274FBB70" w:rsidR="00CC641E" w:rsidRPr="005808FC" w:rsidRDefault="00BF0308">
            <w:pPr>
              <w:rPr>
                <w:rFonts w:eastAsia="Calibri"/>
              </w:rPr>
            </w:pPr>
            <w:r w:rsidRPr="00291DF5">
              <w:rPr>
                <w:rFonts w:eastAsia="Calibri"/>
                <w:b/>
                <w:bCs/>
              </w:rPr>
              <w:t>500.000</w:t>
            </w:r>
          </w:p>
        </w:tc>
      </w:tr>
      <w:tr w:rsidR="00CC641E" w:rsidRPr="003D373D" w14:paraId="6D78A4FE" w14:textId="77777777" w:rsidTr="005808FC">
        <w:trPr>
          <w:trHeight w:val="227"/>
        </w:trPr>
        <w:tc>
          <w:tcPr>
            <w:tcW w:w="3325" w:type="dxa"/>
            <w:shd w:val="clear" w:color="auto" w:fill="F2DBDB" w:themeFill="accent2" w:themeFillTint="33"/>
          </w:tcPr>
          <w:p w14:paraId="184B38E0" w14:textId="77777777" w:rsidR="00CC641E" w:rsidRPr="005808FC" w:rsidRDefault="00CC641E">
            <w:pPr>
              <w:rPr>
                <w:b/>
                <w:bCs/>
              </w:rPr>
            </w:pPr>
            <w:r w:rsidRPr="00291DF5">
              <w:rPr>
                <w:b/>
                <w:bCs/>
              </w:rPr>
              <w:t>Izvor sredstava za provedbu</w:t>
            </w:r>
          </w:p>
        </w:tc>
        <w:tc>
          <w:tcPr>
            <w:tcW w:w="5691" w:type="dxa"/>
          </w:tcPr>
          <w:p w14:paraId="18D19D87" w14:textId="77777777" w:rsidR="00CC641E" w:rsidRPr="003D373D" w:rsidRDefault="00CC641E" w:rsidP="005808FC">
            <w:pPr>
              <w:numPr>
                <w:ilvl w:val="0"/>
                <w:numId w:val="9"/>
              </w:numPr>
              <w:spacing w:after="0"/>
              <w:ind w:left="482" w:hanging="357"/>
              <w:jc w:val="left"/>
            </w:pPr>
            <w:r w:rsidRPr="00291DF5">
              <w:t>Proračun Grada Zagreba</w:t>
            </w:r>
          </w:p>
          <w:p w14:paraId="3C9507B4" w14:textId="77777777" w:rsidR="00CC641E" w:rsidRPr="003D373D" w:rsidRDefault="00CC641E" w:rsidP="005808FC">
            <w:pPr>
              <w:numPr>
                <w:ilvl w:val="0"/>
                <w:numId w:val="9"/>
              </w:numPr>
              <w:spacing w:after="0"/>
              <w:ind w:left="482" w:hanging="357"/>
              <w:jc w:val="left"/>
            </w:pPr>
            <w:r w:rsidRPr="00291DF5">
              <w:t>Državni proračun</w:t>
            </w:r>
          </w:p>
          <w:p w14:paraId="3C555F0E" w14:textId="77777777" w:rsidR="00CC641E" w:rsidRPr="003D373D" w:rsidRDefault="00CC641E" w:rsidP="005808FC">
            <w:pPr>
              <w:numPr>
                <w:ilvl w:val="0"/>
                <w:numId w:val="9"/>
              </w:numPr>
              <w:spacing w:after="0"/>
              <w:ind w:left="482" w:hanging="357"/>
              <w:jc w:val="left"/>
            </w:pPr>
            <w:r w:rsidRPr="00291DF5">
              <w:t>FZOEU</w:t>
            </w:r>
          </w:p>
          <w:p w14:paraId="322C6DAF" w14:textId="77777777" w:rsidR="00CC641E" w:rsidRPr="003D373D" w:rsidRDefault="00CC641E" w:rsidP="005808FC">
            <w:pPr>
              <w:numPr>
                <w:ilvl w:val="0"/>
                <w:numId w:val="9"/>
              </w:numPr>
              <w:spacing w:after="0"/>
              <w:ind w:left="482" w:hanging="357"/>
              <w:jc w:val="left"/>
            </w:pPr>
            <w:r w:rsidRPr="00291DF5">
              <w:t>Programi EU</w:t>
            </w:r>
          </w:p>
        </w:tc>
      </w:tr>
      <w:tr w:rsidR="00CC641E" w:rsidRPr="003D373D" w14:paraId="1D8AD7C0" w14:textId="77777777" w:rsidTr="005808FC">
        <w:trPr>
          <w:trHeight w:val="2330"/>
        </w:trPr>
        <w:tc>
          <w:tcPr>
            <w:tcW w:w="3325" w:type="dxa"/>
            <w:shd w:val="clear" w:color="auto" w:fill="F2DBDB" w:themeFill="accent2" w:themeFillTint="33"/>
          </w:tcPr>
          <w:p w14:paraId="485E9CFC" w14:textId="77777777" w:rsidR="00CC641E" w:rsidRPr="005808FC" w:rsidRDefault="00CC641E">
            <w:pPr>
              <w:rPr>
                <w:b/>
                <w:bCs/>
              </w:rPr>
            </w:pPr>
            <w:r w:rsidRPr="00291DF5">
              <w:rPr>
                <w:b/>
                <w:bCs/>
              </w:rPr>
              <w:t>Kratki opis/komentar</w:t>
            </w:r>
          </w:p>
        </w:tc>
        <w:tc>
          <w:tcPr>
            <w:tcW w:w="5691" w:type="dxa"/>
          </w:tcPr>
          <w:p w14:paraId="0D194578" w14:textId="78A9D689" w:rsidR="00CC641E" w:rsidRPr="005808FC" w:rsidRDefault="00CC641E" w:rsidP="005808FC">
            <w:pPr>
              <w:autoSpaceDE w:val="0"/>
              <w:autoSpaceDN w:val="0"/>
              <w:adjustRightInd w:val="0"/>
              <w:rPr>
                <w:rFonts w:eastAsia="Calibri"/>
              </w:rPr>
            </w:pPr>
            <w:r w:rsidRPr="00291DF5">
              <w:t xml:space="preserve">Voda je kao resurs jedan od </w:t>
            </w:r>
            <w:r w:rsidRPr="005808FC">
              <w:t>najosjetljivijih na učinke klimatskih promjena,</w:t>
            </w:r>
            <w:r w:rsidR="000509A0">
              <w:t xml:space="preserve"> i </w:t>
            </w:r>
            <w:r w:rsidRPr="00291DF5">
              <w:t>to u vidu njene dostupnosti</w:t>
            </w:r>
            <w:r w:rsidR="000509A0">
              <w:t xml:space="preserve"> i </w:t>
            </w:r>
            <w:r w:rsidRPr="00291DF5">
              <w:t>kvalitete. Njena dostupnost sve je veći problem, stoga je svaka aktivnost koja ima za cilj podizanje svijesti o racionalnosti korištenja</w:t>
            </w:r>
            <w:r w:rsidR="000509A0">
              <w:t xml:space="preserve"> i </w:t>
            </w:r>
            <w:r w:rsidRPr="00291DF5">
              <w:t>načinu utjecaja klimatskih p</w:t>
            </w:r>
            <w:r w:rsidRPr="005808FC">
              <w:t>romjena na vode izrazito poželjna</w:t>
            </w:r>
            <w:r w:rsidR="000509A0">
              <w:t xml:space="preserve"> i </w:t>
            </w:r>
            <w:r w:rsidRPr="00291DF5">
              <w:t>potrebna. Poželjno je za ovu aktivnost koristiti postojeće dostupne komunikacijske kanale, sustave</w:t>
            </w:r>
            <w:r w:rsidR="000509A0">
              <w:t xml:space="preserve"> i </w:t>
            </w:r>
            <w:r w:rsidRPr="00291DF5">
              <w:t>infrastrukturu, kao</w:t>
            </w:r>
            <w:r w:rsidR="000509A0">
              <w:t xml:space="preserve"> i </w:t>
            </w:r>
            <w:r w:rsidRPr="00291DF5">
              <w:t xml:space="preserve">razvijanje novih. </w:t>
            </w:r>
          </w:p>
        </w:tc>
      </w:tr>
    </w:tbl>
    <w:p w14:paraId="72839B57"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7BAF13DD" w14:textId="77777777" w:rsidTr="005808FC">
        <w:trPr>
          <w:trHeight w:val="227"/>
        </w:trPr>
        <w:tc>
          <w:tcPr>
            <w:tcW w:w="3325" w:type="dxa"/>
            <w:shd w:val="clear" w:color="auto" w:fill="C6D9F1" w:themeFill="text2" w:themeFillTint="33"/>
          </w:tcPr>
          <w:p w14:paraId="3DEB5A75"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08FA0C1B" w14:textId="77777777" w:rsidR="00CC641E" w:rsidRPr="005808FC" w:rsidRDefault="00CC641E">
            <w:pPr>
              <w:rPr>
                <w:rFonts w:eastAsia="Calibri"/>
                <w:b/>
                <w:bCs/>
              </w:rPr>
            </w:pPr>
            <w:r w:rsidRPr="00291DF5">
              <w:rPr>
                <w:rFonts w:eastAsia="Calibri"/>
                <w:b/>
                <w:bCs/>
              </w:rPr>
              <w:t>16</w:t>
            </w:r>
          </w:p>
        </w:tc>
      </w:tr>
      <w:tr w:rsidR="00CC641E" w:rsidRPr="003D373D" w14:paraId="51F714A8" w14:textId="77777777" w:rsidTr="005808FC">
        <w:trPr>
          <w:trHeight w:val="818"/>
        </w:trPr>
        <w:tc>
          <w:tcPr>
            <w:tcW w:w="3325" w:type="dxa"/>
            <w:shd w:val="clear" w:color="auto" w:fill="C6D9F1" w:themeFill="text2" w:themeFillTint="33"/>
          </w:tcPr>
          <w:p w14:paraId="0699FE00"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3094A7D3" w14:textId="26983471" w:rsidR="00CC641E" w:rsidRPr="005808FC" w:rsidRDefault="00CC641E" w:rsidP="005808FC">
            <w:pPr>
              <w:autoSpaceDE w:val="0"/>
              <w:autoSpaceDN w:val="0"/>
              <w:rPr>
                <w:rFonts w:eastAsia="Calibri"/>
                <w:b/>
                <w:bCs/>
              </w:rPr>
            </w:pPr>
            <w:r w:rsidRPr="00291DF5">
              <w:rPr>
                <w:rFonts w:eastAsia="Calibri"/>
                <w:b/>
                <w:bCs/>
              </w:rPr>
              <w:t xml:space="preserve">Smanjenje </w:t>
            </w:r>
            <w:r w:rsidRPr="005808FC">
              <w:rPr>
                <w:rFonts w:eastAsia="Calibri"/>
                <w:b/>
                <w:bCs/>
              </w:rPr>
              <w:t>potrošnje vode pri održavanju zelenih javnih površina, rasadnika te športskih</w:t>
            </w:r>
            <w:r w:rsidR="000509A0">
              <w:rPr>
                <w:rFonts w:eastAsia="Calibri"/>
                <w:b/>
                <w:bCs/>
              </w:rPr>
              <w:t xml:space="preserve"> i </w:t>
            </w:r>
            <w:r w:rsidRPr="00291DF5">
              <w:rPr>
                <w:rFonts w:eastAsia="Calibri"/>
                <w:b/>
                <w:bCs/>
              </w:rPr>
              <w:t>rekreacijskih površina</w:t>
            </w:r>
          </w:p>
        </w:tc>
      </w:tr>
      <w:tr w:rsidR="00CC641E" w:rsidRPr="003D373D" w14:paraId="203540F8" w14:textId="77777777" w:rsidTr="005808FC">
        <w:trPr>
          <w:trHeight w:val="227"/>
        </w:trPr>
        <w:tc>
          <w:tcPr>
            <w:tcW w:w="3325" w:type="dxa"/>
            <w:shd w:val="clear" w:color="auto" w:fill="F2DBDB" w:themeFill="accent2" w:themeFillTint="33"/>
          </w:tcPr>
          <w:p w14:paraId="0EE0440E" w14:textId="77777777" w:rsidR="00CC641E" w:rsidRPr="005808FC" w:rsidRDefault="00CC641E">
            <w:pPr>
              <w:rPr>
                <w:b/>
                <w:bCs/>
              </w:rPr>
            </w:pPr>
            <w:r w:rsidRPr="00291DF5">
              <w:rPr>
                <w:b/>
                <w:bCs/>
              </w:rPr>
              <w:t>Nositelj aktivnosti:</w:t>
            </w:r>
          </w:p>
        </w:tc>
        <w:tc>
          <w:tcPr>
            <w:tcW w:w="5691" w:type="dxa"/>
          </w:tcPr>
          <w:p w14:paraId="4C9F8A74" w14:textId="77777777" w:rsidR="00CC641E" w:rsidRPr="003D373D" w:rsidRDefault="00CC641E" w:rsidP="005808FC">
            <w:pPr>
              <w:numPr>
                <w:ilvl w:val="0"/>
                <w:numId w:val="9"/>
              </w:numPr>
              <w:spacing w:after="0"/>
              <w:ind w:left="482" w:hanging="357"/>
              <w:jc w:val="left"/>
            </w:pPr>
            <w:r w:rsidRPr="00291DF5">
              <w:t>Zrinjevac, d.o.o.</w:t>
            </w:r>
          </w:p>
          <w:p w14:paraId="1F8F54EA" w14:textId="77777777" w:rsidR="00CC641E" w:rsidRPr="003D373D" w:rsidRDefault="00CC641E" w:rsidP="005808FC">
            <w:pPr>
              <w:numPr>
                <w:ilvl w:val="0"/>
                <w:numId w:val="9"/>
              </w:numPr>
              <w:spacing w:after="0"/>
              <w:ind w:left="482" w:hanging="357"/>
              <w:jc w:val="left"/>
            </w:pPr>
            <w:r w:rsidRPr="00291DF5">
              <w:t>Čistoća, d.o.o.</w:t>
            </w:r>
          </w:p>
          <w:p w14:paraId="58B96781" w14:textId="38209178"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p w14:paraId="5BC4992D" w14:textId="77777777" w:rsidR="00CC641E" w:rsidRPr="003D373D" w:rsidRDefault="00CC641E" w:rsidP="005808FC">
            <w:pPr>
              <w:numPr>
                <w:ilvl w:val="0"/>
                <w:numId w:val="9"/>
              </w:numPr>
              <w:spacing w:after="0"/>
              <w:ind w:left="482" w:hanging="357"/>
              <w:jc w:val="left"/>
            </w:pPr>
            <w:r w:rsidRPr="00291DF5">
              <w:t>Ustanova za upravljanje sportskim objektima</w:t>
            </w:r>
          </w:p>
        </w:tc>
      </w:tr>
      <w:tr w:rsidR="00CC641E" w:rsidRPr="003D373D" w14:paraId="1769060C" w14:textId="77777777" w:rsidTr="005808FC">
        <w:trPr>
          <w:trHeight w:val="227"/>
        </w:trPr>
        <w:tc>
          <w:tcPr>
            <w:tcW w:w="3325" w:type="dxa"/>
            <w:shd w:val="clear" w:color="auto" w:fill="F2DBDB" w:themeFill="accent2" w:themeFillTint="33"/>
          </w:tcPr>
          <w:p w14:paraId="360A39F8" w14:textId="77777777" w:rsidR="00CC641E" w:rsidRPr="005808FC" w:rsidRDefault="00CC641E">
            <w:pPr>
              <w:rPr>
                <w:b/>
                <w:bCs/>
              </w:rPr>
            </w:pPr>
            <w:r w:rsidRPr="00291DF5">
              <w:rPr>
                <w:b/>
                <w:bCs/>
              </w:rPr>
              <w:t>Partneri u provođenju aktivnosti:</w:t>
            </w:r>
          </w:p>
        </w:tc>
        <w:tc>
          <w:tcPr>
            <w:tcW w:w="5691" w:type="dxa"/>
          </w:tcPr>
          <w:p w14:paraId="415EAAB2" w14:textId="547967D5"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67C75311" w14:textId="77777777" w:rsidR="00CC641E" w:rsidRPr="003D373D" w:rsidRDefault="00CC641E" w:rsidP="005808FC">
            <w:pPr>
              <w:numPr>
                <w:ilvl w:val="0"/>
                <w:numId w:val="9"/>
              </w:numPr>
              <w:spacing w:after="0"/>
              <w:ind w:left="482" w:hanging="357"/>
              <w:jc w:val="left"/>
            </w:pPr>
            <w:r w:rsidRPr="00291DF5">
              <w:t>Gradski ured za mjesnu samoupravu</w:t>
            </w:r>
          </w:p>
          <w:p w14:paraId="64CA9C4C" w14:textId="50913BE8" w:rsidR="00CC641E" w:rsidRPr="003D373D" w:rsidRDefault="00CC641E" w:rsidP="005808FC">
            <w:pPr>
              <w:numPr>
                <w:ilvl w:val="0"/>
                <w:numId w:val="9"/>
              </w:numPr>
              <w:spacing w:after="0"/>
              <w:ind w:left="482" w:hanging="357"/>
              <w:jc w:val="left"/>
            </w:pPr>
            <w:r w:rsidRPr="00291DF5">
              <w:t>Gradski ured za poljoprivredu</w:t>
            </w:r>
            <w:r w:rsidR="000509A0">
              <w:t xml:space="preserve"> i </w:t>
            </w:r>
            <w:r w:rsidRPr="00291DF5">
              <w:t>šumarstvo</w:t>
            </w:r>
          </w:p>
          <w:p w14:paraId="4BDB09BE" w14:textId="77777777" w:rsidR="00CC641E" w:rsidRPr="003D373D" w:rsidRDefault="00CC641E" w:rsidP="005808FC">
            <w:pPr>
              <w:numPr>
                <w:ilvl w:val="0"/>
                <w:numId w:val="9"/>
              </w:numPr>
              <w:spacing w:after="0"/>
              <w:ind w:left="482" w:hanging="357"/>
              <w:jc w:val="left"/>
            </w:pPr>
            <w:r w:rsidRPr="00291DF5">
              <w:t>Gradski ured za sport</w:t>
            </w:r>
          </w:p>
          <w:p w14:paraId="2D119AB6" w14:textId="77777777" w:rsidR="00CC641E" w:rsidRPr="003D373D" w:rsidDel="00436CBA" w:rsidRDefault="00CC641E" w:rsidP="005808FC">
            <w:pPr>
              <w:numPr>
                <w:ilvl w:val="0"/>
                <w:numId w:val="9"/>
              </w:numPr>
              <w:spacing w:after="0"/>
              <w:ind w:left="482" w:hanging="357"/>
              <w:jc w:val="left"/>
            </w:pPr>
            <w:r w:rsidRPr="00291DF5">
              <w:t>REGEA</w:t>
            </w:r>
          </w:p>
        </w:tc>
      </w:tr>
      <w:tr w:rsidR="00CC641E" w:rsidRPr="003D373D" w14:paraId="6058EA80" w14:textId="77777777" w:rsidTr="005808FC">
        <w:trPr>
          <w:trHeight w:val="227"/>
        </w:trPr>
        <w:tc>
          <w:tcPr>
            <w:tcW w:w="3325" w:type="dxa"/>
            <w:shd w:val="clear" w:color="auto" w:fill="F2DBDB" w:themeFill="accent2" w:themeFillTint="33"/>
          </w:tcPr>
          <w:p w14:paraId="168FC720" w14:textId="77777777" w:rsidR="00CC641E" w:rsidRPr="005808FC" w:rsidRDefault="00CC641E">
            <w:pPr>
              <w:rPr>
                <w:b/>
                <w:bCs/>
              </w:rPr>
            </w:pPr>
            <w:r w:rsidRPr="00291DF5">
              <w:rPr>
                <w:b/>
                <w:bCs/>
              </w:rPr>
              <w:t>Početak/kraj provedbe (godine)</w:t>
            </w:r>
          </w:p>
        </w:tc>
        <w:tc>
          <w:tcPr>
            <w:tcW w:w="5691" w:type="dxa"/>
          </w:tcPr>
          <w:p w14:paraId="24D6D292" w14:textId="77777777" w:rsidR="00CC641E" w:rsidRPr="005808FC" w:rsidRDefault="00CC641E">
            <w:pPr>
              <w:rPr>
                <w:rFonts w:eastAsia="Calibri"/>
                <w:b/>
                <w:bCs/>
              </w:rPr>
            </w:pPr>
            <w:r w:rsidRPr="00291DF5">
              <w:rPr>
                <w:rFonts w:eastAsia="Calibri"/>
                <w:b/>
                <w:bCs/>
              </w:rPr>
              <w:t>2020 – 2030 (kontinuirano)</w:t>
            </w:r>
          </w:p>
        </w:tc>
      </w:tr>
      <w:tr w:rsidR="00CC641E" w:rsidRPr="003D373D" w14:paraId="4C3ED49F" w14:textId="77777777" w:rsidTr="005808FC">
        <w:trPr>
          <w:trHeight w:val="227"/>
        </w:trPr>
        <w:tc>
          <w:tcPr>
            <w:tcW w:w="3325" w:type="dxa"/>
            <w:shd w:val="clear" w:color="auto" w:fill="F2DBDB" w:themeFill="accent2" w:themeFillTint="33"/>
          </w:tcPr>
          <w:p w14:paraId="4E292AEF" w14:textId="77777777" w:rsidR="00CC641E" w:rsidRPr="005808FC" w:rsidRDefault="00CC641E">
            <w:pPr>
              <w:rPr>
                <w:b/>
                <w:bCs/>
              </w:rPr>
            </w:pPr>
            <w:r w:rsidRPr="00291DF5">
              <w:rPr>
                <w:b/>
                <w:bCs/>
              </w:rPr>
              <w:t>Procjena troškova (jedinična ili ukupna po mjeri)</w:t>
            </w:r>
          </w:p>
        </w:tc>
        <w:tc>
          <w:tcPr>
            <w:tcW w:w="5691" w:type="dxa"/>
          </w:tcPr>
          <w:p w14:paraId="1C60E506" w14:textId="02B8A283" w:rsidR="00CC641E" w:rsidRPr="005808FC" w:rsidRDefault="00BF0308">
            <w:pPr>
              <w:rPr>
                <w:rFonts w:eastAsia="Calibri"/>
              </w:rPr>
            </w:pPr>
            <w:r w:rsidRPr="00291DF5">
              <w:rPr>
                <w:rFonts w:eastAsia="Calibri"/>
                <w:b/>
                <w:bCs/>
              </w:rPr>
              <w:t>500.000</w:t>
            </w:r>
          </w:p>
        </w:tc>
      </w:tr>
      <w:tr w:rsidR="00CC641E" w:rsidRPr="003D373D" w14:paraId="3DAD32CF" w14:textId="77777777" w:rsidTr="005808FC">
        <w:trPr>
          <w:trHeight w:val="227"/>
        </w:trPr>
        <w:tc>
          <w:tcPr>
            <w:tcW w:w="3325" w:type="dxa"/>
            <w:shd w:val="clear" w:color="auto" w:fill="F2DBDB" w:themeFill="accent2" w:themeFillTint="33"/>
          </w:tcPr>
          <w:p w14:paraId="216FAF81" w14:textId="77777777" w:rsidR="00CC641E" w:rsidRPr="005808FC" w:rsidRDefault="00CC641E">
            <w:pPr>
              <w:rPr>
                <w:b/>
                <w:bCs/>
              </w:rPr>
            </w:pPr>
            <w:r w:rsidRPr="00291DF5">
              <w:rPr>
                <w:b/>
                <w:bCs/>
              </w:rPr>
              <w:t>Izvor sredstava za provedbu</w:t>
            </w:r>
          </w:p>
        </w:tc>
        <w:tc>
          <w:tcPr>
            <w:tcW w:w="5691" w:type="dxa"/>
          </w:tcPr>
          <w:p w14:paraId="54ACB63D" w14:textId="77777777" w:rsidR="00CC641E" w:rsidRPr="003D373D" w:rsidRDefault="00CC641E" w:rsidP="005808FC">
            <w:pPr>
              <w:numPr>
                <w:ilvl w:val="0"/>
                <w:numId w:val="9"/>
              </w:numPr>
              <w:spacing w:after="0"/>
              <w:ind w:left="482" w:hanging="357"/>
              <w:jc w:val="left"/>
            </w:pPr>
            <w:r w:rsidRPr="00291DF5">
              <w:t>Proračun Grada Zagreba</w:t>
            </w:r>
          </w:p>
          <w:p w14:paraId="00D81BDA" w14:textId="77777777" w:rsidR="00CC641E" w:rsidRPr="003D373D" w:rsidRDefault="00CC641E" w:rsidP="005808FC">
            <w:pPr>
              <w:numPr>
                <w:ilvl w:val="0"/>
                <w:numId w:val="9"/>
              </w:numPr>
              <w:spacing w:after="0"/>
              <w:ind w:left="482" w:hanging="357"/>
              <w:jc w:val="left"/>
            </w:pPr>
            <w:r w:rsidRPr="00291DF5">
              <w:t>Državni proračun</w:t>
            </w:r>
          </w:p>
          <w:p w14:paraId="7DB13DED" w14:textId="77777777" w:rsidR="00CC641E" w:rsidRPr="003D373D" w:rsidRDefault="00CC641E" w:rsidP="005808FC">
            <w:pPr>
              <w:numPr>
                <w:ilvl w:val="0"/>
                <w:numId w:val="9"/>
              </w:numPr>
              <w:spacing w:after="0"/>
              <w:ind w:left="482" w:hanging="357"/>
              <w:jc w:val="left"/>
            </w:pPr>
            <w:r w:rsidRPr="00291DF5">
              <w:t>FZOEU</w:t>
            </w:r>
          </w:p>
          <w:p w14:paraId="13A1B519" w14:textId="77777777" w:rsidR="00CC641E" w:rsidRPr="003D373D" w:rsidRDefault="00CC641E" w:rsidP="005808FC">
            <w:pPr>
              <w:numPr>
                <w:ilvl w:val="0"/>
                <w:numId w:val="9"/>
              </w:numPr>
              <w:spacing w:after="0"/>
              <w:ind w:left="482" w:hanging="357"/>
              <w:jc w:val="left"/>
            </w:pPr>
            <w:r w:rsidRPr="00291DF5">
              <w:t>Programi EU</w:t>
            </w:r>
          </w:p>
        </w:tc>
      </w:tr>
      <w:tr w:rsidR="00CC641E" w:rsidRPr="003D373D" w14:paraId="6CB8D35D" w14:textId="77777777" w:rsidTr="005808FC">
        <w:trPr>
          <w:trHeight w:val="1799"/>
        </w:trPr>
        <w:tc>
          <w:tcPr>
            <w:tcW w:w="3325" w:type="dxa"/>
            <w:shd w:val="clear" w:color="auto" w:fill="F2DBDB" w:themeFill="accent2" w:themeFillTint="33"/>
          </w:tcPr>
          <w:p w14:paraId="388307EA" w14:textId="77777777" w:rsidR="00CC641E" w:rsidRPr="005808FC" w:rsidRDefault="00CC641E">
            <w:pPr>
              <w:rPr>
                <w:b/>
                <w:bCs/>
              </w:rPr>
            </w:pPr>
            <w:r w:rsidRPr="00291DF5">
              <w:rPr>
                <w:b/>
                <w:bCs/>
              </w:rPr>
              <w:lastRenderedPageBreak/>
              <w:t>Kratki opis/komentar</w:t>
            </w:r>
          </w:p>
        </w:tc>
        <w:tc>
          <w:tcPr>
            <w:tcW w:w="5691" w:type="dxa"/>
          </w:tcPr>
          <w:p w14:paraId="15D3783F" w14:textId="620A16C5" w:rsidR="00CC641E" w:rsidRPr="005808FC" w:rsidRDefault="00CC641E">
            <w:pPr>
              <w:autoSpaceDE w:val="0"/>
              <w:autoSpaceDN w:val="0"/>
              <w:adjustRightInd w:val="0"/>
              <w:rPr>
                <w:rFonts w:eastAsia="Calibri"/>
              </w:rPr>
            </w:pPr>
            <w:r w:rsidRPr="00291DF5">
              <w:t xml:space="preserve">Cilj mjere je </w:t>
            </w:r>
            <w:r w:rsidRPr="005808FC">
              <w:t>racionalizacija korištenja vode za  potrebe održavanja</w:t>
            </w:r>
            <w:r w:rsidR="000509A0">
              <w:t xml:space="preserve"> i </w:t>
            </w:r>
            <w:r w:rsidRPr="00291DF5">
              <w:t>pranja javnih površina, održavanja zelenih javnih površina, rasadnika te sportskih objekata</w:t>
            </w:r>
            <w:r w:rsidR="000509A0">
              <w:t xml:space="preserve"> i </w:t>
            </w:r>
            <w:r w:rsidRPr="00291DF5">
              <w:t xml:space="preserve">rekreacijskih površina.  U prvoj fazi potrebno je napraviti analizu mogućnosti korištenja </w:t>
            </w:r>
            <w:r w:rsidRPr="005808FC">
              <w:t>oborinske vode (kišnice). Analiza bi trebala dati</w:t>
            </w:r>
            <w:r w:rsidR="000509A0">
              <w:t xml:space="preserve"> i </w:t>
            </w:r>
            <w:r w:rsidRPr="00291DF5">
              <w:t>preporuke za izgradnju infrastrukture za korištenje oborinske</w:t>
            </w:r>
            <w:r w:rsidR="000509A0">
              <w:t xml:space="preserve"> i </w:t>
            </w:r>
            <w:r w:rsidRPr="00291DF5">
              <w:t>otpadne vode</w:t>
            </w:r>
            <w:r w:rsidR="000509A0">
              <w:t xml:space="preserve"> i </w:t>
            </w:r>
            <w:r w:rsidRPr="00291DF5">
              <w:t>prilagodbu procesa</w:t>
            </w:r>
            <w:r w:rsidR="000509A0">
              <w:t xml:space="preserve"> i </w:t>
            </w:r>
            <w:r w:rsidRPr="00291DF5">
              <w:t xml:space="preserve">opreme komunalnih tvrtki u svrhu racionalizacije potrošnje pitke vode za ovu vrstu namjene. </w:t>
            </w:r>
            <w:r w:rsidRPr="005808FC">
              <w:t>Analizom bi trebalo obuhvatiti</w:t>
            </w:r>
            <w:r w:rsidR="000509A0">
              <w:t xml:space="preserve"> i </w:t>
            </w:r>
            <w:r w:rsidRPr="00291DF5">
              <w:t>mogućnost korištenja bunara za crpljenje vode za ovu svrhu.</w:t>
            </w:r>
          </w:p>
        </w:tc>
      </w:tr>
    </w:tbl>
    <w:p w14:paraId="2EC51767" w14:textId="77777777" w:rsidR="00CC641E"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601"/>
      </w:tblGrid>
      <w:tr w:rsidR="00CC641E" w:rsidRPr="003D373D" w14:paraId="28DB2F96" w14:textId="77777777" w:rsidTr="005808FC">
        <w:trPr>
          <w:trHeight w:val="227"/>
        </w:trPr>
        <w:tc>
          <w:tcPr>
            <w:tcW w:w="3415" w:type="dxa"/>
            <w:shd w:val="clear" w:color="auto" w:fill="C6D9F1" w:themeFill="text2" w:themeFillTint="33"/>
          </w:tcPr>
          <w:p w14:paraId="5A1F9F89" w14:textId="77777777" w:rsidR="00CC641E" w:rsidRPr="005808FC" w:rsidRDefault="00CC641E">
            <w:pPr>
              <w:rPr>
                <w:b/>
                <w:bCs/>
              </w:rPr>
            </w:pPr>
            <w:r w:rsidRPr="00291DF5">
              <w:rPr>
                <w:b/>
                <w:bCs/>
              </w:rPr>
              <w:t>Redni broj mjere</w:t>
            </w:r>
          </w:p>
        </w:tc>
        <w:tc>
          <w:tcPr>
            <w:tcW w:w="5601" w:type="dxa"/>
            <w:shd w:val="clear" w:color="auto" w:fill="C6D9F1" w:themeFill="text2" w:themeFillTint="33"/>
          </w:tcPr>
          <w:p w14:paraId="0A3831CD" w14:textId="77777777" w:rsidR="00CC641E" w:rsidRPr="005808FC" w:rsidRDefault="00CC641E">
            <w:pPr>
              <w:rPr>
                <w:rFonts w:eastAsia="Calibri"/>
                <w:b/>
                <w:bCs/>
              </w:rPr>
            </w:pPr>
            <w:r w:rsidRPr="00291DF5">
              <w:rPr>
                <w:rFonts w:eastAsia="Calibri"/>
                <w:b/>
                <w:bCs/>
              </w:rPr>
              <w:t>17</w:t>
            </w:r>
          </w:p>
        </w:tc>
      </w:tr>
      <w:tr w:rsidR="00CC641E" w:rsidRPr="003D373D" w14:paraId="528E68F6" w14:textId="77777777" w:rsidTr="005808FC">
        <w:trPr>
          <w:trHeight w:val="818"/>
        </w:trPr>
        <w:tc>
          <w:tcPr>
            <w:tcW w:w="3415" w:type="dxa"/>
            <w:shd w:val="clear" w:color="auto" w:fill="C6D9F1" w:themeFill="text2" w:themeFillTint="33"/>
          </w:tcPr>
          <w:p w14:paraId="7BBD441D" w14:textId="77777777" w:rsidR="00CC641E" w:rsidRPr="005808FC" w:rsidRDefault="00CC641E">
            <w:pPr>
              <w:rPr>
                <w:b/>
                <w:bCs/>
              </w:rPr>
            </w:pPr>
            <w:r w:rsidRPr="00291DF5">
              <w:rPr>
                <w:b/>
                <w:bCs/>
              </w:rPr>
              <w:br w:type="page"/>
              <w:t>Ime mjere/aktivnost</w:t>
            </w:r>
          </w:p>
        </w:tc>
        <w:tc>
          <w:tcPr>
            <w:tcW w:w="5601" w:type="dxa"/>
            <w:shd w:val="clear" w:color="auto" w:fill="C6D9F1" w:themeFill="text2" w:themeFillTint="33"/>
          </w:tcPr>
          <w:p w14:paraId="1EF90701" w14:textId="38186C51" w:rsidR="00CC641E" w:rsidRPr="005808FC" w:rsidRDefault="00CC641E" w:rsidP="005808FC">
            <w:pPr>
              <w:autoSpaceDE w:val="0"/>
              <w:autoSpaceDN w:val="0"/>
              <w:rPr>
                <w:rFonts w:eastAsia="Calibri"/>
                <w:b/>
                <w:bCs/>
              </w:rPr>
            </w:pPr>
            <w:r w:rsidRPr="00291DF5">
              <w:rPr>
                <w:rFonts w:eastAsia="Calibri"/>
                <w:b/>
                <w:bCs/>
              </w:rPr>
              <w:t>Racionalizacij</w:t>
            </w:r>
            <w:r w:rsidR="00BF0308" w:rsidRPr="005808FC">
              <w:rPr>
                <w:rFonts w:eastAsia="Calibri"/>
                <w:b/>
                <w:bCs/>
              </w:rPr>
              <w:t>a</w:t>
            </w:r>
            <w:r w:rsidRPr="005808FC">
              <w:rPr>
                <w:rFonts w:eastAsia="Calibri"/>
                <w:b/>
                <w:bCs/>
              </w:rPr>
              <w:t xml:space="preserve"> potrošnje vode u zgradama u vlasništvu </w:t>
            </w:r>
            <w:r w:rsidR="00D548A4">
              <w:rPr>
                <w:rFonts w:eastAsia="Calibri"/>
                <w:b/>
                <w:bCs/>
              </w:rPr>
              <w:t>G</w:t>
            </w:r>
            <w:r w:rsidRPr="005808FC">
              <w:rPr>
                <w:rFonts w:eastAsia="Calibri"/>
                <w:b/>
                <w:bCs/>
              </w:rPr>
              <w:t>rada Zagreba</w:t>
            </w:r>
          </w:p>
        </w:tc>
      </w:tr>
      <w:tr w:rsidR="00CC641E" w:rsidRPr="003D373D" w14:paraId="6C156884" w14:textId="77777777" w:rsidTr="005808FC">
        <w:trPr>
          <w:trHeight w:val="227"/>
        </w:trPr>
        <w:tc>
          <w:tcPr>
            <w:tcW w:w="3415" w:type="dxa"/>
            <w:shd w:val="clear" w:color="auto" w:fill="F2DBDB" w:themeFill="accent2" w:themeFillTint="33"/>
          </w:tcPr>
          <w:p w14:paraId="3C5D76AA" w14:textId="77777777" w:rsidR="00CC641E" w:rsidRPr="005808FC" w:rsidRDefault="00CC641E">
            <w:pPr>
              <w:rPr>
                <w:b/>
                <w:bCs/>
              </w:rPr>
            </w:pPr>
            <w:r w:rsidRPr="00291DF5">
              <w:rPr>
                <w:b/>
                <w:bCs/>
              </w:rPr>
              <w:t>Nositelj aktivnosti:</w:t>
            </w:r>
          </w:p>
        </w:tc>
        <w:tc>
          <w:tcPr>
            <w:tcW w:w="5601" w:type="dxa"/>
          </w:tcPr>
          <w:p w14:paraId="53129C9D" w14:textId="1C0036B8" w:rsidR="00CC641E"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185766F4" w14:textId="44B786C9" w:rsidR="00BF0308" w:rsidRPr="003D373D" w:rsidRDefault="00BF0308" w:rsidP="005808FC">
            <w:pPr>
              <w:numPr>
                <w:ilvl w:val="0"/>
                <w:numId w:val="9"/>
              </w:numPr>
              <w:spacing w:after="0"/>
              <w:ind w:left="482" w:hanging="357"/>
              <w:jc w:val="left"/>
            </w:pPr>
            <w:r w:rsidRPr="00291DF5">
              <w:t>Ured gradonačelnika</w:t>
            </w:r>
          </w:p>
        </w:tc>
      </w:tr>
      <w:tr w:rsidR="00CC641E" w:rsidRPr="003D373D" w14:paraId="40A86069" w14:textId="77777777" w:rsidTr="005808FC">
        <w:trPr>
          <w:trHeight w:val="227"/>
        </w:trPr>
        <w:tc>
          <w:tcPr>
            <w:tcW w:w="3415" w:type="dxa"/>
            <w:shd w:val="clear" w:color="auto" w:fill="F2DBDB" w:themeFill="accent2" w:themeFillTint="33"/>
          </w:tcPr>
          <w:p w14:paraId="0C5793E8" w14:textId="77777777" w:rsidR="00CC641E" w:rsidRPr="005808FC" w:rsidRDefault="00CC641E">
            <w:pPr>
              <w:rPr>
                <w:b/>
                <w:bCs/>
              </w:rPr>
            </w:pPr>
            <w:r w:rsidRPr="00291DF5">
              <w:rPr>
                <w:b/>
                <w:bCs/>
              </w:rPr>
              <w:t>Partneri u provođenju aktivnosti:</w:t>
            </w:r>
          </w:p>
        </w:tc>
        <w:tc>
          <w:tcPr>
            <w:tcW w:w="5601" w:type="dxa"/>
          </w:tcPr>
          <w:p w14:paraId="16D1D9D1" w14:textId="4F3FFBC5"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p w14:paraId="0B9DD2B0" w14:textId="77777777" w:rsidR="00CC641E" w:rsidRPr="003D373D" w:rsidDel="00436CBA" w:rsidRDefault="00CC641E" w:rsidP="005808FC">
            <w:pPr>
              <w:numPr>
                <w:ilvl w:val="0"/>
                <w:numId w:val="9"/>
              </w:numPr>
              <w:spacing w:after="0"/>
              <w:ind w:left="482" w:hanging="357"/>
              <w:jc w:val="left"/>
            </w:pPr>
            <w:r w:rsidRPr="00291DF5">
              <w:t>REGEA</w:t>
            </w:r>
          </w:p>
        </w:tc>
      </w:tr>
      <w:tr w:rsidR="00CC641E" w:rsidRPr="003D373D" w14:paraId="037A4DC8" w14:textId="77777777" w:rsidTr="005808FC">
        <w:trPr>
          <w:trHeight w:val="227"/>
        </w:trPr>
        <w:tc>
          <w:tcPr>
            <w:tcW w:w="3415" w:type="dxa"/>
            <w:shd w:val="clear" w:color="auto" w:fill="F2DBDB" w:themeFill="accent2" w:themeFillTint="33"/>
          </w:tcPr>
          <w:p w14:paraId="02BFDF00" w14:textId="77777777" w:rsidR="00CC641E" w:rsidRPr="005808FC" w:rsidRDefault="00CC641E">
            <w:pPr>
              <w:rPr>
                <w:b/>
                <w:bCs/>
              </w:rPr>
            </w:pPr>
            <w:r w:rsidRPr="00291DF5">
              <w:rPr>
                <w:b/>
                <w:bCs/>
              </w:rPr>
              <w:t>Početak/kraj provedbe (godine)</w:t>
            </w:r>
          </w:p>
        </w:tc>
        <w:tc>
          <w:tcPr>
            <w:tcW w:w="5601" w:type="dxa"/>
          </w:tcPr>
          <w:p w14:paraId="15DABC66" w14:textId="77777777" w:rsidR="00CC641E" w:rsidRPr="005808FC" w:rsidRDefault="00CC641E">
            <w:pPr>
              <w:rPr>
                <w:rFonts w:eastAsia="Calibri"/>
                <w:b/>
                <w:bCs/>
              </w:rPr>
            </w:pPr>
            <w:r w:rsidRPr="00291DF5">
              <w:rPr>
                <w:rFonts w:eastAsia="Calibri"/>
                <w:b/>
                <w:bCs/>
              </w:rPr>
              <w:t>2022 – 2030 (kontinuirano)</w:t>
            </w:r>
          </w:p>
        </w:tc>
      </w:tr>
      <w:tr w:rsidR="00CC641E" w:rsidRPr="003D373D" w14:paraId="3DA1D0E2" w14:textId="77777777" w:rsidTr="005808FC">
        <w:trPr>
          <w:trHeight w:val="227"/>
        </w:trPr>
        <w:tc>
          <w:tcPr>
            <w:tcW w:w="3415" w:type="dxa"/>
            <w:shd w:val="clear" w:color="auto" w:fill="F2DBDB" w:themeFill="accent2" w:themeFillTint="33"/>
          </w:tcPr>
          <w:p w14:paraId="0606A908" w14:textId="77777777" w:rsidR="00CC641E" w:rsidRPr="005808FC" w:rsidRDefault="00CC641E">
            <w:pPr>
              <w:rPr>
                <w:b/>
                <w:bCs/>
              </w:rPr>
            </w:pPr>
            <w:r w:rsidRPr="00291DF5">
              <w:rPr>
                <w:b/>
                <w:bCs/>
              </w:rPr>
              <w:t>Procjena troškova (jedinična ili ukupna po mjeri)</w:t>
            </w:r>
          </w:p>
        </w:tc>
        <w:tc>
          <w:tcPr>
            <w:tcW w:w="5601" w:type="dxa"/>
          </w:tcPr>
          <w:p w14:paraId="488F544C" w14:textId="479320B8" w:rsidR="00CC641E" w:rsidRPr="005808FC" w:rsidRDefault="00BF0308">
            <w:pPr>
              <w:rPr>
                <w:rFonts w:eastAsia="Calibri"/>
              </w:rPr>
            </w:pPr>
            <w:r w:rsidRPr="00291DF5">
              <w:rPr>
                <w:rFonts w:eastAsia="Calibri"/>
                <w:b/>
                <w:bCs/>
              </w:rPr>
              <w:t>500.000</w:t>
            </w:r>
          </w:p>
        </w:tc>
      </w:tr>
      <w:tr w:rsidR="00CC641E" w:rsidRPr="003D373D" w14:paraId="27A616F0" w14:textId="77777777" w:rsidTr="005808FC">
        <w:trPr>
          <w:trHeight w:val="227"/>
        </w:trPr>
        <w:tc>
          <w:tcPr>
            <w:tcW w:w="3415" w:type="dxa"/>
            <w:shd w:val="clear" w:color="auto" w:fill="F2DBDB" w:themeFill="accent2" w:themeFillTint="33"/>
          </w:tcPr>
          <w:p w14:paraId="03D74FD0" w14:textId="77777777" w:rsidR="00CC641E" w:rsidRPr="005808FC" w:rsidRDefault="00CC641E">
            <w:pPr>
              <w:rPr>
                <w:b/>
                <w:bCs/>
              </w:rPr>
            </w:pPr>
            <w:r w:rsidRPr="00291DF5">
              <w:rPr>
                <w:b/>
                <w:bCs/>
              </w:rPr>
              <w:t>Izvor sredstava za provedbu</w:t>
            </w:r>
          </w:p>
        </w:tc>
        <w:tc>
          <w:tcPr>
            <w:tcW w:w="5601" w:type="dxa"/>
          </w:tcPr>
          <w:p w14:paraId="761D8CA4" w14:textId="77777777" w:rsidR="00CC641E" w:rsidRPr="003D373D" w:rsidRDefault="00CC641E" w:rsidP="005808FC">
            <w:pPr>
              <w:numPr>
                <w:ilvl w:val="0"/>
                <w:numId w:val="9"/>
              </w:numPr>
              <w:spacing w:after="0"/>
              <w:ind w:left="482" w:hanging="357"/>
              <w:jc w:val="left"/>
            </w:pPr>
            <w:r w:rsidRPr="00291DF5">
              <w:t>Proračun Grada Zagreba</w:t>
            </w:r>
          </w:p>
          <w:p w14:paraId="66A9649D" w14:textId="77777777" w:rsidR="00CC641E" w:rsidRPr="003D373D" w:rsidRDefault="00CC641E" w:rsidP="005808FC">
            <w:pPr>
              <w:numPr>
                <w:ilvl w:val="0"/>
                <w:numId w:val="9"/>
              </w:numPr>
              <w:spacing w:after="0"/>
              <w:ind w:left="482" w:hanging="357"/>
              <w:jc w:val="left"/>
            </w:pPr>
            <w:r w:rsidRPr="00291DF5">
              <w:t>Državni proračun</w:t>
            </w:r>
          </w:p>
          <w:p w14:paraId="0B85D0C0" w14:textId="07668C93"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01FC0ED8" w14:textId="77777777" w:rsidTr="005808FC">
        <w:trPr>
          <w:trHeight w:val="548"/>
        </w:trPr>
        <w:tc>
          <w:tcPr>
            <w:tcW w:w="3415" w:type="dxa"/>
            <w:shd w:val="clear" w:color="auto" w:fill="F2DBDB" w:themeFill="accent2" w:themeFillTint="33"/>
          </w:tcPr>
          <w:p w14:paraId="29CAD014" w14:textId="77777777" w:rsidR="00CC641E" w:rsidRPr="005808FC" w:rsidRDefault="00CC641E">
            <w:pPr>
              <w:rPr>
                <w:b/>
                <w:bCs/>
              </w:rPr>
            </w:pPr>
            <w:r w:rsidRPr="00291DF5">
              <w:rPr>
                <w:b/>
                <w:bCs/>
              </w:rPr>
              <w:t>Kratki opis/komentar</w:t>
            </w:r>
          </w:p>
        </w:tc>
        <w:tc>
          <w:tcPr>
            <w:tcW w:w="5601" w:type="dxa"/>
          </w:tcPr>
          <w:p w14:paraId="649D4F67" w14:textId="12995D87" w:rsidR="00CC641E" w:rsidRPr="005808FC" w:rsidRDefault="00CC641E">
            <w:pPr>
              <w:autoSpaceDE w:val="0"/>
              <w:autoSpaceDN w:val="0"/>
              <w:adjustRightInd w:val="0"/>
              <w:rPr>
                <w:rFonts w:eastAsia="Calibri"/>
              </w:rPr>
            </w:pPr>
            <w:r w:rsidRPr="00291DF5">
              <w:t xml:space="preserve">Voda je kao </w:t>
            </w:r>
            <w:r w:rsidRPr="005808FC">
              <w:t>resurs jedan od najosjetljivijih na učinke klimatskih promjena,</w:t>
            </w:r>
            <w:r w:rsidR="000509A0">
              <w:t xml:space="preserve"> i </w:t>
            </w:r>
            <w:r w:rsidRPr="00291DF5">
              <w:t>to u vidu njene dostupnosti</w:t>
            </w:r>
            <w:r w:rsidR="000509A0">
              <w:t xml:space="preserve"> i </w:t>
            </w:r>
            <w:r w:rsidRPr="00291DF5">
              <w:t>kvalitete. Njena dostupnost na svjetskoj, ali</w:t>
            </w:r>
            <w:r w:rsidR="000509A0">
              <w:t xml:space="preserve"> i </w:t>
            </w:r>
            <w:r w:rsidRPr="00291DF5">
              <w:t xml:space="preserve">nižim razinama sve je veći problem, stoga je potrebno kontinuirano poduzimati aktivnosti racionalizacije njenog korištenja. </w:t>
            </w:r>
            <w:r w:rsidRPr="005808FC">
              <w:t>Grad Zagreb na objektima kojima je vlasnik/korisnik treba provesti mjere za racionalizaciju</w:t>
            </w:r>
            <w:r w:rsidR="000509A0">
              <w:t xml:space="preserve"> i </w:t>
            </w:r>
            <w:r w:rsidRPr="00291DF5">
              <w:t>smanjenje potrošnje vode</w:t>
            </w:r>
            <w:r>
              <w:t xml:space="preserve">. </w:t>
            </w:r>
            <w:r w:rsidRPr="00291DF5">
              <w:t>U prvoj</w:t>
            </w:r>
            <w:r w:rsidRPr="005808FC">
              <w:t xml:space="preserve"> fazi potrebno je izraditi analizu potrošnje vode po objektima s obzirom na dostupne podatke. Analiza treba pokazati status postojeće infrastrukture za potrošnju vode, način korištenja </w:t>
            </w:r>
            <w:r w:rsidR="000509A0">
              <w:t>i</w:t>
            </w:r>
            <w:r w:rsidRPr="005808FC">
              <w:t xml:space="preserve"> mjesta za poboljšanje, kako infrastrukturna, tako </w:t>
            </w:r>
            <w:r w:rsidR="000509A0">
              <w:t>i</w:t>
            </w:r>
            <w:r w:rsidRPr="005808FC">
              <w:t xml:space="preserve"> u obrascima ponašanja korisnika. Druga faza podrazumijeva </w:t>
            </w:r>
            <w:r w:rsidRPr="005808FC">
              <w:lastRenderedPageBreak/>
              <w:t>provođenje konkretnih aktivnosti, a potrebno je planirati</w:t>
            </w:r>
            <w:r w:rsidR="000509A0">
              <w:t xml:space="preserve"> i </w:t>
            </w:r>
            <w:r w:rsidRPr="00291DF5">
              <w:t>ugraditi pametna brojila s mogućnošću daljinskih očitanja.</w:t>
            </w:r>
            <w:r>
              <w:t xml:space="preserve"> </w:t>
            </w:r>
          </w:p>
        </w:tc>
      </w:tr>
    </w:tbl>
    <w:p w14:paraId="415EEB95"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5942C37C" w14:textId="77777777" w:rsidTr="005808FC">
        <w:trPr>
          <w:trHeight w:val="227"/>
        </w:trPr>
        <w:tc>
          <w:tcPr>
            <w:tcW w:w="3325" w:type="dxa"/>
            <w:shd w:val="clear" w:color="auto" w:fill="C6D9F1" w:themeFill="text2" w:themeFillTint="33"/>
          </w:tcPr>
          <w:p w14:paraId="7180822D" w14:textId="77777777" w:rsidR="00CC641E" w:rsidRPr="005808FC" w:rsidRDefault="00CC641E">
            <w:pPr>
              <w:rPr>
                <w:b/>
                <w:bCs/>
              </w:rPr>
            </w:pPr>
            <w:r w:rsidRPr="00291DF5">
              <w:rPr>
                <w:b/>
                <w:bCs/>
              </w:rPr>
              <w:t>Redni broj mjere</w:t>
            </w:r>
          </w:p>
        </w:tc>
        <w:tc>
          <w:tcPr>
            <w:tcW w:w="5691" w:type="dxa"/>
            <w:shd w:val="clear" w:color="auto" w:fill="C6D9F1" w:themeFill="text2" w:themeFillTint="33"/>
          </w:tcPr>
          <w:p w14:paraId="6A0EEA63" w14:textId="77777777" w:rsidR="00CC641E" w:rsidRPr="005808FC" w:rsidRDefault="00CC641E">
            <w:pPr>
              <w:rPr>
                <w:rFonts w:eastAsia="Calibri"/>
                <w:b/>
                <w:bCs/>
              </w:rPr>
            </w:pPr>
            <w:r w:rsidRPr="00291DF5">
              <w:rPr>
                <w:rFonts w:eastAsia="Calibri"/>
                <w:b/>
                <w:bCs/>
              </w:rPr>
              <w:t>18</w:t>
            </w:r>
          </w:p>
        </w:tc>
      </w:tr>
      <w:tr w:rsidR="00CC641E" w:rsidRPr="003D373D" w14:paraId="625AC4D5" w14:textId="77777777" w:rsidTr="005808FC">
        <w:trPr>
          <w:trHeight w:val="818"/>
        </w:trPr>
        <w:tc>
          <w:tcPr>
            <w:tcW w:w="3325" w:type="dxa"/>
            <w:shd w:val="clear" w:color="auto" w:fill="C6D9F1" w:themeFill="text2" w:themeFillTint="33"/>
          </w:tcPr>
          <w:p w14:paraId="71525EFC" w14:textId="77777777" w:rsidR="00CC641E" w:rsidRPr="005808FC" w:rsidRDefault="00CC641E">
            <w:pPr>
              <w:rPr>
                <w:b/>
                <w:bCs/>
              </w:rPr>
            </w:pPr>
            <w:r w:rsidRPr="00291DF5">
              <w:rPr>
                <w:b/>
                <w:bCs/>
              </w:rPr>
              <w:br w:type="page"/>
              <w:t>Ime mjere/aktivnost</w:t>
            </w:r>
          </w:p>
        </w:tc>
        <w:tc>
          <w:tcPr>
            <w:tcW w:w="5691" w:type="dxa"/>
            <w:shd w:val="clear" w:color="auto" w:fill="C6D9F1" w:themeFill="text2" w:themeFillTint="33"/>
          </w:tcPr>
          <w:p w14:paraId="6E87948D" w14:textId="20A5AF5B" w:rsidR="00CC641E" w:rsidRPr="005808FC" w:rsidRDefault="00CC641E" w:rsidP="005808FC">
            <w:pPr>
              <w:autoSpaceDE w:val="0"/>
              <w:autoSpaceDN w:val="0"/>
              <w:rPr>
                <w:rFonts w:eastAsia="Calibri"/>
                <w:b/>
                <w:bCs/>
              </w:rPr>
            </w:pPr>
            <w:r w:rsidRPr="00291DF5">
              <w:rPr>
                <w:rFonts w:eastAsia="Calibri"/>
                <w:b/>
                <w:bCs/>
              </w:rPr>
              <w:t xml:space="preserve">Izrada analize mogućnosti </w:t>
            </w:r>
            <w:r w:rsidRPr="005808FC">
              <w:rPr>
                <w:rFonts w:eastAsia="Calibri"/>
                <w:b/>
                <w:bCs/>
              </w:rPr>
              <w:t>recikliranja otpadnih voda za ponovnu uporabu</w:t>
            </w:r>
            <w:r w:rsidR="000509A0">
              <w:rPr>
                <w:rFonts w:eastAsia="Calibri"/>
                <w:b/>
                <w:bCs/>
              </w:rPr>
              <w:t xml:space="preserve"> i </w:t>
            </w:r>
            <w:r w:rsidRPr="00291DF5">
              <w:rPr>
                <w:rFonts w:eastAsia="Calibri"/>
                <w:b/>
                <w:bCs/>
              </w:rPr>
              <w:t>sakupljanja kišnice</w:t>
            </w:r>
          </w:p>
        </w:tc>
      </w:tr>
      <w:tr w:rsidR="00CC641E" w:rsidRPr="003D373D" w14:paraId="3684277C" w14:textId="77777777" w:rsidTr="005808FC">
        <w:trPr>
          <w:trHeight w:val="227"/>
        </w:trPr>
        <w:tc>
          <w:tcPr>
            <w:tcW w:w="3325" w:type="dxa"/>
            <w:shd w:val="clear" w:color="auto" w:fill="F2DBDB" w:themeFill="accent2" w:themeFillTint="33"/>
          </w:tcPr>
          <w:p w14:paraId="4F3DFE50" w14:textId="77777777" w:rsidR="00CC641E" w:rsidRPr="005808FC" w:rsidRDefault="00CC641E">
            <w:pPr>
              <w:rPr>
                <w:b/>
                <w:bCs/>
              </w:rPr>
            </w:pPr>
            <w:r w:rsidRPr="00291DF5">
              <w:rPr>
                <w:b/>
                <w:bCs/>
              </w:rPr>
              <w:t>Nositelj aktivnosti:</w:t>
            </w:r>
          </w:p>
        </w:tc>
        <w:tc>
          <w:tcPr>
            <w:tcW w:w="5691" w:type="dxa"/>
          </w:tcPr>
          <w:p w14:paraId="21F7B269" w14:textId="0F44E917"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tc>
      </w:tr>
      <w:tr w:rsidR="00CC641E" w:rsidRPr="003D373D" w14:paraId="7E17D5C4" w14:textId="77777777" w:rsidTr="005808FC">
        <w:trPr>
          <w:trHeight w:val="227"/>
        </w:trPr>
        <w:tc>
          <w:tcPr>
            <w:tcW w:w="3325" w:type="dxa"/>
            <w:shd w:val="clear" w:color="auto" w:fill="F2DBDB" w:themeFill="accent2" w:themeFillTint="33"/>
          </w:tcPr>
          <w:p w14:paraId="06EB8283" w14:textId="77777777" w:rsidR="00CC641E" w:rsidRPr="005808FC" w:rsidRDefault="00CC641E">
            <w:pPr>
              <w:rPr>
                <w:b/>
                <w:bCs/>
              </w:rPr>
            </w:pPr>
            <w:r w:rsidRPr="00291DF5">
              <w:rPr>
                <w:b/>
                <w:bCs/>
              </w:rPr>
              <w:t>Partneri u provođenju aktivnosti:</w:t>
            </w:r>
          </w:p>
        </w:tc>
        <w:tc>
          <w:tcPr>
            <w:tcW w:w="5691" w:type="dxa"/>
          </w:tcPr>
          <w:p w14:paraId="13FA937D" w14:textId="61AEBF37" w:rsidR="00CC641E" w:rsidRPr="003D373D" w:rsidRDefault="00CC641E"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0EF8E939" w14:textId="77777777" w:rsidR="00CC641E" w:rsidRPr="003D373D" w:rsidDel="00436CBA" w:rsidRDefault="00CC641E" w:rsidP="005808FC">
            <w:pPr>
              <w:numPr>
                <w:ilvl w:val="0"/>
                <w:numId w:val="9"/>
              </w:numPr>
              <w:spacing w:after="0"/>
              <w:ind w:left="482" w:hanging="357"/>
              <w:jc w:val="left"/>
            </w:pPr>
            <w:r w:rsidRPr="00291DF5">
              <w:t>REGEA</w:t>
            </w:r>
          </w:p>
        </w:tc>
      </w:tr>
      <w:tr w:rsidR="00CC641E" w:rsidRPr="003D373D" w14:paraId="5A9433C2" w14:textId="77777777" w:rsidTr="005808FC">
        <w:trPr>
          <w:trHeight w:val="227"/>
        </w:trPr>
        <w:tc>
          <w:tcPr>
            <w:tcW w:w="3325" w:type="dxa"/>
            <w:shd w:val="clear" w:color="auto" w:fill="F2DBDB" w:themeFill="accent2" w:themeFillTint="33"/>
          </w:tcPr>
          <w:p w14:paraId="5F6F63C7" w14:textId="77777777" w:rsidR="00CC641E" w:rsidRPr="005808FC" w:rsidRDefault="00CC641E">
            <w:pPr>
              <w:rPr>
                <w:b/>
                <w:bCs/>
              </w:rPr>
            </w:pPr>
            <w:r w:rsidRPr="00291DF5">
              <w:rPr>
                <w:b/>
                <w:bCs/>
              </w:rPr>
              <w:t>Početak/kraj provedbe (godine)</w:t>
            </w:r>
          </w:p>
        </w:tc>
        <w:tc>
          <w:tcPr>
            <w:tcW w:w="5691" w:type="dxa"/>
          </w:tcPr>
          <w:p w14:paraId="4F53BD5B" w14:textId="77777777" w:rsidR="00CC641E" w:rsidRPr="005808FC" w:rsidRDefault="00CC641E">
            <w:pPr>
              <w:rPr>
                <w:rFonts w:eastAsia="Calibri"/>
                <w:b/>
                <w:bCs/>
              </w:rPr>
            </w:pPr>
            <w:r w:rsidRPr="00291DF5">
              <w:rPr>
                <w:rFonts w:eastAsia="Calibri"/>
                <w:b/>
                <w:bCs/>
              </w:rPr>
              <w:t>2022 – 2030 (kontinuirano)</w:t>
            </w:r>
          </w:p>
        </w:tc>
      </w:tr>
      <w:tr w:rsidR="00CC641E" w:rsidRPr="003D373D" w14:paraId="3F659E9B" w14:textId="77777777" w:rsidTr="005808FC">
        <w:trPr>
          <w:trHeight w:val="227"/>
        </w:trPr>
        <w:tc>
          <w:tcPr>
            <w:tcW w:w="3325" w:type="dxa"/>
            <w:shd w:val="clear" w:color="auto" w:fill="F2DBDB" w:themeFill="accent2" w:themeFillTint="33"/>
          </w:tcPr>
          <w:p w14:paraId="0292824E" w14:textId="77777777" w:rsidR="00CC641E" w:rsidRPr="005808FC" w:rsidRDefault="00CC641E">
            <w:pPr>
              <w:rPr>
                <w:b/>
                <w:bCs/>
              </w:rPr>
            </w:pPr>
            <w:r w:rsidRPr="00291DF5">
              <w:rPr>
                <w:b/>
                <w:bCs/>
              </w:rPr>
              <w:t>Procjena troškova (jedinična ili ukupna po mjeri)</w:t>
            </w:r>
          </w:p>
        </w:tc>
        <w:tc>
          <w:tcPr>
            <w:tcW w:w="5691" w:type="dxa"/>
          </w:tcPr>
          <w:p w14:paraId="499DA23B" w14:textId="00E724C1" w:rsidR="00CC641E" w:rsidRPr="005808FC" w:rsidRDefault="00BF0308">
            <w:pPr>
              <w:rPr>
                <w:rFonts w:eastAsia="Calibri"/>
              </w:rPr>
            </w:pPr>
            <w:r w:rsidRPr="00291DF5">
              <w:rPr>
                <w:rFonts w:eastAsia="Calibri"/>
                <w:b/>
                <w:bCs/>
              </w:rPr>
              <w:t>750.000</w:t>
            </w:r>
          </w:p>
        </w:tc>
      </w:tr>
      <w:tr w:rsidR="00CC641E" w:rsidRPr="003D373D" w14:paraId="7A2B17F1" w14:textId="77777777" w:rsidTr="005808FC">
        <w:trPr>
          <w:trHeight w:val="227"/>
        </w:trPr>
        <w:tc>
          <w:tcPr>
            <w:tcW w:w="3325" w:type="dxa"/>
            <w:shd w:val="clear" w:color="auto" w:fill="F2DBDB" w:themeFill="accent2" w:themeFillTint="33"/>
          </w:tcPr>
          <w:p w14:paraId="388283BD" w14:textId="77777777" w:rsidR="00CC641E" w:rsidRPr="005808FC" w:rsidRDefault="00CC641E">
            <w:pPr>
              <w:rPr>
                <w:b/>
                <w:bCs/>
              </w:rPr>
            </w:pPr>
            <w:r w:rsidRPr="00291DF5">
              <w:rPr>
                <w:b/>
                <w:bCs/>
              </w:rPr>
              <w:t>Izvor sredstava za provedbu</w:t>
            </w:r>
          </w:p>
        </w:tc>
        <w:tc>
          <w:tcPr>
            <w:tcW w:w="5691" w:type="dxa"/>
          </w:tcPr>
          <w:p w14:paraId="0204C4ED" w14:textId="77777777" w:rsidR="00CC641E" w:rsidRPr="003D373D" w:rsidRDefault="00CC641E" w:rsidP="005808FC">
            <w:pPr>
              <w:numPr>
                <w:ilvl w:val="0"/>
                <w:numId w:val="9"/>
              </w:numPr>
              <w:spacing w:after="0"/>
              <w:ind w:left="482" w:hanging="357"/>
              <w:jc w:val="left"/>
            </w:pPr>
            <w:r w:rsidRPr="00291DF5">
              <w:t>Proračun Grada Zagreba</w:t>
            </w:r>
          </w:p>
          <w:p w14:paraId="0C0374B8" w14:textId="77777777" w:rsidR="00CC641E" w:rsidRPr="003D373D" w:rsidRDefault="00CC641E" w:rsidP="005808FC">
            <w:pPr>
              <w:numPr>
                <w:ilvl w:val="0"/>
                <w:numId w:val="9"/>
              </w:numPr>
              <w:spacing w:after="0"/>
              <w:ind w:left="482" w:hanging="357"/>
              <w:jc w:val="left"/>
            </w:pPr>
            <w:r w:rsidRPr="00291DF5">
              <w:t>Državni proračun</w:t>
            </w:r>
          </w:p>
          <w:p w14:paraId="7BA1684C" w14:textId="77777777" w:rsidR="00CC641E" w:rsidRPr="003D373D" w:rsidRDefault="00CC641E" w:rsidP="005808FC">
            <w:pPr>
              <w:numPr>
                <w:ilvl w:val="0"/>
                <w:numId w:val="9"/>
              </w:numPr>
              <w:spacing w:after="0"/>
              <w:ind w:left="482" w:hanging="357"/>
              <w:jc w:val="left"/>
            </w:pPr>
            <w:r w:rsidRPr="00291DF5">
              <w:t>Programi EU</w:t>
            </w:r>
          </w:p>
        </w:tc>
      </w:tr>
      <w:tr w:rsidR="00CC641E" w:rsidRPr="003D373D" w14:paraId="64832406" w14:textId="77777777" w:rsidTr="005808FC">
        <w:trPr>
          <w:trHeight w:val="1799"/>
        </w:trPr>
        <w:tc>
          <w:tcPr>
            <w:tcW w:w="3325" w:type="dxa"/>
            <w:shd w:val="clear" w:color="auto" w:fill="F2DBDB" w:themeFill="accent2" w:themeFillTint="33"/>
          </w:tcPr>
          <w:p w14:paraId="624282A4" w14:textId="77777777" w:rsidR="00CC641E" w:rsidRPr="005808FC" w:rsidRDefault="00CC641E">
            <w:pPr>
              <w:rPr>
                <w:b/>
                <w:bCs/>
              </w:rPr>
            </w:pPr>
            <w:r w:rsidRPr="00291DF5">
              <w:rPr>
                <w:b/>
                <w:bCs/>
              </w:rPr>
              <w:t>Kratki opis/komentar</w:t>
            </w:r>
          </w:p>
        </w:tc>
        <w:tc>
          <w:tcPr>
            <w:tcW w:w="5691" w:type="dxa"/>
          </w:tcPr>
          <w:p w14:paraId="2C9AC4CA" w14:textId="53DE9E9E" w:rsidR="00CC641E" w:rsidRDefault="00CC641E">
            <w:pPr>
              <w:autoSpaceDE w:val="0"/>
              <w:autoSpaceDN w:val="0"/>
              <w:adjustRightInd w:val="0"/>
            </w:pPr>
            <w:r w:rsidRPr="00291DF5">
              <w:t>Recikliranje vode je mjera prilagodbe s ciljem očuvanja resursa kroz ponovnu uporabu vode koja nije za piće. Voda iz domaćinstva koja se koristi za pranje može se koristiti za razne svrhe, npr. za potrebe ispiranja WC-a, navodnjavanje vrtova</w:t>
            </w:r>
            <w:r w:rsidR="000509A0">
              <w:t xml:space="preserve"> i </w:t>
            </w:r>
            <w:r w:rsidRPr="00291DF5">
              <w:t xml:space="preserve">sl. </w:t>
            </w:r>
            <w:r w:rsidRPr="005808FC">
              <w:t>Industrijski procesi mogu biti dizajnirani da koriste vodu u zatvorenim sustavima za kontrolu temperature. Postoje dva tipa ponovne uporabe vode; direktni</w:t>
            </w:r>
            <w:r w:rsidR="000509A0">
              <w:t xml:space="preserve"> i </w:t>
            </w:r>
            <w:r w:rsidRPr="00291DF5">
              <w:t>indirektni. Direktni koristi tretiranu otpadnu vodu koja se spaja u sustav vodoopskrbe bez da je</w:t>
            </w:r>
            <w:r w:rsidRPr="005808FC">
              <w:t xml:space="preserve"> prethodno pomiješana s vodom iz prirodnih izvora. Indirektna ponovna uporaba podrazumijeva miješanje otpadne vode s vodom iz drugog izvora. Ova mjera može pridonijeti smanjenju ukupnog korištenja vode</w:t>
            </w:r>
            <w:r w:rsidR="000509A0">
              <w:t xml:space="preserve"> i </w:t>
            </w:r>
            <w:r w:rsidRPr="00291DF5">
              <w:t>smanjenja troškova. Cilj je izraditi analizu mogu</w:t>
            </w:r>
            <w:r w:rsidRPr="005808FC">
              <w:t>ćnosti ponovne uporabe u sustavu vodoopskrbe</w:t>
            </w:r>
            <w:r w:rsidR="000509A0">
              <w:t xml:space="preserve"> i </w:t>
            </w:r>
            <w:r w:rsidRPr="00291DF5">
              <w:t xml:space="preserve">odvodnje Grada Zagreba. </w:t>
            </w:r>
          </w:p>
          <w:p w14:paraId="487C52D9" w14:textId="7953B4A6" w:rsidR="00CC641E" w:rsidRPr="005808FC" w:rsidRDefault="00CC641E">
            <w:pPr>
              <w:autoSpaceDE w:val="0"/>
              <w:autoSpaceDN w:val="0"/>
              <w:adjustRightInd w:val="0"/>
              <w:rPr>
                <w:rFonts w:eastAsia="Calibri"/>
              </w:rPr>
            </w:pPr>
            <w:r w:rsidRPr="00291DF5">
              <w:rPr>
                <w:rFonts w:eastAsia="Calibri"/>
              </w:rPr>
              <w:t>Potrebno je također analizirati mogućnost sakupljanja</w:t>
            </w:r>
            <w:r w:rsidR="000509A0">
              <w:rPr>
                <w:rFonts w:eastAsia="Calibri"/>
              </w:rPr>
              <w:t xml:space="preserve"> i </w:t>
            </w:r>
            <w:r w:rsidRPr="00291DF5">
              <w:rPr>
                <w:rFonts w:eastAsia="Calibri"/>
              </w:rPr>
              <w:t>daljnjeg korištenja kišnice</w:t>
            </w:r>
            <w:r w:rsidR="000509A0">
              <w:rPr>
                <w:rFonts w:eastAsia="Calibri"/>
              </w:rPr>
              <w:t xml:space="preserve"> i </w:t>
            </w:r>
            <w:r w:rsidRPr="00291DF5">
              <w:rPr>
                <w:rFonts w:eastAsia="Calibri"/>
              </w:rPr>
              <w:t>potencijalne integracije s vodoopskrbnim sustavom Grada Zagreba.</w:t>
            </w:r>
          </w:p>
        </w:tc>
      </w:tr>
    </w:tbl>
    <w:p w14:paraId="1609E82D" w14:textId="77777777" w:rsidR="00CC641E" w:rsidRPr="003D373D" w:rsidRDefault="00CC641E" w:rsidP="00CC641E">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CC641E" w:rsidRPr="003D373D" w14:paraId="65518E3D"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151CD2B4" w14:textId="77777777" w:rsidR="00CC641E" w:rsidRPr="005808FC" w:rsidRDefault="00CC641E" w:rsidP="005808FC">
            <w:pPr>
              <w:spacing w:line="256" w:lineRule="auto"/>
              <w:rPr>
                <w:b/>
                <w:bCs/>
              </w:rPr>
            </w:pPr>
            <w:r w:rsidRPr="00291DF5">
              <w:rPr>
                <w:b/>
                <w:bCs/>
              </w:rPr>
              <w:lastRenderedPageBreak/>
              <w:t>Redni broj mjere</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0DCBFA64" w14:textId="77777777" w:rsidR="00CC641E" w:rsidRPr="005808FC" w:rsidRDefault="00CC641E" w:rsidP="005808FC">
            <w:pPr>
              <w:spacing w:line="256" w:lineRule="auto"/>
              <w:rPr>
                <w:rFonts w:eastAsia="Calibri"/>
                <w:b/>
                <w:bCs/>
              </w:rPr>
            </w:pPr>
            <w:r w:rsidRPr="00291DF5">
              <w:rPr>
                <w:rFonts w:eastAsia="Calibri"/>
                <w:b/>
                <w:bCs/>
              </w:rPr>
              <w:t>19</w:t>
            </w:r>
          </w:p>
        </w:tc>
      </w:tr>
      <w:tr w:rsidR="00CC641E" w:rsidRPr="003D373D" w14:paraId="4673B648" w14:textId="77777777" w:rsidTr="005808FC">
        <w:trPr>
          <w:trHeight w:val="503"/>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04CAB80B" w14:textId="77777777" w:rsidR="00CC641E" w:rsidRPr="005808FC" w:rsidRDefault="00CC641E" w:rsidP="005808FC">
            <w:pPr>
              <w:spacing w:line="256" w:lineRule="auto"/>
              <w:rPr>
                <w:b/>
                <w:bCs/>
              </w:rPr>
            </w:pPr>
            <w:r w:rsidRPr="00291DF5">
              <w:rPr>
                <w:b/>
                <w:bCs/>
              </w:rPr>
              <w:br w:type="page"/>
              <w:t>Ime mjere/aktivnost</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0033777" w14:textId="1B463DB1" w:rsidR="00CC641E" w:rsidRPr="005808FC" w:rsidRDefault="00BF0308" w:rsidP="005808FC">
            <w:pPr>
              <w:autoSpaceDE w:val="0"/>
              <w:autoSpaceDN w:val="0"/>
              <w:adjustRightInd w:val="0"/>
              <w:spacing w:line="256" w:lineRule="auto"/>
              <w:rPr>
                <w:rFonts w:eastAsia="Calibri"/>
                <w:b/>
                <w:bCs/>
              </w:rPr>
            </w:pPr>
            <w:r w:rsidRPr="00291DF5">
              <w:rPr>
                <w:rFonts w:eastAsia="Calibri"/>
                <w:b/>
                <w:bCs/>
              </w:rPr>
              <w:t>Izrada analize</w:t>
            </w:r>
            <w:r w:rsidR="000509A0">
              <w:rPr>
                <w:rFonts w:eastAsia="Calibri"/>
                <w:b/>
                <w:bCs/>
              </w:rPr>
              <w:t xml:space="preserve"> i </w:t>
            </w:r>
            <w:r w:rsidRPr="00291DF5">
              <w:rPr>
                <w:rFonts w:eastAsia="Calibri"/>
                <w:b/>
                <w:bCs/>
              </w:rPr>
              <w:t>plana p</w:t>
            </w:r>
            <w:r w:rsidR="00CC641E" w:rsidRPr="005808FC">
              <w:rPr>
                <w:rFonts w:eastAsia="Calibri"/>
                <w:b/>
                <w:bCs/>
              </w:rPr>
              <w:t>rimjen</w:t>
            </w:r>
            <w:r w:rsidRPr="005808FC">
              <w:rPr>
                <w:rFonts w:eastAsia="Calibri"/>
                <w:b/>
                <w:bCs/>
              </w:rPr>
              <w:t>e</w:t>
            </w:r>
            <w:r w:rsidR="00CC641E" w:rsidRPr="005808FC">
              <w:rPr>
                <w:rFonts w:eastAsia="Calibri"/>
                <w:b/>
                <w:bCs/>
              </w:rPr>
              <w:t xml:space="preserve"> integralnog koncepta odvodnje oborinskih voda  </w:t>
            </w:r>
          </w:p>
        </w:tc>
      </w:tr>
      <w:tr w:rsidR="00CC641E" w:rsidRPr="003D373D" w14:paraId="68712705"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6024D147" w14:textId="77777777" w:rsidR="00CC641E" w:rsidRPr="005808FC" w:rsidRDefault="00CC641E" w:rsidP="005808FC">
            <w:pPr>
              <w:spacing w:line="256" w:lineRule="auto"/>
              <w:rPr>
                <w:b/>
                <w:bCs/>
              </w:rPr>
            </w:pPr>
            <w:r w:rsidRPr="00291DF5">
              <w:rPr>
                <w:b/>
                <w:bCs/>
              </w:rPr>
              <w:t>Nositelj aktivnosti:</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82CA" w14:textId="70B96CAA" w:rsidR="00CC641E" w:rsidRPr="003D373D" w:rsidRDefault="00CC641E" w:rsidP="005808FC">
            <w:pPr>
              <w:numPr>
                <w:ilvl w:val="0"/>
                <w:numId w:val="9"/>
              </w:numPr>
              <w:spacing w:after="0"/>
              <w:ind w:left="482" w:hanging="357"/>
              <w:jc w:val="left"/>
            </w:pPr>
            <w:r w:rsidRPr="00291DF5">
              <w:t>Vodoopskrba</w:t>
            </w:r>
            <w:r w:rsidR="000509A0">
              <w:t xml:space="preserve"> i </w:t>
            </w:r>
            <w:r w:rsidRPr="00291DF5">
              <w:t>odvodnja, d.o.o.</w:t>
            </w:r>
          </w:p>
        </w:tc>
      </w:tr>
      <w:tr w:rsidR="00CC641E" w:rsidRPr="003D373D" w14:paraId="27C248E7"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57F2C807" w14:textId="77777777" w:rsidR="00CC641E" w:rsidRPr="005808FC" w:rsidRDefault="00CC641E" w:rsidP="005808FC">
            <w:pPr>
              <w:spacing w:line="256" w:lineRule="auto"/>
              <w:rPr>
                <w:b/>
                <w:bCs/>
              </w:rPr>
            </w:pPr>
            <w:r w:rsidRPr="00291DF5">
              <w:rPr>
                <w:b/>
                <w:bCs/>
              </w:rPr>
              <w:t>Partneri u provođenju aktivnosti:</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08CE3" w14:textId="49B28D77" w:rsidR="00CC641E" w:rsidRPr="007F2798" w:rsidRDefault="00CC641E" w:rsidP="005808FC">
            <w:pPr>
              <w:numPr>
                <w:ilvl w:val="0"/>
                <w:numId w:val="9"/>
              </w:numPr>
              <w:spacing w:after="0"/>
              <w:ind w:left="482" w:hanging="357"/>
              <w:jc w:val="left"/>
            </w:pPr>
            <w:r w:rsidRPr="007F2798">
              <w:t>Hrvatske vode</w:t>
            </w:r>
          </w:p>
          <w:p w14:paraId="0639B9BA" w14:textId="77777777" w:rsidR="007F2798" w:rsidRDefault="00601D46" w:rsidP="005808FC">
            <w:pPr>
              <w:numPr>
                <w:ilvl w:val="0"/>
                <w:numId w:val="9"/>
              </w:numPr>
              <w:spacing w:after="0"/>
              <w:ind w:left="482" w:hanging="357"/>
              <w:jc w:val="left"/>
            </w:pPr>
            <w:r w:rsidRPr="007F2798">
              <w:t>Zavod za prostorno uređenje Grada Zagreba</w:t>
            </w:r>
          </w:p>
          <w:p w14:paraId="025999DD" w14:textId="6D057A82" w:rsidR="00CC641E" w:rsidRPr="007F2798" w:rsidRDefault="00CC641E" w:rsidP="005808FC">
            <w:pPr>
              <w:numPr>
                <w:ilvl w:val="0"/>
                <w:numId w:val="9"/>
              </w:numPr>
              <w:spacing w:after="0"/>
              <w:ind w:left="482" w:hanging="357"/>
              <w:jc w:val="left"/>
            </w:pPr>
            <w:r w:rsidRPr="007F2798">
              <w:t>Zagrebačke otpadne vode, d.o.o.</w:t>
            </w:r>
          </w:p>
          <w:p w14:paraId="42706C02" w14:textId="148AACE6" w:rsidR="00CC641E" w:rsidRPr="007F2798" w:rsidRDefault="00CC641E" w:rsidP="005808FC">
            <w:pPr>
              <w:numPr>
                <w:ilvl w:val="0"/>
                <w:numId w:val="9"/>
              </w:numPr>
              <w:spacing w:after="0"/>
              <w:ind w:left="482" w:hanging="357"/>
              <w:jc w:val="left"/>
            </w:pPr>
            <w:r w:rsidRPr="007F2798">
              <w:t>Gradski ured za prostorno uređenje, komunalne poslove</w:t>
            </w:r>
            <w:r w:rsidR="000509A0" w:rsidRPr="007F2798">
              <w:t xml:space="preserve"> i </w:t>
            </w:r>
            <w:r w:rsidRPr="007F2798">
              <w:t>promet</w:t>
            </w:r>
          </w:p>
          <w:p w14:paraId="6DEC4F75" w14:textId="27179FD7" w:rsidR="00CC641E" w:rsidRPr="007F2798" w:rsidRDefault="00CC641E" w:rsidP="005808FC">
            <w:pPr>
              <w:numPr>
                <w:ilvl w:val="0"/>
                <w:numId w:val="9"/>
              </w:numPr>
              <w:spacing w:after="0"/>
              <w:ind w:left="482" w:hanging="357"/>
              <w:jc w:val="left"/>
            </w:pPr>
            <w:r w:rsidRPr="007F2798">
              <w:t>Gradski ured za gospodarstvo, energetiku</w:t>
            </w:r>
            <w:r w:rsidR="000509A0" w:rsidRPr="007F2798">
              <w:t xml:space="preserve"> i </w:t>
            </w:r>
            <w:r w:rsidRPr="007F2798">
              <w:t>zaštitu okoliša</w:t>
            </w:r>
          </w:p>
          <w:p w14:paraId="33B0FC0D" w14:textId="0CE1D41C" w:rsidR="00CC641E" w:rsidRPr="00800ADB" w:rsidRDefault="00CC641E" w:rsidP="005808FC">
            <w:pPr>
              <w:numPr>
                <w:ilvl w:val="0"/>
                <w:numId w:val="9"/>
              </w:numPr>
              <w:spacing w:after="0"/>
              <w:ind w:left="482" w:hanging="357"/>
              <w:jc w:val="left"/>
            </w:pPr>
            <w:r w:rsidRPr="00291DF5">
              <w:t>Gradski ured za mjesnu samoupravu</w:t>
            </w:r>
          </w:p>
        </w:tc>
      </w:tr>
      <w:tr w:rsidR="00CC641E" w:rsidRPr="003D373D" w14:paraId="7F8BFC08"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3739903" w14:textId="77777777" w:rsidR="00CC641E" w:rsidRPr="005808FC" w:rsidRDefault="00CC641E" w:rsidP="005808FC">
            <w:pPr>
              <w:spacing w:line="256" w:lineRule="auto"/>
              <w:rPr>
                <w:b/>
                <w:bCs/>
              </w:rPr>
            </w:pPr>
            <w:r w:rsidRPr="00291DF5">
              <w:rPr>
                <w:b/>
                <w:bCs/>
              </w:rPr>
              <w:t>Ostali uključeni dionici:</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1F2C9" w14:textId="2FB9FB13" w:rsidR="00CC641E" w:rsidRPr="003D373D" w:rsidRDefault="00BF0308" w:rsidP="005808FC">
            <w:pPr>
              <w:numPr>
                <w:ilvl w:val="0"/>
                <w:numId w:val="9"/>
              </w:numPr>
              <w:spacing w:after="0"/>
              <w:ind w:left="482" w:hanging="357"/>
              <w:jc w:val="left"/>
            </w:pPr>
            <w:r w:rsidRPr="00291DF5">
              <w:t>Sveučilište u Zagrebu, Građevinski fakultet</w:t>
            </w:r>
          </w:p>
        </w:tc>
      </w:tr>
      <w:tr w:rsidR="00CC641E" w:rsidRPr="003D373D" w14:paraId="3CA78DC5"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3850B824" w14:textId="77777777" w:rsidR="00CC641E" w:rsidRPr="005808FC" w:rsidRDefault="00CC641E" w:rsidP="005808FC">
            <w:pPr>
              <w:spacing w:line="256" w:lineRule="auto"/>
              <w:rPr>
                <w:b/>
                <w:bCs/>
              </w:rPr>
            </w:pPr>
            <w:r w:rsidRPr="00291DF5">
              <w:rPr>
                <w:b/>
                <w:bCs/>
              </w:rPr>
              <w:t xml:space="preserve">Početak/kraj provedbe </w:t>
            </w:r>
            <w:r w:rsidRPr="005808FC">
              <w:rPr>
                <w:b/>
                <w:bCs/>
              </w:rPr>
              <w:t>(godine)</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1306" w14:textId="77777777" w:rsidR="00CC641E" w:rsidRPr="005808FC" w:rsidRDefault="00CC641E" w:rsidP="005808FC">
            <w:pPr>
              <w:spacing w:line="256" w:lineRule="auto"/>
              <w:rPr>
                <w:rFonts w:eastAsia="Calibri"/>
                <w:b/>
                <w:bCs/>
              </w:rPr>
            </w:pPr>
            <w:r w:rsidRPr="00291DF5">
              <w:rPr>
                <w:rFonts w:eastAsia="Calibri"/>
                <w:b/>
                <w:bCs/>
              </w:rPr>
              <w:t>2022 – 2030 (kontinuirano)</w:t>
            </w:r>
          </w:p>
        </w:tc>
      </w:tr>
      <w:tr w:rsidR="00CC641E" w:rsidRPr="003D373D" w14:paraId="0D98D25F"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02F68813" w14:textId="77777777" w:rsidR="00CC641E" w:rsidRPr="005808FC" w:rsidRDefault="00CC641E" w:rsidP="005808FC">
            <w:pPr>
              <w:spacing w:line="256" w:lineRule="auto"/>
              <w:rPr>
                <w:b/>
                <w:bCs/>
              </w:rPr>
            </w:pPr>
            <w:r w:rsidRPr="00291DF5">
              <w:rPr>
                <w:b/>
                <w:bCs/>
              </w:rPr>
              <w:t>Procjena troškova (jedinična ili ukupna po mjeri)</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A5" w14:textId="6C73EB15" w:rsidR="00CC641E" w:rsidRPr="005808FC" w:rsidRDefault="00BF0308" w:rsidP="005808FC">
            <w:pPr>
              <w:spacing w:line="256" w:lineRule="auto"/>
              <w:rPr>
                <w:rFonts w:eastAsia="Calibri"/>
              </w:rPr>
            </w:pPr>
            <w:r w:rsidRPr="00291DF5">
              <w:rPr>
                <w:rFonts w:eastAsia="Calibri"/>
                <w:b/>
                <w:bCs/>
              </w:rPr>
              <w:t>750.000</w:t>
            </w:r>
          </w:p>
        </w:tc>
      </w:tr>
      <w:tr w:rsidR="00CC641E" w:rsidRPr="003D373D" w14:paraId="0366EA2F" w14:textId="77777777" w:rsidTr="005808FC">
        <w:trPr>
          <w:trHeight w:val="227"/>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3ACB406F" w14:textId="77777777" w:rsidR="00CC641E" w:rsidRPr="005808FC" w:rsidRDefault="00CC641E" w:rsidP="005808FC">
            <w:pPr>
              <w:spacing w:line="256" w:lineRule="auto"/>
              <w:rPr>
                <w:b/>
                <w:bCs/>
              </w:rPr>
            </w:pPr>
            <w:r w:rsidRPr="00291DF5">
              <w:rPr>
                <w:b/>
                <w:bCs/>
              </w:rPr>
              <w:t>Izvor sredstava za provedbu</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A576" w14:textId="77777777" w:rsidR="00CC641E" w:rsidRPr="003D373D" w:rsidRDefault="00CC641E" w:rsidP="005808FC">
            <w:pPr>
              <w:numPr>
                <w:ilvl w:val="0"/>
                <w:numId w:val="9"/>
              </w:numPr>
              <w:spacing w:after="0"/>
              <w:ind w:left="482" w:hanging="357"/>
              <w:jc w:val="left"/>
            </w:pPr>
            <w:r w:rsidRPr="00291DF5">
              <w:t>Proračun Grada Zagreba</w:t>
            </w:r>
          </w:p>
          <w:p w14:paraId="499F701D" w14:textId="77777777" w:rsidR="00CC641E" w:rsidRPr="003D373D" w:rsidRDefault="00CC641E" w:rsidP="005808FC">
            <w:pPr>
              <w:numPr>
                <w:ilvl w:val="0"/>
                <w:numId w:val="9"/>
              </w:numPr>
              <w:spacing w:after="0"/>
              <w:ind w:left="482" w:hanging="357"/>
              <w:jc w:val="left"/>
            </w:pPr>
            <w:r w:rsidRPr="00291DF5">
              <w:t>Državni proračun</w:t>
            </w:r>
          </w:p>
          <w:p w14:paraId="14BBCAFC" w14:textId="5A516A71" w:rsidR="00CC641E" w:rsidRPr="003D373D" w:rsidRDefault="00C42B1B" w:rsidP="00C42B1B">
            <w:pPr>
              <w:numPr>
                <w:ilvl w:val="0"/>
                <w:numId w:val="9"/>
              </w:numPr>
              <w:spacing w:after="0"/>
              <w:ind w:left="482" w:hanging="357"/>
              <w:jc w:val="left"/>
            </w:pPr>
            <w:r>
              <w:t>Europski strukturni i investicijski fondovi</w:t>
            </w:r>
          </w:p>
        </w:tc>
      </w:tr>
      <w:tr w:rsidR="00CC641E" w:rsidRPr="003D373D" w14:paraId="5BF1E726" w14:textId="77777777" w:rsidTr="005808FC">
        <w:trPr>
          <w:trHeight w:val="800"/>
        </w:trPr>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1E32CF3D" w14:textId="77777777" w:rsidR="00CC641E" w:rsidRPr="005808FC" w:rsidRDefault="00CC641E" w:rsidP="005808FC">
            <w:pPr>
              <w:spacing w:line="256" w:lineRule="auto"/>
              <w:rPr>
                <w:b/>
                <w:bCs/>
              </w:rPr>
            </w:pPr>
            <w:r w:rsidRPr="00291DF5">
              <w:rPr>
                <w:b/>
                <w:bCs/>
              </w:rPr>
              <w:t>Kratki opis/komentar</w:t>
            </w:r>
          </w:p>
        </w:tc>
        <w:tc>
          <w:tcPr>
            <w:tcW w:w="5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5198D" w14:textId="20E6FFE9" w:rsidR="00CC641E" w:rsidRPr="005808FC" w:rsidRDefault="00CC641E" w:rsidP="005808FC">
            <w:pPr>
              <w:autoSpaceDE w:val="0"/>
              <w:autoSpaceDN w:val="0"/>
              <w:adjustRightInd w:val="0"/>
              <w:spacing w:line="256" w:lineRule="auto"/>
              <w:rPr>
                <w:rFonts w:eastAsia="Calibri"/>
              </w:rPr>
            </w:pPr>
            <w:r w:rsidRPr="00291DF5">
              <w:rPr>
                <w:rFonts w:eastAsia="Calibri"/>
              </w:rPr>
              <w:t xml:space="preserve">Sustavi odvodnje oborinskih voda u urbanim sredinama </w:t>
            </w:r>
            <w:r w:rsidRPr="005808FC">
              <w:rPr>
                <w:rFonts w:eastAsia="Calibri"/>
              </w:rPr>
              <w:t>većinom se izvode na tradicionalan hidrotehnički način. Takvi koncepti odvodnje imaju niz nedostataka pa su za suvremene potrebe odvodnje osmišljeni</w:t>
            </w:r>
            <w:r w:rsidR="000509A0">
              <w:rPr>
                <w:rFonts w:eastAsia="Calibri"/>
              </w:rPr>
              <w:t xml:space="preserve"> i </w:t>
            </w:r>
            <w:r w:rsidRPr="00291DF5">
              <w:rPr>
                <w:rFonts w:eastAsia="Calibri"/>
              </w:rPr>
              <w:t xml:space="preserve">novi koncepti koji se sve više primjenjuju </w:t>
            </w:r>
            <w:r w:rsidR="00D05D04">
              <w:rPr>
                <w:rFonts w:eastAsia="Calibri"/>
              </w:rPr>
              <w:t>–</w:t>
            </w:r>
            <w:r w:rsidRPr="00291DF5">
              <w:rPr>
                <w:rFonts w:eastAsia="Calibri"/>
              </w:rPr>
              <w:t xml:space="preserve"> integralni koncept odvodnje oborinskih voda, zelena infra</w:t>
            </w:r>
            <w:r w:rsidRPr="005808FC">
              <w:rPr>
                <w:rFonts w:eastAsia="Calibri"/>
              </w:rPr>
              <w:t xml:space="preserve">struktura ili pak urbanistički plan koji bolje upravlja vodnim resursima (eng. </w:t>
            </w:r>
            <w:r w:rsidR="00D05D04" w:rsidRPr="005808FC">
              <w:rPr>
                <w:rFonts w:eastAsia="Calibri"/>
                <w:i/>
                <w:iCs/>
              </w:rPr>
              <w:t>W</w:t>
            </w:r>
            <w:r w:rsidRPr="005808FC">
              <w:rPr>
                <w:rFonts w:eastAsia="Calibri"/>
                <w:i/>
                <w:iCs/>
              </w:rPr>
              <w:t>ater sensitive urban design</w:t>
            </w:r>
            <w:r w:rsidRPr="005808FC">
              <w:rPr>
                <w:rFonts w:eastAsia="Calibri"/>
              </w:rPr>
              <w:t>), koncept planiranja izgradnje vodno osviještenih urbanih cjelina s integralnim pristupom odvodnji, zaštita</w:t>
            </w:r>
            <w:r w:rsidR="000509A0">
              <w:rPr>
                <w:rFonts w:eastAsia="Calibri"/>
              </w:rPr>
              <w:t xml:space="preserve"> i </w:t>
            </w:r>
            <w:r w:rsidRPr="00291DF5">
              <w:rPr>
                <w:rFonts w:eastAsia="Calibri"/>
              </w:rPr>
              <w:t>višekratno korištenje vodnih resurs</w:t>
            </w:r>
            <w:r w:rsidRPr="005808FC">
              <w:rPr>
                <w:rFonts w:eastAsia="Calibri"/>
              </w:rPr>
              <w:t>a – decentralizirani pristup. Osim tih koncepata ''održivosti'' potrebno je koristiti moderna tehnička rješenja pri projektiranju sustava odvodnje kao</w:t>
            </w:r>
            <w:r w:rsidR="000509A0">
              <w:rPr>
                <w:rFonts w:eastAsia="Calibri"/>
              </w:rPr>
              <w:t xml:space="preserve"> i </w:t>
            </w:r>
            <w:r w:rsidRPr="00291DF5">
              <w:rPr>
                <w:rFonts w:eastAsia="Calibri"/>
              </w:rPr>
              <w:t>zamjena postojećih neadekvatnih sustava odvodnje vode s modernima. Razvojna strategija Grada Zagreba</w:t>
            </w:r>
            <w:r w:rsidRPr="005808FC">
              <w:rPr>
                <w:rFonts w:eastAsia="Calibri"/>
              </w:rPr>
              <w:t xml:space="preserve"> iznosi kao razvojni problem Utjecaj klimatskih promjena na dijelove postojećeg sustava odvodnje. Potrebno je sagledati trenutni sustav odvodnje površinskih voda</w:t>
            </w:r>
            <w:r w:rsidR="000509A0">
              <w:rPr>
                <w:rFonts w:eastAsia="Calibri"/>
              </w:rPr>
              <w:t xml:space="preserve"> i </w:t>
            </w:r>
            <w:r w:rsidRPr="00291DF5">
              <w:rPr>
                <w:rFonts w:eastAsia="Calibri"/>
              </w:rPr>
              <w:t>predložiti mjere sanacije u duhu zadržavanja oborinskih voda što bliže mjestu njihova nas</w:t>
            </w:r>
            <w:r w:rsidRPr="005808FC">
              <w:rPr>
                <w:rFonts w:eastAsia="Calibri"/>
              </w:rPr>
              <w:t>tanka.</w:t>
            </w:r>
          </w:p>
        </w:tc>
      </w:tr>
    </w:tbl>
    <w:p w14:paraId="3779B300" w14:textId="77777777" w:rsidR="00C30836" w:rsidRDefault="00C30836">
      <w:pPr>
        <w:jc w:val="left"/>
        <w:rPr>
          <w:rFonts w:cstheme="minorHAnsi"/>
          <w:b/>
        </w:rPr>
      </w:pPr>
      <w:r>
        <w:rPr>
          <w:rFonts w:cstheme="minorHAnsi"/>
          <w:b/>
        </w:rPr>
        <w:br w:type="page"/>
      </w:r>
    </w:p>
    <w:p w14:paraId="56B545E4" w14:textId="28F0D29E" w:rsidR="00AE5E1A" w:rsidRDefault="00AE5E1A" w:rsidP="003758FA">
      <w:pPr>
        <w:pStyle w:val="Heading2"/>
      </w:pPr>
      <w:bookmarkStart w:id="258" w:name="_Toc4156112"/>
      <w:r w:rsidRPr="003758FA">
        <w:lastRenderedPageBreak/>
        <w:t>Prostorno planiranje</w:t>
      </w:r>
      <w:r w:rsidR="000509A0">
        <w:t xml:space="preserve"> i </w:t>
      </w:r>
      <w:r w:rsidRPr="003758FA">
        <w:t>upravljanje zemljištem</w:t>
      </w:r>
      <w:bookmarkEnd w:id="258"/>
    </w:p>
    <w:p w14:paraId="18118350" w14:textId="23826BAA" w:rsidR="003758FA" w:rsidRPr="00985B0D" w:rsidRDefault="003758FA" w:rsidP="003758FA">
      <w:pPr>
        <w:rPr>
          <w:rFonts w:cstheme="minorHAnsi"/>
          <w:color w:val="212121"/>
          <w:shd w:val="clear" w:color="auto" w:fill="FFFFFF"/>
        </w:rPr>
      </w:pPr>
      <w:r w:rsidRPr="00291DF5">
        <w:rPr>
          <w:color w:val="212121"/>
          <w:shd w:val="clear" w:color="auto" w:fill="FFFFFF"/>
        </w:rPr>
        <w:t>Urbanističko</w:t>
      </w:r>
      <w:r w:rsidR="000509A0">
        <w:rPr>
          <w:color w:val="212121"/>
          <w:shd w:val="clear" w:color="auto" w:fill="FFFFFF"/>
        </w:rPr>
        <w:t xml:space="preserve"> i </w:t>
      </w:r>
      <w:r w:rsidRPr="00291DF5">
        <w:rPr>
          <w:color w:val="212121"/>
          <w:shd w:val="clear" w:color="auto" w:fill="FFFFFF"/>
        </w:rPr>
        <w:t xml:space="preserve">prostorno planiranje ima ključnu ulogu u razvoju nove infrastrukture. Općenito, klimatski otporna infrastruktura nije ograničena samo na tehnički dizajn, već </w:t>
      </w:r>
      <w:r w:rsidRPr="005808FC">
        <w:rPr>
          <w:color w:val="212121"/>
          <w:shd w:val="clear" w:color="auto" w:fill="FFFFFF"/>
        </w:rPr>
        <w:t>počinje kvalitetnim prostornim planiranjem, tj. odabirom lokacije</w:t>
      </w:r>
      <w:r w:rsidR="000509A0">
        <w:rPr>
          <w:color w:val="212121"/>
          <w:shd w:val="clear" w:color="auto" w:fill="FFFFFF"/>
        </w:rPr>
        <w:t xml:space="preserve"> i </w:t>
      </w:r>
      <w:r w:rsidRPr="00291DF5">
        <w:rPr>
          <w:color w:val="212121"/>
          <w:shd w:val="clear" w:color="auto" w:fill="FFFFFF"/>
        </w:rPr>
        <w:t>eventualno potrebnih kompenzacijskih mjera. Analiza opcija u odnosu na moguće učinke klimatskih promjena za pojedinu lokaciju je od izrazite važnosti. Kao rezultat lokalnih učinaka inst</w:t>
      </w:r>
      <w:r w:rsidRPr="005808FC">
        <w:rPr>
          <w:color w:val="212121"/>
          <w:shd w:val="clear" w:color="auto" w:fill="FFFFFF"/>
        </w:rPr>
        <w:t>alacije mogu biti drugačije smještene ne uzrokujući tako dodatne troškove za investitore. U svrhu povećanja otpornosti na učinke klimatskih promjena zelena infrastruktura</w:t>
      </w:r>
      <w:r w:rsidR="000509A0">
        <w:rPr>
          <w:color w:val="212121"/>
          <w:shd w:val="clear" w:color="auto" w:fill="FFFFFF"/>
        </w:rPr>
        <w:t xml:space="preserve"> i </w:t>
      </w:r>
      <w:r w:rsidRPr="00291DF5">
        <w:rPr>
          <w:color w:val="212121"/>
          <w:shd w:val="clear" w:color="auto" w:fill="FFFFFF"/>
        </w:rPr>
        <w:t>druge zaštitne mjere mogu dati značajne doprinose</w:t>
      </w:r>
      <w:r w:rsidR="00B27FC4">
        <w:rPr>
          <w:color w:val="212121"/>
          <w:shd w:val="clear" w:color="auto" w:fill="FFFFFF"/>
        </w:rPr>
        <w:t>, stoga je potrebno analizirati mogućnosti povećanja udjela zelene infrastrukture</w:t>
      </w:r>
      <w:r w:rsidRPr="00291DF5">
        <w:rPr>
          <w:color w:val="212121"/>
          <w:shd w:val="clear" w:color="auto" w:fill="FFFFFF"/>
        </w:rPr>
        <w:t>.</w:t>
      </w:r>
      <w:r w:rsidR="00B25B9E" w:rsidRPr="005808FC">
        <w:rPr>
          <w:color w:val="212121"/>
          <w:shd w:val="clear" w:color="auto" w:fill="FFFFFF"/>
        </w:rPr>
        <w:t xml:space="preserve"> </w:t>
      </w:r>
      <w:r w:rsidRPr="005808FC">
        <w:rPr>
          <w:color w:val="212121"/>
          <w:shd w:val="clear" w:color="auto" w:fill="FFFFFF"/>
        </w:rPr>
        <w:t>Zelena infrastruktura često je jeftinija kao investicijsko ulaganje, ali</w:t>
      </w:r>
      <w:r w:rsidR="000509A0">
        <w:rPr>
          <w:color w:val="212121"/>
          <w:shd w:val="clear" w:color="auto" w:fill="FFFFFF"/>
        </w:rPr>
        <w:t xml:space="preserve"> i </w:t>
      </w:r>
      <w:r w:rsidRPr="00291DF5">
        <w:rPr>
          <w:color w:val="212121"/>
          <w:shd w:val="clear" w:color="auto" w:fill="FFFFFF"/>
        </w:rPr>
        <w:t>u smislu održavanja. Zelena infrastruktura, adekvatno planirana</w:t>
      </w:r>
      <w:r w:rsidR="000509A0">
        <w:rPr>
          <w:color w:val="212121"/>
          <w:shd w:val="clear" w:color="auto" w:fill="FFFFFF"/>
        </w:rPr>
        <w:t xml:space="preserve"> i </w:t>
      </w:r>
      <w:r w:rsidRPr="00291DF5">
        <w:rPr>
          <w:color w:val="212121"/>
          <w:shd w:val="clear" w:color="auto" w:fill="FFFFFF"/>
        </w:rPr>
        <w:t xml:space="preserve">izvedena pruža brojne </w:t>
      </w:r>
      <w:r w:rsidR="007342AE">
        <w:rPr>
          <w:color w:val="212121"/>
          <w:shd w:val="clear" w:color="auto" w:fill="FFFFFF"/>
        </w:rPr>
        <w:t>koristi</w:t>
      </w:r>
      <w:r w:rsidRPr="00291DF5">
        <w:rPr>
          <w:color w:val="212121"/>
          <w:shd w:val="clear" w:color="auto" w:fill="FFFFFF"/>
        </w:rPr>
        <w:t>, npr. smanjenje učinka toplinskih otoka, pridonose energetskoj učinkovitosti zgrada, a pozitivno utječu</w:t>
      </w:r>
      <w:r w:rsidR="000509A0">
        <w:rPr>
          <w:color w:val="212121"/>
          <w:shd w:val="clear" w:color="auto" w:fill="FFFFFF"/>
        </w:rPr>
        <w:t xml:space="preserve"> i </w:t>
      </w:r>
      <w:r w:rsidRPr="00291DF5">
        <w:rPr>
          <w:color w:val="212121"/>
          <w:shd w:val="clear" w:color="auto" w:fill="FFFFFF"/>
        </w:rPr>
        <w:t>na ljudsko zdravlje</w:t>
      </w:r>
      <w:r w:rsidR="000509A0">
        <w:rPr>
          <w:color w:val="212121"/>
          <w:shd w:val="clear" w:color="auto" w:fill="FFFFFF"/>
        </w:rPr>
        <w:t xml:space="preserve"> i </w:t>
      </w:r>
      <w:r w:rsidRPr="00291DF5">
        <w:rPr>
          <w:color w:val="212121"/>
          <w:shd w:val="clear" w:color="auto" w:fill="FFFFFF"/>
        </w:rPr>
        <w:t xml:space="preserve">doprinose smanjenju emisija stakleničkih plinova. </w:t>
      </w:r>
    </w:p>
    <w:p w14:paraId="679B780C" w14:textId="77777777" w:rsidR="00BF0308" w:rsidRPr="003D373D" w:rsidRDefault="00BF0308" w:rsidP="00BF0308">
      <w:pPr>
        <w:spacing w:before="12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BF0308" w:rsidRPr="003D373D" w14:paraId="43D30793" w14:textId="77777777" w:rsidTr="005808FC">
        <w:trPr>
          <w:trHeight w:val="227"/>
        </w:trPr>
        <w:tc>
          <w:tcPr>
            <w:tcW w:w="3325" w:type="dxa"/>
            <w:shd w:val="clear" w:color="auto" w:fill="C6D9F1" w:themeFill="text2" w:themeFillTint="33"/>
          </w:tcPr>
          <w:p w14:paraId="5259428B" w14:textId="77777777" w:rsidR="00BF0308" w:rsidRPr="005808FC" w:rsidRDefault="00BF0308">
            <w:pPr>
              <w:rPr>
                <w:b/>
                <w:bCs/>
              </w:rPr>
            </w:pPr>
            <w:r w:rsidRPr="00291DF5">
              <w:rPr>
                <w:b/>
                <w:bCs/>
              </w:rPr>
              <w:t>Redni broj mjere</w:t>
            </w:r>
          </w:p>
        </w:tc>
        <w:tc>
          <w:tcPr>
            <w:tcW w:w="5691" w:type="dxa"/>
            <w:shd w:val="clear" w:color="auto" w:fill="C6D9F1" w:themeFill="text2" w:themeFillTint="33"/>
          </w:tcPr>
          <w:p w14:paraId="455AB4B3" w14:textId="77777777" w:rsidR="00BF0308" w:rsidRPr="005808FC" w:rsidRDefault="00BF0308">
            <w:pPr>
              <w:rPr>
                <w:rFonts w:eastAsia="Calibri"/>
                <w:b/>
                <w:bCs/>
              </w:rPr>
            </w:pPr>
            <w:r w:rsidRPr="00291DF5">
              <w:rPr>
                <w:rFonts w:eastAsia="Calibri"/>
                <w:b/>
                <w:bCs/>
              </w:rPr>
              <w:t>21</w:t>
            </w:r>
          </w:p>
        </w:tc>
      </w:tr>
      <w:tr w:rsidR="00BF0308" w:rsidRPr="003D373D" w14:paraId="447D26CB" w14:textId="77777777" w:rsidTr="005808FC">
        <w:trPr>
          <w:trHeight w:val="818"/>
        </w:trPr>
        <w:tc>
          <w:tcPr>
            <w:tcW w:w="3325" w:type="dxa"/>
            <w:shd w:val="clear" w:color="auto" w:fill="C6D9F1" w:themeFill="text2" w:themeFillTint="33"/>
          </w:tcPr>
          <w:p w14:paraId="11D6765C" w14:textId="77777777" w:rsidR="00BF0308" w:rsidRPr="005808FC" w:rsidRDefault="00BF0308">
            <w:pPr>
              <w:rPr>
                <w:b/>
                <w:bCs/>
              </w:rPr>
            </w:pPr>
            <w:r w:rsidRPr="00291DF5">
              <w:rPr>
                <w:b/>
                <w:bCs/>
              </w:rPr>
              <w:br w:type="page"/>
              <w:t>Ime mjere/aktivnost</w:t>
            </w:r>
          </w:p>
        </w:tc>
        <w:tc>
          <w:tcPr>
            <w:tcW w:w="5691" w:type="dxa"/>
            <w:shd w:val="clear" w:color="auto" w:fill="C6D9F1" w:themeFill="text2" w:themeFillTint="33"/>
          </w:tcPr>
          <w:p w14:paraId="6B8766BC" w14:textId="67A887EB" w:rsidR="00BF0308" w:rsidRPr="005808FC" w:rsidRDefault="00BF0308">
            <w:pPr>
              <w:autoSpaceDE w:val="0"/>
              <w:autoSpaceDN w:val="0"/>
              <w:adjustRightInd w:val="0"/>
              <w:rPr>
                <w:rFonts w:eastAsia="Calibri"/>
                <w:b/>
                <w:bCs/>
              </w:rPr>
            </w:pPr>
            <w:r w:rsidRPr="00291DF5">
              <w:rPr>
                <w:rFonts w:eastAsia="Calibri"/>
                <w:b/>
                <w:bCs/>
              </w:rPr>
              <w:t>Integracija koncepta zelene infrastrukture u procese prostornog</w:t>
            </w:r>
            <w:r w:rsidR="000509A0">
              <w:rPr>
                <w:rFonts w:eastAsia="Calibri"/>
                <w:b/>
                <w:bCs/>
              </w:rPr>
              <w:t xml:space="preserve"> i </w:t>
            </w:r>
            <w:r w:rsidRPr="00291DF5">
              <w:rPr>
                <w:rFonts w:eastAsia="Calibri"/>
                <w:b/>
                <w:bCs/>
              </w:rPr>
              <w:t xml:space="preserve">strateškog planiranja </w:t>
            </w:r>
          </w:p>
        </w:tc>
      </w:tr>
      <w:tr w:rsidR="00BF0308" w:rsidRPr="003D373D" w14:paraId="2DDD4F3A" w14:textId="77777777" w:rsidTr="005808FC">
        <w:trPr>
          <w:trHeight w:val="728"/>
        </w:trPr>
        <w:tc>
          <w:tcPr>
            <w:tcW w:w="3325" w:type="dxa"/>
            <w:shd w:val="clear" w:color="auto" w:fill="F2DBDB" w:themeFill="accent2" w:themeFillTint="33"/>
          </w:tcPr>
          <w:p w14:paraId="10461430" w14:textId="77777777" w:rsidR="00BF0308" w:rsidRPr="005808FC" w:rsidRDefault="00BF0308">
            <w:pPr>
              <w:rPr>
                <w:b/>
                <w:bCs/>
              </w:rPr>
            </w:pPr>
            <w:r w:rsidRPr="00291DF5">
              <w:rPr>
                <w:b/>
                <w:bCs/>
              </w:rPr>
              <w:t>Nositelj aktivnosti:</w:t>
            </w:r>
          </w:p>
        </w:tc>
        <w:tc>
          <w:tcPr>
            <w:tcW w:w="5691" w:type="dxa"/>
          </w:tcPr>
          <w:p w14:paraId="566CFAC6" w14:textId="69A7E422" w:rsidR="00BF0308" w:rsidRPr="003D373D" w:rsidRDefault="00F55ABC" w:rsidP="005808FC">
            <w:pPr>
              <w:numPr>
                <w:ilvl w:val="0"/>
                <w:numId w:val="9"/>
              </w:numPr>
              <w:spacing w:after="0"/>
              <w:ind w:left="482" w:hanging="357"/>
              <w:jc w:val="left"/>
            </w:pPr>
            <w:r w:rsidRPr="00291DF5">
              <w:t>Zavod za prostorno uređenje Grada Zagreba</w:t>
            </w:r>
            <w:r w:rsidRPr="00291DF5" w:rsidDel="00F55ABC">
              <w:t xml:space="preserve"> </w:t>
            </w:r>
          </w:p>
        </w:tc>
      </w:tr>
      <w:tr w:rsidR="00BF0308" w:rsidRPr="003D373D" w14:paraId="773A5CE2" w14:textId="77777777" w:rsidTr="005808FC">
        <w:trPr>
          <w:trHeight w:val="227"/>
        </w:trPr>
        <w:tc>
          <w:tcPr>
            <w:tcW w:w="3325" w:type="dxa"/>
            <w:shd w:val="clear" w:color="auto" w:fill="F2DBDB" w:themeFill="accent2" w:themeFillTint="33"/>
          </w:tcPr>
          <w:p w14:paraId="1E3540FC" w14:textId="77777777" w:rsidR="00BF0308" w:rsidRPr="005808FC" w:rsidRDefault="00BF0308">
            <w:pPr>
              <w:rPr>
                <w:b/>
                <w:bCs/>
              </w:rPr>
            </w:pPr>
            <w:r w:rsidRPr="00291DF5">
              <w:rPr>
                <w:b/>
                <w:bCs/>
              </w:rPr>
              <w:t>Partneri u provođenju aktivnosti:</w:t>
            </w:r>
          </w:p>
        </w:tc>
        <w:tc>
          <w:tcPr>
            <w:tcW w:w="5691" w:type="dxa"/>
          </w:tcPr>
          <w:p w14:paraId="7C0AC003" w14:textId="68E7E68F" w:rsidR="00BF0308" w:rsidRDefault="00F55ABC" w:rsidP="005808FC">
            <w:pPr>
              <w:numPr>
                <w:ilvl w:val="0"/>
                <w:numId w:val="9"/>
              </w:numPr>
              <w:spacing w:after="0"/>
              <w:ind w:left="482" w:hanging="357"/>
              <w:jc w:val="left"/>
            </w:pPr>
            <w:r w:rsidRPr="00291DF5">
              <w:t xml:space="preserve">Gradski ured za </w:t>
            </w:r>
            <w:r w:rsidRPr="005808FC">
              <w:t>strategijsko planiranje</w:t>
            </w:r>
            <w:r>
              <w:t xml:space="preserve"> i </w:t>
            </w:r>
            <w:r w:rsidRPr="00291DF5">
              <w:t xml:space="preserve">razvoj grada </w:t>
            </w:r>
          </w:p>
          <w:p w14:paraId="43752355" w14:textId="2B004C49" w:rsidR="00BF0308" w:rsidRPr="003D373D" w:rsidRDefault="00BF0308"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7FD9519C" w14:textId="457B562D" w:rsidR="00BF0308" w:rsidRDefault="00BF0308" w:rsidP="005808FC">
            <w:pPr>
              <w:numPr>
                <w:ilvl w:val="0"/>
                <w:numId w:val="9"/>
              </w:numPr>
              <w:spacing w:after="0"/>
              <w:ind w:left="482" w:hanging="357"/>
              <w:jc w:val="left"/>
            </w:pPr>
            <w:r w:rsidRPr="00291DF5">
              <w:t>Gradski ured za gospodarstvo, energetik</w:t>
            </w:r>
            <w:r w:rsidRPr="005808FC">
              <w:t>u</w:t>
            </w:r>
            <w:r w:rsidR="000509A0">
              <w:t xml:space="preserve"> i </w:t>
            </w:r>
            <w:r w:rsidRPr="00291DF5">
              <w:t>zaštitu okoliša</w:t>
            </w:r>
          </w:p>
          <w:p w14:paraId="4F1CD6CA" w14:textId="27A5C508" w:rsidR="00BF0308" w:rsidRPr="003D373D" w:rsidRDefault="00BF0308" w:rsidP="005808FC">
            <w:pPr>
              <w:numPr>
                <w:ilvl w:val="0"/>
                <w:numId w:val="9"/>
              </w:numPr>
              <w:spacing w:after="0"/>
              <w:ind w:left="482" w:hanging="357"/>
              <w:jc w:val="left"/>
            </w:pPr>
            <w:r w:rsidRPr="00291DF5">
              <w:t>Gradski zavod za zaštitu spomenika kulture</w:t>
            </w:r>
            <w:r w:rsidR="000509A0">
              <w:t xml:space="preserve"> i </w:t>
            </w:r>
            <w:r w:rsidRPr="00291DF5">
              <w:t>prirodu</w:t>
            </w:r>
          </w:p>
          <w:p w14:paraId="3B83071D" w14:textId="77777777" w:rsidR="00BF0308" w:rsidRDefault="00BF0308" w:rsidP="005808FC">
            <w:pPr>
              <w:numPr>
                <w:ilvl w:val="0"/>
                <w:numId w:val="9"/>
              </w:numPr>
              <w:spacing w:after="0"/>
              <w:ind w:left="482" w:hanging="357"/>
              <w:jc w:val="left"/>
            </w:pPr>
            <w:r w:rsidRPr="00291DF5">
              <w:t>REGEA</w:t>
            </w:r>
          </w:p>
          <w:p w14:paraId="74518A7A" w14:textId="71F675C1" w:rsidR="00F55ABC" w:rsidRPr="003D373D" w:rsidDel="00436CBA" w:rsidRDefault="00F55ABC" w:rsidP="005808FC">
            <w:pPr>
              <w:numPr>
                <w:ilvl w:val="0"/>
                <w:numId w:val="9"/>
              </w:numPr>
              <w:spacing w:after="0"/>
              <w:ind w:left="482" w:hanging="357"/>
              <w:jc w:val="left"/>
            </w:pPr>
            <w:r>
              <w:t>DHMZ</w:t>
            </w:r>
          </w:p>
        </w:tc>
      </w:tr>
      <w:tr w:rsidR="00BF0308" w:rsidRPr="003D373D" w14:paraId="78044512" w14:textId="77777777" w:rsidTr="005808FC">
        <w:trPr>
          <w:trHeight w:val="227"/>
        </w:trPr>
        <w:tc>
          <w:tcPr>
            <w:tcW w:w="3325" w:type="dxa"/>
            <w:shd w:val="clear" w:color="auto" w:fill="F2DBDB" w:themeFill="accent2" w:themeFillTint="33"/>
          </w:tcPr>
          <w:p w14:paraId="150A3FF7" w14:textId="77777777" w:rsidR="00BF0308" w:rsidRPr="005808FC" w:rsidRDefault="00BF0308">
            <w:pPr>
              <w:rPr>
                <w:b/>
                <w:bCs/>
              </w:rPr>
            </w:pPr>
            <w:r w:rsidRPr="00291DF5">
              <w:rPr>
                <w:b/>
                <w:bCs/>
              </w:rPr>
              <w:t>Ostali uključeni dionici:</w:t>
            </w:r>
          </w:p>
        </w:tc>
        <w:tc>
          <w:tcPr>
            <w:tcW w:w="5691" w:type="dxa"/>
          </w:tcPr>
          <w:p w14:paraId="4544B5EE" w14:textId="77777777" w:rsidR="00BF0308" w:rsidRPr="003D373D" w:rsidRDefault="00BF0308" w:rsidP="005808FC">
            <w:pPr>
              <w:numPr>
                <w:ilvl w:val="0"/>
                <w:numId w:val="9"/>
              </w:numPr>
              <w:spacing w:after="0"/>
              <w:ind w:left="482" w:hanging="357"/>
              <w:jc w:val="left"/>
            </w:pPr>
            <w:r w:rsidRPr="00291DF5">
              <w:t>Udruge civilnog društva</w:t>
            </w:r>
          </w:p>
        </w:tc>
      </w:tr>
      <w:tr w:rsidR="00BF0308" w:rsidRPr="003D373D" w14:paraId="34FBAD5E" w14:textId="77777777" w:rsidTr="005808FC">
        <w:trPr>
          <w:trHeight w:val="227"/>
        </w:trPr>
        <w:tc>
          <w:tcPr>
            <w:tcW w:w="3325" w:type="dxa"/>
            <w:shd w:val="clear" w:color="auto" w:fill="F2DBDB" w:themeFill="accent2" w:themeFillTint="33"/>
          </w:tcPr>
          <w:p w14:paraId="56DACD08" w14:textId="77777777" w:rsidR="00BF0308" w:rsidRPr="005808FC" w:rsidRDefault="00BF0308">
            <w:pPr>
              <w:rPr>
                <w:b/>
                <w:bCs/>
              </w:rPr>
            </w:pPr>
            <w:r w:rsidRPr="00291DF5">
              <w:rPr>
                <w:b/>
                <w:bCs/>
              </w:rPr>
              <w:t>Početak/kraj provedbe (godine)</w:t>
            </w:r>
          </w:p>
        </w:tc>
        <w:tc>
          <w:tcPr>
            <w:tcW w:w="5691" w:type="dxa"/>
          </w:tcPr>
          <w:p w14:paraId="22F891BC" w14:textId="58F44B9C" w:rsidR="00BF0308" w:rsidRPr="005808FC" w:rsidRDefault="00BF0308">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BF0308" w:rsidRPr="003D373D" w14:paraId="4EEFF3AC" w14:textId="77777777" w:rsidTr="005808FC">
        <w:trPr>
          <w:trHeight w:val="227"/>
        </w:trPr>
        <w:tc>
          <w:tcPr>
            <w:tcW w:w="3325" w:type="dxa"/>
            <w:shd w:val="clear" w:color="auto" w:fill="F2DBDB" w:themeFill="accent2" w:themeFillTint="33"/>
          </w:tcPr>
          <w:p w14:paraId="3636C158" w14:textId="77777777" w:rsidR="00BF0308" w:rsidRPr="005808FC" w:rsidRDefault="00BF0308">
            <w:pPr>
              <w:rPr>
                <w:b/>
                <w:bCs/>
              </w:rPr>
            </w:pPr>
            <w:r w:rsidRPr="00291DF5">
              <w:rPr>
                <w:b/>
                <w:bCs/>
              </w:rPr>
              <w:t>Procjena troškova (jedinična ili ukupna po mjeri)</w:t>
            </w:r>
          </w:p>
        </w:tc>
        <w:tc>
          <w:tcPr>
            <w:tcW w:w="5691" w:type="dxa"/>
          </w:tcPr>
          <w:p w14:paraId="6DA430C5" w14:textId="18D88B04" w:rsidR="00BF0308" w:rsidRPr="005808FC" w:rsidRDefault="00BF0308">
            <w:pPr>
              <w:rPr>
                <w:rFonts w:eastAsia="Calibri"/>
              </w:rPr>
            </w:pPr>
            <w:r w:rsidRPr="00291DF5">
              <w:rPr>
                <w:rFonts w:eastAsia="Calibri"/>
                <w:b/>
                <w:bCs/>
              </w:rPr>
              <w:t>500.000</w:t>
            </w:r>
          </w:p>
        </w:tc>
      </w:tr>
      <w:tr w:rsidR="00BF0308" w:rsidRPr="003D373D" w14:paraId="566C5724" w14:textId="77777777" w:rsidTr="005808FC">
        <w:trPr>
          <w:trHeight w:val="227"/>
        </w:trPr>
        <w:tc>
          <w:tcPr>
            <w:tcW w:w="3325" w:type="dxa"/>
            <w:shd w:val="clear" w:color="auto" w:fill="F2DBDB" w:themeFill="accent2" w:themeFillTint="33"/>
          </w:tcPr>
          <w:p w14:paraId="6663DBEF" w14:textId="77777777" w:rsidR="00BF0308" w:rsidRPr="005808FC" w:rsidRDefault="00BF0308">
            <w:pPr>
              <w:rPr>
                <w:b/>
                <w:bCs/>
              </w:rPr>
            </w:pPr>
            <w:r w:rsidRPr="00291DF5">
              <w:rPr>
                <w:b/>
                <w:bCs/>
              </w:rPr>
              <w:t xml:space="preserve">Izvor </w:t>
            </w:r>
            <w:r w:rsidRPr="005808FC">
              <w:rPr>
                <w:b/>
                <w:bCs/>
              </w:rPr>
              <w:t>sredstava za provedbu</w:t>
            </w:r>
          </w:p>
        </w:tc>
        <w:tc>
          <w:tcPr>
            <w:tcW w:w="5691" w:type="dxa"/>
          </w:tcPr>
          <w:p w14:paraId="1FF9407C" w14:textId="77777777" w:rsidR="00BF0308" w:rsidRPr="003D373D" w:rsidRDefault="00BF0308" w:rsidP="005808FC">
            <w:pPr>
              <w:numPr>
                <w:ilvl w:val="0"/>
                <w:numId w:val="9"/>
              </w:numPr>
              <w:spacing w:after="0"/>
              <w:ind w:left="482" w:hanging="357"/>
              <w:jc w:val="left"/>
            </w:pPr>
            <w:r w:rsidRPr="00291DF5">
              <w:t>Proračun Grada Zagreba</w:t>
            </w:r>
          </w:p>
          <w:p w14:paraId="382B94A9" w14:textId="77777777" w:rsidR="00BF0308" w:rsidRPr="003D373D" w:rsidRDefault="00BF0308" w:rsidP="005808FC">
            <w:pPr>
              <w:numPr>
                <w:ilvl w:val="0"/>
                <w:numId w:val="9"/>
              </w:numPr>
              <w:spacing w:after="0"/>
              <w:ind w:left="482" w:hanging="357"/>
              <w:jc w:val="left"/>
            </w:pPr>
            <w:r w:rsidRPr="00291DF5">
              <w:t>Državni proračun</w:t>
            </w:r>
          </w:p>
          <w:p w14:paraId="7AF2F966" w14:textId="77777777" w:rsidR="00BF0308" w:rsidRPr="003D373D" w:rsidRDefault="00BF0308" w:rsidP="005808FC">
            <w:pPr>
              <w:numPr>
                <w:ilvl w:val="0"/>
                <w:numId w:val="9"/>
              </w:numPr>
              <w:spacing w:after="0"/>
              <w:ind w:left="482" w:hanging="357"/>
              <w:jc w:val="left"/>
            </w:pPr>
            <w:r w:rsidRPr="00291DF5">
              <w:t>FZOEU</w:t>
            </w:r>
          </w:p>
          <w:p w14:paraId="5656AE5F" w14:textId="77777777" w:rsidR="00BF0308" w:rsidRPr="003D373D" w:rsidRDefault="00BF0308" w:rsidP="005808FC">
            <w:pPr>
              <w:numPr>
                <w:ilvl w:val="0"/>
                <w:numId w:val="9"/>
              </w:numPr>
              <w:spacing w:after="0"/>
              <w:ind w:left="482" w:hanging="357"/>
              <w:jc w:val="left"/>
            </w:pPr>
            <w:r w:rsidRPr="00291DF5">
              <w:t>Programi EU</w:t>
            </w:r>
          </w:p>
        </w:tc>
      </w:tr>
      <w:tr w:rsidR="00BF0308" w:rsidRPr="003D373D" w14:paraId="60625EDA" w14:textId="77777777" w:rsidTr="005808FC">
        <w:trPr>
          <w:trHeight w:val="1070"/>
        </w:trPr>
        <w:tc>
          <w:tcPr>
            <w:tcW w:w="3325" w:type="dxa"/>
            <w:shd w:val="clear" w:color="auto" w:fill="F2DBDB" w:themeFill="accent2" w:themeFillTint="33"/>
          </w:tcPr>
          <w:p w14:paraId="1557D7BF" w14:textId="77777777" w:rsidR="00BF0308" w:rsidRPr="005808FC" w:rsidRDefault="00BF0308">
            <w:pPr>
              <w:rPr>
                <w:b/>
                <w:bCs/>
              </w:rPr>
            </w:pPr>
            <w:r w:rsidRPr="00291DF5">
              <w:rPr>
                <w:b/>
                <w:bCs/>
              </w:rPr>
              <w:t>Kratki opis/komentar</w:t>
            </w:r>
          </w:p>
        </w:tc>
        <w:tc>
          <w:tcPr>
            <w:tcW w:w="5691" w:type="dxa"/>
          </w:tcPr>
          <w:p w14:paraId="65FC81CB" w14:textId="020C2C1C" w:rsidR="00BF0308" w:rsidRPr="003D373D" w:rsidRDefault="00BF0308">
            <w:pPr>
              <w:autoSpaceDE w:val="0"/>
              <w:autoSpaceDN w:val="0"/>
              <w:adjustRightInd w:val="0"/>
            </w:pPr>
            <w:r w:rsidRPr="00291DF5">
              <w:t>Nužno je integrirati koncept zelene infrastrukture u procese</w:t>
            </w:r>
            <w:r w:rsidR="000509A0">
              <w:t xml:space="preserve"> i </w:t>
            </w:r>
            <w:r w:rsidRPr="00291DF5">
              <w:t>politike prostornog planiranja</w:t>
            </w:r>
            <w:r w:rsidR="000509A0">
              <w:t xml:space="preserve"> i </w:t>
            </w:r>
            <w:r w:rsidRPr="00291DF5">
              <w:t xml:space="preserve">druge strateške dokumente. Preporuka je da se </w:t>
            </w:r>
            <w:r w:rsidRPr="005808FC">
              <w:t>prilikom izmjena</w:t>
            </w:r>
            <w:r w:rsidR="000509A0">
              <w:t xml:space="preserve"> i </w:t>
            </w:r>
            <w:r w:rsidRPr="00291DF5">
              <w:t xml:space="preserve">dopuna dokumenata kao </w:t>
            </w:r>
            <w:r w:rsidRPr="00291DF5">
              <w:lastRenderedPageBreak/>
              <w:t xml:space="preserve">što su Zagrebplan, Prostorni plan Grada Zagreba te prilikom donošenja Generalnih urbanističkih planova posebnu pozornost posveti zelenoj infrastrukturi kao elementu u organizaciji prostora. </w:t>
            </w:r>
          </w:p>
          <w:p w14:paraId="242FFF50" w14:textId="32A0F28D" w:rsidR="00BF0308" w:rsidRPr="003D373D" w:rsidRDefault="00BF0308">
            <w:pPr>
              <w:autoSpaceDE w:val="0"/>
              <w:autoSpaceDN w:val="0"/>
              <w:adjustRightInd w:val="0"/>
              <w:rPr>
                <w:rFonts w:eastAsia="Calibri" w:cstheme="minorHAnsi"/>
              </w:rPr>
            </w:pPr>
            <w:r w:rsidRPr="00291DF5">
              <w:t>Cilj mjere je strateški planirati</w:t>
            </w:r>
            <w:r w:rsidR="000509A0">
              <w:t xml:space="preserve"> i </w:t>
            </w:r>
            <w:r w:rsidRPr="00291DF5">
              <w:t>sustavno razvijati zelenu infrastrukturu na području Grada Zagreba, posebice na kritičnim točkama gdje je ista slabo razvijena, u prvom redu kako bi se umanjio efekt postojećih te spriječio nastanak novih toplinskih otoka na području Grad</w:t>
            </w:r>
            <w:r w:rsidRPr="005808FC">
              <w:t>a, te kako bi planiranje razvoja</w:t>
            </w:r>
            <w:r w:rsidR="000509A0">
              <w:t xml:space="preserve"> i </w:t>
            </w:r>
            <w:r w:rsidRPr="00291DF5">
              <w:t>prilagodbe infrastrukture bilo usklađeno s predviđenim učincima klimatskih promjena. Elemente zelene infrastrukture potrebno je integrirati</w:t>
            </w:r>
            <w:r w:rsidR="000509A0">
              <w:t xml:space="preserve"> i </w:t>
            </w:r>
            <w:r w:rsidRPr="00291DF5">
              <w:t>na način da se oni propisuju u posebnim uvjetima gradnje u sklopu izdavan</w:t>
            </w:r>
            <w:r w:rsidRPr="005808FC">
              <w:t>ja dozvola.</w:t>
            </w:r>
          </w:p>
        </w:tc>
      </w:tr>
    </w:tbl>
    <w:p w14:paraId="38DDB347" w14:textId="77777777" w:rsidR="00BF0308" w:rsidRPr="003D373D" w:rsidRDefault="00BF0308" w:rsidP="00BF0308">
      <w:pPr>
        <w:spacing w:before="120"/>
        <w:ind w:left="270"/>
        <w:rPr>
          <w:rFonts w:cstheme="minorHAnsi"/>
        </w:rPr>
      </w:pPr>
      <w:r w:rsidRPr="003D373D">
        <w:rPr>
          <w:rFonts w:cstheme="minorHAnsi"/>
          <w:b/>
        </w:rPr>
        <w:lastRenderedPageBreak/>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BF0308" w:rsidRPr="003D373D" w14:paraId="6F561114" w14:textId="77777777" w:rsidTr="005808FC">
        <w:trPr>
          <w:trHeight w:val="227"/>
        </w:trPr>
        <w:tc>
          <w:tcPr>
            <w:tcW w:w="3325" w:type="dxa"/>
            <w:shd w:val="clear" w:color="auto" w:fill="C6D9F1" w:themeFill="text2" w:themeFillTint="33"/>
          </w:tcPr>
          <w:p w14:paraId="2C337BB8" w14:textId="77777777" w:rsidR="00BF0308" w:rsidRPr="005808FC" w:rsidRDefault="00BF0308">
            <w:pPr>
              <w:rPr>
                <w:b/>
                <w:bCs/>
              </w:rPr>
            </w:pPr>
            <w:r w:rsidRPr="00291DF5">
              <w:rPr>
                <w:b/>
                <w:bCs/>
              </w:rPr>
              <w:t>Redni broj mjere</w:t>
            </w:r>
          </w:p>
        </w:tc>
        <w:tc>
          <w:tcPr>
            <w:tcW w:w="5691" w:type="dxa"/>
            <w:shd w:val="clear" w:color="auto" w:fill="C6D9F1" w:themeFill="text2" w:themeFillTint="33"/>
          </w:tcPr>
          <w:p w14:paraId="4E1DFBEA" w14:textId="77777777" w:rsidR="00BF0308" w:rsidRPr="005808FC" w:rsidRDefault="00BF0308">
            <w:pPr>
              <w:rPr>
                <w:rFonts w:eastAsia="Calibri"/>
                <w:b/>
                <w:bCs/>
              </w:rPr>
            </w:pPr>
            <w:r w:rsidRPr="00291DF5">
              <w:rPr>
                <w:rFonts w:eastAsia="Calibri"/>
                <w:b/>
                <w:bCs/>
              </w:rPr>
              <w:t>22</w:t>
            </w:r>
          </w:p>
        </w:tc>
      </w:tr>
      <w:tr w:rsidR="00BF0308" w:rsidRPr="003D373D" w14:paraId="3F0A7CFC" w14:textId="77777777" w:rsidTr="005808FC">
        <w:trPr>
          <w:trHeight w:val="818"/>
        </w:trPr>
        <w:tc>
          <w:tcPr>
            <w:tcW w:w="3325" w:type="dxa"/>
            <w:shd w:val="clear" w:color="auto" w:fill="C6D9F1" w:themeFill="text2" w:themeFillTint="33"/>
          </w:tcPr>
          <w:p w14:paraId="53DA1AA2" w14:textId="77777777" w:rsidR="00BF0308" w:rsidRPr="005808FC" w:rsidRDefault="00BF0308">
            <w:pPr>
              <w:rPr>
                <w:b/>
                <w:bCs/>
              </w:rPr>
            </w:pPr>
            <w:r w:rsidRPr="00291DF5">
              <w:rPr>
                <w:b/>
                <w:bCs/>
              </w:rPr>
              <w:br w:type="page"/>
              <w:t>Ime mjere/aktivnost</w:t>
            </w:r>
          </w:p>
        </w:tc>
        <w:tc>
          <w:tcPr>
            <w:tcW w:w="5691" w:type="dxa"/>
            <w:shd w:val="clear" w:color="auto" w:fill="C6D9F1" w:themeFill="text2" w:themeFillTint="33"/>
          </w:tcPr>
          <w:p w14:paraId="713CA81E" w14:textId="77777777" w:rsidR="00BF0308" w:rsidRPr="005808FC" w:rsidRDefault="00BF0308">
            <w:pPr>
              <w:autoSpaceDE w:val="0"/>
              <w:autoSpaceDN w:val="0"/>
              <w:adjustRightInd w:val="0"/>
              <w:rPr>
                <w:rFonts w:eastAsia="Calibri"/>
                <w:b/>
                <w:bCs/>
              </w:rPr>
            </w:pPr>
            <w:r w:rsidRPr="00291DF5">
              <w:rPr>
                <w:rFonts w:eastAsia="Calibri"/>
                <w:b/>
                <w:bCs/>
              </w:rPr>
              <w:t>Analiza mogućnosti ublažavanja efekta urbanog toplinskog otoka u Zagrebu putem zelene infrastrukture</w:t>
            </w:r>
          </w:p>
        </w:tc>
      </w:tr>
      <w:tr w:rsidR="00BF0308" w:rsidRPr="003D373D" w14:paraId="35B67E1C" w14:textId="77777777" w:rsidTr="005808FC">
        <w:trPr>
          <w:trHeight w:val="227"/>
        </w:trPr>
        <w:tc>
          <w:tcPr>
            <w:tcW w:w="3325" w:type="dxa"/>
            <w:shd w:val="clear" w:color="auto" w:fill="F2DBDB" w:themeFill="accent2" w:themeFillTint="33"/>
          </w:tcPr>
          <w:p w14:paraId="1069B394" w14:textId="77777777" w:rsidR="00BF0308" w:rsidRPr="005808FC" w:rsidRDefault="00BF0308">
            <w:pPr>
              <w:rPr>
                <w:b/>
                <w:bCs/>
              </w:rPr>
            </w:pPr>
            <w:r w:rsidRPr="00291DF5">
              <w:rPr>
                <w:b/>
                <w:bCs/>
              </w:rPr>
              <w:t>Nositelj aktivnosti:</w:t>
            </w:r>
          </w:p>
        </w:tc>
        <w:tc>
          <w:tcPr>
            <w:tcW w:w="5691" w:type="dxa"/>
          </w:tcPr>
          <w:p w14:paraId="201DE3BD" w14:textId="77EC8A9D" w:rsidR="00BF0308" w:rsidRPr="003D373D" w:rsidRDefault="00F55ABC" w:rsidP="00F55ABC">
            <w:pPr>
              <w:numPr>
                <w:ilvl w:val="0"/>
                <w:numId w:val="9"/>
              </w:numPr>
              <w:spacing w:after="0"/>
              <w:ind w:left="482" w:hanging="357"/>
              <w:jc w:val="left"/>
            </w:pPr>
            <w:r w:rsidRPr="00291DF5">
              <w:t>Zavod za prostorno uređenje Grada Zagreba</w:t>
            </w:r>
          </w:p>
        </w:tc>
      </w:tr>
      <w:tr w:rsidR="00BF0308" w:rsidRPr="003D373D" w14:paraId="1A7098F3" w14:textId="77777777" w:rsidTr="005808FC">
        <w:trPr>
          <w:trHeight w:val="227"/>
        </w:trPr>
        <w:tc>
          <w:tcPr>
            <w:tcW w:w="3325" w:type="dxa"/>
            <w:shd w:val="clear" w:color="auto" w:fill="F2DBDB" w:themeFill="accent2" w:themeFillTint="33"/>
          </w:tcPr>
          <w:p w14:paraId="3510D7B5" w14:textId="77777777" w:rsidR="00BF0308" w:rsidRPr="005808FC" w:rsidRDefault="00BF0308">
            <w:pPr>
              <w:rPr>
                <w:b/>
                <w:bCs/>
              </w:rPr>
            </w:pPr>
            <w:r w:rsidRPr="00291DF5">
              <w:rPr>
                <w:b/>
                <w:bCs/>
              </w:rPr>
              <w:t>Partneri u provođenju aktivnosti:</w:t>
            </w:r>
          </w:p>
        </w:tc>
        <w:tc>
          <w:tcPr>
            <w:tcW w:w="5691" w:type="dxa"/>
          </w:tcPr>
          <w:p w14:paraId="623004EE" w14:textId="2161179E" w:rsidR="00BF0308" w:rsidRPr="003D373D" w:rsidRDefault="00BF0308"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6468D55D" w14:textId="039C9E77" w:rsidR="00F55ABC" w:rsidRDefault="00F55ABC" w:rsidP="005808FC">
            <w:pPr>
              <w:numPr>
                <w:ilvl w:val="0"/>
                <w:numId w:val="9"/>
              </w:numPr>
              <w:spacing w:after="0"/>
              <w:ind w:left="482" w:hanging="357"/>
              <w:jc w:val="left"/>
            </w:pPr>
            <w:r>
              <w:t>Gradski ured za strategijsko planiranje i razvoj grada</w:t>
            </w:r>
          </w:p>
          <w:p w14:paraId="3AB47D12" w14:textId="24D3D13B" w:rsidR="00BF0308" w:rsidRPr="003D373D" w:rsidRDefault="00BF0308" w:rsidP="005808FC">
            <w:pPr>
              <w:numPr>
                <w:ilvl w:val="0"/>
                <w:numId w:val="9"/>
              </w:numPr>
              <w:spacing w:after="0"/>
              <w:ind w:left="482" w:hanging="357"/>
              <w:jc w:val="left"/>
            </w:pPr>
            <w:r w:rsidRPr="00291DF5">
              <w:t>Gradski ured za poljoprivredu</w:t>
            </w:r>
            <w:r w:rsidR="000509A0">
              <w:t xml:space="preserve"> i </w:t>
            </w:r>
            <w:r w:rsidRPr="00291DF5">
              <w:t>šumarstvo</w:t>
            </w:r>
          </w:p>
          <w:p w14:paraId="392EE831" w14:textId="77777777" w:rsidR="00BF0308" w:rsidRPr="003E705E" w:rsidRDefault="00BF0308" w:rsidP="005808FC">
            <w:pPr>
              <w:numPr>
                <w:ilvl w:val="0"/>
                <w:numId w:val="9"/>
              </w:numPr>
              <w:spacing w:after="0"/>
              <w:ind w:left="482" w:hanging="357"/>
              <w:jc w:val="left"/>
            </w:pPr>
            <w:r w:rsidRPr="00291DF5">
              <w:t>Zagrebački holding, podružnica Zrinjevac</w:t>
            </w:r>
          </w:p>
          <w:p w14:paraId="578E72AC" w14:textId="6D0E8D30" w:rsidR="00BF0308" w:rsidRPr="003E705E" w:rsidRDefault="00BF0308"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2A47AACF" w14:textId="021E8B07" w:rsidR="00BF0308" w:rsidRPr="003D373D" w:rsidDel="00436CBA" w:rsidRDefault="00BF0308" w:rsidP="005808FC">
            <w:pPr>
              <w:numPr>
                <w:ilvl w:val="0"/>
                <w:numId w:val="9"/>
              </w:numPr>
              <w:spacing w:after="0"/>
              <w:ind w:left="482" w:hanging="357"/>
              <w:jc w:val="left"/>
            </w:pPr>
            <w:r w:rsidRPr="00291DF5">
              <w:t>REGEA</w:t>
            </w:r>
          </w:p>
        </w:tc>
      </w:tr>
      <w:tr w:rsidR="00BF0308" w:rsidRPr="003D373D" w14:paraId="6FD29341" w14:textId="77777777" w:rsidTr="005808FC">
        <w:trPr>
          <w:trHeight w:val="227"/>
        </w:trPr>
        <w:tc>
          <w:tcPr>
            <w:tcW w:w="3325" w:type="dxa"/>
            <w:shd w:val="clear" w:color="auto" w:fill="F2DBDB" w:themeFill="accent2" w:themeFillTint="33"/>
          </w:tcPr>
          <w:p w14:paraId="6CA85C45" w14:textId="77777777" w:rsidR="00BF0308" w:rsidRPr="005808FC" w:rsidRDefault="00BF0308">
            <w:pPr>
              <w:rPr>
                <w:b/>
                <w:bCs/>
              </w:rPr>
            </w:pPr>
            <w:r w:rsidRPr="00291DF5">
              <w:rPr>
                <w:b/>
                <w:bCs/>
              </w:rPr>
              <w:t>Ostali uključeni dionici:</w:t>
            </w:r>
          </w:p>
        </w:tc>
        <w:tc>
          <w:tcPr>
            <w:tcW w:w="5691" w:type="dxa"/>
          </w:tcPr>
          <w:p w14:paraId="11E8B389" w14:textId="77777777" w:rsidR="00BF0308" w:rsidRPr="003E705E" w:rsidRDefault="00BF0308" w:rsidP="005808FC">
            <w:pPr>
              <w:numPr>
                <w:ilvl w:val="0"/>
                <w:numId w:val="9"/>
              </w:numPr>
              <w:spacing w:after="0"/>
              <w:ind w:left="482" w:hanging="357"/>
              <w:jc w:val="left"/>
            </w:pPr>
            <w:r w:rsidRPr="00291DF5">
              <w:t>DHMZ</w:t>
            </w:r>
          </w:p>
          <w:p w14:paraId="273C5AF9" w14:textId="2F0581D4" w:rsidR="00BF0308" w:rsidRDefault="00BF0308" w:rsidP="005808FC">
            <w:pPr>
              <w:numPr>
                <w:ilvl w:val="0"/>
                <w:numId w:val="9"/>
              </w:numPr>
              <w:spacing w:after="0"/>
              <w:ind w:left="482" w:hanging="357"/>
              <w:jc w:val="left"/>
            </w:pPr>
            <w:r w:rsidRPr="00291DF5">
              <w:t xml:space="preserve">Sveučilište u Zagrebu </w:t>
            </w:r>
            <w:r w:rsidR="00D05D04">
              <w:t>–</w:t>
            </w:r>
            <w:r w:rsidRPr="00291DF5">
              <w:t xml:space="preserve"> Agronomski fakultet, Građevinski fakultet, Šumarski fakultet, Prirodoslovno matematički fakultet </w:t>
            </w:r>
          </w:p>
          <w:p w14:paraId="517AD1E1" w14:textId="77777777" w:rsidR="00BF0308" w:rsidRPr="003F3C95" w:rsidRDefault="00BF0308" w:rsidP="005808FC">
            <w:pPr>
              <w:numPr>
                <w:ilvl w:val="0"/>
                <w:numId w:val="9"/>
              </w:numPr>
              <w:spacing w:after="0"/>
              <w:ind w:left="482" w:hanging="357"/>
              <w:jc w:val="left"/>
            </w:pPr>
            <w:r w:rsidRPr="00291DF5">
              <w:t>Nastavni zavod za javno zdravstvo Dr. Andrija Štampar</w:t>
            </w:r>
          </w:p>
        </w:tc>
      </w:tr>
      <w:tr w:rsidR="00BF0308" w:rsidRPr="003D373D" w14:paraId="4A758C45" w14:textId="77777777" w:rsidTr="005808FC">
        <w:trPr>
          <w:trHeight w:val="227"/>
        </w:trPr>
        <w:tc>
          <w:tcPr>
            <w:tcW w:w="3325" w:type="dxa"/>
            <w:shd w:val="clear" w:color="auto" w:fill="F2DBDB" w:themeFill="accent2" w:themeFillTint="33"/>
          </w:tcPr>
          <w:p w14:paraId="7C6821BD" w14:textId="77777777" w:rsidR="00BF0308" w:rsidRPr="005808FC" w:rsidRDefault="00BF0308">
            <w:pPr>
              <w:rPr>
                <w:b/>
                <w:bCs/>
              </w:rPr>
            </w:pPr>
            <w:r w:rsidRPr="00291DF5">
              <w:rPr>
                <w:b/>
                <w:bCs/>
              </w:rPr>
              <w:t>Početak/kraj provedbe (godine)</w:t>
            </w:r>
          </w:p>
        </w:tc>
        <w:tc>
          <w:tcPr>
            <w:tcW w:w="5691" w:type="dxa"/>
          </w:tcPr>
          <w:p w14:paraId="41E35D0D" w14:textId="015279E9" w:rsidR="00BF0308" w:rsidRPr="005808FC" w:rsidRDefault="00BF0308">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2022</w:t>
            </w:r>
          </w:p>
        </w:tc>
      </w:tr>
      <w:tr w:rsidR="00BF0308" w:rsidRPr="003D373D" w14:paraId="140ACE46" w14:textId="77777777" w:rsidTr="005808FC">
        <w:trPr>
          <w:trHeight w:val="227"/>
        </w:trPr>
        <w:tc>
          <w:tcPr>
            <w:tcW w:w="3325" w:type="dxa"/>
            <w:shd w:val="clear" w:color="auto" w:fill="F2DBDB" w:themeFill="accent2" w:themeFillTint="33"/>
          </w:tcPr>
          <w:p w14:paraId="1A931706" w14:textId="77777777" w:rsidR="00BF0308" w:rsidRPr="005808FC" w:rsidRDefault="00BF0308">
            <w:pPr>
              <w:rPr>
                <w:b/>
                <w:bCs/>
              </w:rPr>
            </w:pPr>
            <w:r w:rsidRPr="00291DF5">
              <w:rPr>
                <w:b/>
                <w:bCs/>
              </w:rPr>
              <w:t>Procjena troškova (jedinična ili ukupna po mjeri)</w:t>
            </w:r>
          </w:p>
        </w:tc>
        <w:tc>
          <w:tcPr>
            <w:tcW w:w="5691" w:type="dxa"/>
          </w:tcPr>
          <w:p w14:paraId="17E7007F" w14:textId="6009EDAE" w:rsidR="00BF0308" w:rsidRPr="005808FC" w:rsidRDefault="00532678">
            <w:pPr>
              <w:rPr>
                <w:rFonts w:eastAsia="Calibri"/>
              </w:rPr>
            </w:pPr>
            <w:r w:rsidRPr="00291DF5">
              <w:rPr>
                <w:rFonts w:eastAsia="Calibri"/>
                <w:b/>
                <w:bCs/>
              </w:rPr>
              <w:t>1.000.000</w:t>
            </w:r>
          </w:p>
        </w:tc>
      </w:tr>
      <w:tr w:rsidR="00BF0308" w:rsidRPr="003D373D" w14:paraId="2BA77172" w14:textId="77777777" w:rsidTr="005808FC">
        <w:trPr>
          <w:trHeight w:val="227"/>
        </w:trPr>
        <w:tc>
          <w:tcPr>
            <w:tcW w:w="3325" w:type="dxa"/>
            <w:shd w:val="clear" w:color="auto" w:fill="F2DBDB" w:themeFill="accent2" w:themeFillTint="33"/>
          </w:tcPr>
          <w:p w14:paraId="7D980780" w14:textId="77777777" w:rsidR="00BF0308" w:rsidRPr="005808FC" w:rsidRDefault="00BF0308">
            <w:pPr>
              <w:rPr>
                <w:b/>
                <w:bCs/>
              </w:rPr>
            </w:pPr>
            <w:r w:rsidRPr="00291DF5">
              <w:rPr>
                <w:b/>
                <w:bCs/>
              </w:rPr>
              <w:t>Izvor sredstava za provedbu</w:t>
            </w:r>
          </w:p>
        </w:tc>
        <w:tc>
          <w:tcPr>
            <w:tcW w:w="5691" w:type="dxa"/>
          </w:tcPr>
          <w:p w14:paraId="4C64C2EB" w14:textId="77777777" w:rsidR="00BF0308" w:rsidRPr="003D373D" w:rsidRDefault="00BF0308" w:rsidP="005808FC">
            <w:pPr>
              <w:numPr>
                <w:ilvl w:val="0"/>
                <w:numId w:val="9"/>
              </w:numPr>
              <w:spacing w:after="0"/>
              <w:ind w:left="482" w:hanging="357"/>
              <w:jc w:val="left"/>
            </w:pPr>
            <w:r w:rsidRPr="00291DF5">
              <w:t>Proračun Grada Zagreba</w:t>
            </w:r>
          </w:p>
          <w:p w14:paraId="5096904E" w14:textId="77777777" w:rsidR="00BF0308" w:rsidRPr="003D373D" w:rsidRDefault="00BF0308" w:rsidP="005808FC">
            <w:pPr>
              <w:numPr>
                <w:ilvl w:val="0"/>
                <w:numId w:val="9"/>
              </w:numPr>
              <w:spacing w:after="0"/>
              <w:ind w:left="482" w:hanging="357"/>
              <w:jc w:val="left"/>
            </w:pPr>
            <w:r w:rsidRPr="00291DF5">
              <w:t>Državni proračun</w:t>
            </w:r>
          </w:p>
          <w:p w14:paraId="3B2ADF7F" w14:textId="77777777" w:rsidR="00BF0308" w:rsidRPr="003D373D" w:rsidRDefault="00BF0308" w:rsidP="005808FC">
            <w:pPr>
              <w:numPr>
                <w:ilvl w:val="0"/>
                <w:numId w:val="9"/>
              </w:numPr>
              <w:spacing w:after="0"/>
              <w:ind w:left="482" w:hanging="357"/>
              <w:jc w:val="left"/>
            </w:pPr>
            <w:r w:rsidRPr="00291DF5">
              <w:lastRenderedPageBreak/>
              <w:t>FZOEU</w:t>
            </w:r>
          </w:p>
          <w:p w14:paraId="76CCD8D6" w14:textId="77777777" w:rsidR="00BF0308" w:rsidRPr="003D373D" w:rsidRDefault="00BF0308" w:rsidP="005808FC">
            <w:pPr>
              <w:numPr>
                <w:ilvl w:val="0"/>
                <w:numId w:val="9"/>
              </w:numPr>
              <w:spacing w:after="0"/>
              <w:ind w:left="482" w:hanging="357"/>
              <w:jc w:val="left"/>
            </w:pPr>
            <w:r w:rsidRPr="00291DF5">
              <w:t>Programi EU</w:t>
            </w:r>
          </w:p>
        </w:tc>
      </w:tr>
      <w:tr w:rsidR="00BF0308" w:rsidRPr="003D373D" w14:paraId="1C69319C" w14:textId="77777777" w:rsidTr="005808FC">
        <w:trPr>
          <w:trHeight w:val="1970"/>
        </w:trPr>
        <w:tc>
          <w:tcPr>
            <w:tcW w:w="3325" w:type="dxa"/>
            <w:shd w:val="clear" w:color="auto" w:fill="F2DBDB" w:themeFill="accent2" w:themeFillTint="33"/>
          </w:tcPr>
          <w:p w14:paraId="51B7E4E0" w14:textId="77777777" w:rsidR="00BF0308" w:rsidRPr="005808FC" w:rsidRDefault="00BF0308">
            <w:pPr>
              <w:rPr>
                <w:b/>
                <w:bCs/>
              </w:rPr>
            </w:pPr>
            <w:r w:rsidRPr="00291DF5">
              <w:rPr>
                <w:b/>
                <w:bCs/>
              </w:rPr>
              <w:lastRenderedPageBreak/>
              <w:t>Kratki opis/komentar</w:t>
            </w:r>
          </w:p>
        </w:tc>
        <w:tc>
          <w:tcPr>
            <w:tcW w:w="5691" w:type="dxa"/>
          </w:tcPr>
          <w:p w14:paraId="739A2545" w14:textId="77777777" w:rsidR="00B27FC4" w:rsidRPr="00887BFC" w:rsidRDefault="00B27FC4">
            <w:pPr>
              <w:autoSpaceDE w:val="0"/>
              <w:autoSpaceDN w:val="0"/>
              <w:adjustRightInd w:val="0"/>
            </w:pPr>
            <w:r w:rsidRPr="00887BFC">
              <w:t xml:space="preserve">Urbani toplinski otok je fenomen koji karakterizira bitno viša temperatura zraka u urbanom području u odnosu na okolno ruralno područje. </w:t>
            </w:r>
          </w:p>
          <w:p w14:paraId="7DFAA681" w14:textId="77777777" w:rsidR="00B27FC4" w:rsidRPr="00887BFC" w:rsidRDefault="00B27FC4">
            <w:pPr>
              <w:autoSpaceDE w:val="0"/>
              <w:autoSpaceDN w:val="0"/>
              <w:adjustRightInd w:val="0"/>
            </w:pPr>
            <w:r w:rsidRPr="00887BFC">
              <w:t>Efekti vezani uz razvoj UHI-a predstavljaju jedan od najznačajnijih ekoloških problema u gradovima jer su povezani s višestrukim negativnim posljedicama, kao što je prekomjerno zagrijavanje podloge, nepovoljni klimatski uvjeti kojima su izloženi građani, povećan zdravstveni rizik zbog visokih temperatura, povećane potrebe za vodom, povećana potrošnja energije itd. S obzirom na to da gradska populacija intenzivno raste, javljaju se dvije značajne posljedice koje treba uzeti u obzir. Prvo, gradovi postaju sve veći i time se pojačava njihov utjecaj na urbanu klimu. Drugo, s rastom gradskog stanovništva povećava se i broj ljudi koji je izložen negativnim učincima UHI-a.</w:t>
            </w:r>
          </w:p>
          <w:p w14:paraId="16D443A3" w14:textId="13D2AC49" w:rsidR="00BF0308" w:rsidRDefault="00BF0308">
            <w:pPr>
              <w:autoSpaceDE w:val="0"/>
              <w:autoSpaceDN w:val="0"/>
              <w:adjustRightInd w:val="0"/>
            </w:pPr>
            <w:r w:rsidRPr="00291DF5">
              <w:t>Cilj mjere je odrediti kritična područja toplinskih otoka</w:t>
            </w:r>
            <w:r w:rsidR="000509A0">
              <w:t xml:space="preserve"> i </w:t>
            </w:r>
            <w:r w:rsidRPr="00291DF5">
              <w:t>planirati primjenu zelene infrastrukture kako bi se ublažio efekt toplinskog otoka.</w:t>
            </w:r>
          </w:p>
          <w:p w14:paraId="68338B05" w14:textId="753EAD49" w:rsidR="00BF0308" w:rsidRPr="005808FC" w:rsidRDefault="00BF0308">
            <w:pPr>
              <w:autoSpaceDE w:val="0"/>
              <w:autoSpaceDN w:val="0"/>
              <w:adjustRightInd w:val="0"/>
              <w:rPr>
                <w:rFonts w:eastAsia="Calibri"/>
              </w:rPr>
            </w:pPr>
            <w:r w:rsidRPr="00291DF5">
              <w:t>U prvoj fazi potrebno je izraditi analizu kojoj je cilj utvrditi područja grada s najizraženijim efektom toplinski</w:t>
            </w:r>
            <w:r w:rsidRPr="005808FC">
              <w:t>h otoka, trenutno, te modelirati područja koja će u budućnosti biti najosjetljivija s obzirom na očekivane promjene klimatskih parametara. U sljedećem koraku potrebno je, ovisno o dobivenim rezultatima analize pristupiti izradi studije izvodljivosti</w:t>
            </w:r>
            <w:r w:rsidR="000509A0">
              <w:t xml:space="preserve"> i </w:t>
            </w:r>
            <w:r w:rsidRPr="00291DF5">
              <w:t>analize troškova</w:t>
            </w:r>
            <w:r w:rsidR="000509A0">
              <w:t xml:space="preserve"> i </w:t>
            </w:r>
            <w:r w:rsidRPr="00291DF5">
              <w:t>koristi za primjenu zelene infrastrukture u svrhu smanjenja učinka toplinskih otoka.  Studija treba biti sveobuhvatna</w:t>
            </w:r>
            <w:r w:rsidR="000509A0">
              <w:t xml:space="preserve"> i </w:t>
            </w:r>
            <w:r w:rsidRPr="00291DF5">
              <w:t>mora rezultirati konkretnim rješenjima u smislu izgradnje zelene infrastrukture, tipa infrastrukture</w:t>
            </w:r>
            <w:r w:rsidR="000509A0">
              <w:t xml:space="preserve"> i </w:t>
            </w:r>
            <w:r w:rsidRPr="00291DF5">
              <w:t xml:space="preserve">načina njena održavanja. </w:t>
            </w:r>
          </w:p>
        </w:tc>
      </w:tr>
    </w:tbl>
    <w:p w14:paraId="0AA0EBA4" w14:textId="77777777" w:rsidR="00BF0308" w:rsidRPr="003D373D" w:rsidRDefault="00BF0308" w:rsidP="00BF0308">
      <w:pPr>
        <w:pStyle w:val="ListParagraph"/>
        <w:spacing w:before="120"/>
        <w:ind w:left="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BF0308" w:rsidRPr="003D373D" w14:paraId="63452DBA" w14:textId="77777777" w:rsidTr="005808FC">
        <w:trPr>
          <w:trHeight w:val="227"/>
        </w:trPr>
        <w:tc>
          <w:tcPr>
            <w:tcW w:w="3325" w:type="dxa"/>
            <w:shd w:val="clear" w:color="auto" w:fill="C6D9F1" w:themeFill="text2" w:themeFillTint="33"/>
          </w:tcPr>
          <w:p w14:paraId="5A7CAE5F" w14:textId="77777777" w:rsidR="00BF0308" w:rsidRPr="005808FC" w:rsidRDefault="00BF0308">
            <w:pPr>
              <w:rPr>
                <w:b/>
                <w:bCs/>
              </w:rPr>
            </w:pPr>
            <w:r w:rsidRPr="00291DF5">
              <w:rPr>
                <w:b/>
                <w:bCs/>
              </w:rPr>
              <w:t>Redni broj mjere</w:t>
            </w:r>
          </w:p>
        </w:tc>
        <w:tc>
          <w:tcPr>
            <w:tcW w:w="5691" w:type="dxa"/>
            <w:shd w:val="clear" w:color="auto" w:fill="C6D9F1" w:themeFill="text2" w:themeFillTint="33"/>
          </w:tcPr>
          <w:p w14:paraId="7C3A4A66" w14:textId="77777777" w:rsidR="00BF0308" w:rsidRPr="005808FC" w:rsidRDefault="00BF0308">
            <w:pPr>
              <w:rPr>
                <w:rFonts w:eastAsia="Calibri"/>
                <w:b/>
                <w:bCs/>
              </w:rPr>
            </w:pPr>
            <w:r w:rsidRPr="00291DF5">
              <w:rPr>
                <w:rFonts w:eastAsia="Calibri"/>
                <w:b/>
                <w:bCs/>
              </w:rPr>
              <w:t>23</w:t>
            </w:r>
          </w:p>
        </w:tc>
      </w:tr>
      <w:tr w:rsidR="00BF0308" w:rsidRPr="003D373D" w14:paraId="7C8EFABA" w14:textId="77777777" w:rsidTr="005808FC">
        <w:trPr>
          <w:trHeight w:val="818"/>
        </w:trPr>
        <w:tc>
          <w:tcPr>
            <w:tcW w:w="3325" w:type="dxa"/>
            <w:shd w:val="clear" w:color="auto" w:fill="C6D9F1" w:themeFill="text2" w:themeFillTint="33"/>
          </w:tcPr>
          <w:p w14:paraId="6FF83061" w14:textId="77777777" w:rsidR="00BF0308" w:rsidRPr="005808FC" w:rsidRDefault="00BF0308">
            <w:pPr>
              <w:rPr>
                <w:b/>
                <w:bCs/>
              </w:rPr>
            </w:pPr>
            <w:r w:rsidRPr="00291DF5">
              <w:rPr>
                <w:b/>
                <w:bCs/>
              </w:rPr>
              <w:br w:type="page"/>
              <w:t>Ime mjere/aktivnost</w:t>
            </w:r>
          </w:p>
        </w:tc>
        <w:tc>
          <w:tcPr>
            <w:tcW w:w="5691" w:type="dxa"/>
            <w:shd w:val="clear" w:color="auto" w:fill="C6D9F1" w:themeFill="text2" w:themeFillTint="33"/>
          </w:tcPr>
          <w:p w14:paraId="1F64E417" w14:textId="008ABC8A" w:rsidR="00BF0308" w:rsidRPr="005808FC" w:rsidRDefault="00BF0308">
            <w:pPr>
              <w:autoSpaceDE w:val="0"/>
              <w:autoSpaceDN w:val="0"/>
              <w:adjustRightInd w:val="0"/>
              <w:rPr>
                <w:rFonts w:eastAsia="Calibri"/>
                <w:b/>
                <w:bCs/>
              </w:rPr>
            </w:pPr>
            <w:r w:rsidRPr="00291DF5">
              <w:rPr>
                <w:rFonts w:eastAsia="Calibri"/>
                <w:b/>
                <w:bCs/>
              </w:rPr>
              <w:t>Provedba konkretnih mjera izgradnje zelene infrastrukture na kritičnim točkama</w:t>
            </w:r>
            <w:r w:rsidR="000509A0">
              <w:rPr>
                <w:rFonts w:eastAsia="Calibri"/>
                <w:b/>
                <w:bCs/>
              </w:rPr>
              <w:t xml:space="preserve"> i </w:t>
            </w:r>
            <w:r w:rsidRPr="00291DF5">
              <w:rPr>
                <w:rFonts w:eastAsia="Calibri"/>
                <w:b/>
                <w:bCs/>
              </w:rPr>
              <w:t>praćenje učinka</w:t>
            </w:r>
          </w:p>
        </w:tc>
      </w:tr>
      <w:tr w:rsidR="00BF0308" w:rsidRPr="003D373D" w14:paraId="7C5B6E7A" w14:textId="77777777" w:rsidTr="005808FC">
        <w:trPr>
          <w:trHeight w:val="227"/>
        </w:trPr>
        <w:tc>
          <w:tcPr>
            <w:tcW w:w="3325" w:type="dxa"/>
            <w:shd w:val="clear" w:color="auto" w:fill="F2DBDB" w:themeFill="accent2" w:themeFillTint="33"/>
          </w:tcPr>
          <w:p w14:paraId="1435B080" w14:textId="77777777" w:rsidR="00BF0308" w:rsidRPr="005808FC" w:rsidRDefault="00BF0308">
            <w:pPr>
              <w:rPr>
                <w:b/>
                <w:bCs/>
              </w:rPr>
            </w:pPr>
            <w:r w:rsidRPr="00291DF5">
              <w:rPr>
                <w:b/>
                <w:bCs/>
              </w:rPr>
              <w:t>Nositelj aktivnosti:</w:t>
            </w:r>
          </w:p>
        </w:tc>
        <w:tc>
          <w:tcPr>
            <w:tcW w:w="5691" w:type="dxa"/>
          </w:tcPr>
          <w:p w14:paraId="6AC0ECF3" w14:textId="656FA6B7" w:rsidR="00BF0308" w:rsidRDefault="00BF0308"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20C9E4CE" w14:textId="77F0207F" w:rsidR="00BF0308" w:rsidRPr="003D373D" w:rsidRDefault="00BF0308" w:rsidP="005808FC">
            <w:pPr>
              <w:numPr>
                <w:ilvl w:val="0"/>
                <w:numId w:val="9"/>
              </w:numPr>
              <w:spacing w:after="0"/>
              <w:ind w:left="496"/>
              <w:jc w:val="left"/>
            </w:pPr>
            <w:r w:rsidRPr="00291DF5">
              <w:t>Zagrebački holding, podružnica Zrinjevac</w:t>
            </w:r>
          </w:p>
        </w:tc>
      </w:tr>
      <w:tr w:rsidR="00BF0308" w:rsidRPr="003D373D" w14:paraId="7815257D" w14:textId="77777777" w:rsidTr="005808FC">
        <w:trPr>
          <w:trHeight w:val="227"/>
        </w:trPr>
        <w:tc>
          <w:tcPr>
            <w:tcW w:w="3325" w:type="dxa"/>
            <w:shd w:val="clear" w:color="auto" w:fill="F2DBDB" w:themeFill="accent2" w:themeFillTint="33"/>
          </w:tcPr>
          <w:p w14:paraId="5AAA2EA3" w14:textId="77777777" w:rsidR="00BF0308" w:rsidRPr="005808FC" w:rsidRDefault="00BF0308">
            <w:pPr>
              <w:rPr>
                <w:b/>
                <w:bCs/>
              </w:rPr>
            </w:pPr>
            <w:r w:rsidRPr="00291DF5">
              <w:rPr>
                <w:b/>
                <w:bCs/>
              </w:rPr>
              <w:lastRenderedPageBreak/>
              <w:t>Partneri u provođenju aktivnosti:</w:t>
            </w:r>
          </w:p>
        </w:tc>
        <w:tc>
          <w:tcPr>
            <w:tcW w:w="5691" w:type="dxa"/>
          </w:tcPr>
          <w:p w14:paraId="4DCC07D8" w14:textId="77777777" w:rsidR="00BF0308" w:rsidRPr="003D373D" w:rsidRDefault="00BF0308" w:rsidP="005808FC">
            <w:pPr>
              <w:numPr>
                <w:ilvl w:val="0"/>
                <w:numId w:val="9"/>
              </w:numPr>
              <w:spacing w:after="0"/>
              <w:ind w:left="496"/>
              <w:jc w:val="left"/>
            </w:pPr>
            <w:r w:rsidRPr="00291DF5">
              <w:t>Gradski ured za zdravstvo</w:t>
            </w:r>
          </w:p>
          <w:p w14:paraId="2755C123" w14:textId="77777777" w:rsidR="00BF0308" w:rsidRPr="003D373D" w:rsidRDefault="00BF0308" w:rsidP="005808FC">
            <w:pPr>
              <w:numPr>
                <w:ilvl w:val="0"/>
                <w:numId w:val="9"/>
              </w:numPr>
              <w:spacing w:after="0"/>
              <w:ind w:left="496"/>
              <w:jc w:val="left"/>
            </w:pPr>
            <w:r w:rsidRPr="00291DF5">
              <w:t>Gradski ured za mjesnu samoupravu</w:t>
            </w:r>
          </w:p>
          <w:p w14:paraId="1FDF2320" w14:textId="075B973F" w:rsidR="00BF0308" w:rsidRDefault="00BF0308"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p w14:paraId="2FE7DD75" w14:textId="5FC605E1" w:rsidR="00532678" w:rsidRPr="003D373D" w:rsidRDefault="00532678" w:rsidP="005808FC">
            <w:pPr>
              <w:numPr>
                <w:ilvl w:val="0"/>
                <w:numId w:val="9"/>
              </w:numPr>
              <w:spacing w:after="0"/>
              <w:ind w:left="496"/>
              <w:jc w:val="left"/>
            </w:pPr>
            <w:r w:rsidRPr="00291DF5">
              <w:t>Gradski ured za prostorno uređenje, izgradnju Grada, graditeljstvo, komunalne poslove</w:t>
            </w:r>
            <w:r w:rsidR="000509A0">
              <w:t xml:space="preserve"> i </w:t>
            </w:r>
            <w:r w:rsidRPr="00291DF5">
              <w:t>promet</w:t>
            </w:r>
          </w:p>
          <w:p w14:paraId="69E7AE43" w14:textId="6D27AD37" w:rsidR="00BF0308" w:rsidRPr="003D373D" w:rsidDel="00436CBA" w:rsidRDefault="00BF0308" w:rsidP="005808FC">
            <w:pPr>
              <w:numPr>
                <w:ilvl w:val="0"/>
                <w:numId w:val="9"/>
              </w:numPr>
              <w:spacing w:after="0"/>
              <w:ind w:left="482" w:hanging="357"/>
              <w:jc w:val="left"/>
            </w:pPr>
            <w:r w:rsidRPr="00291DF5">
              <w:t>REGEA</w:t>
            </w:r>
          </w:p>
        </w:tc>
      </w:tr>
      <w:tr w:rsidR="00BF0308" w:rsidRPr="003D373D" w14:paraId="2AFCA2DD" w14:textId="77777777" w:rsidTr="005808FC">
        <w:trPr>
          <w:trHeight w:val="227"/>
        </w:trPr>
        <w:tc>
          <w:tcPr>
            <w:tcW w:w="3325" w:type="dxa"/>
            <w:shd w:val="clear" w:color="auto" w:fill="F2DBDB" w:themeFill="accent2" w:themeFillTint="33"/>
          </w:tcPr>
          <w:p w14:paraId="5E4C34DA" w14:textId="77777777" w:rsidR="00BF0308" w:rsidRPr="005808FC" w:rsidRDefault="00BF0308">
            <w:pPr>
              <w:rPr>
                <w:b/>
                <w:bCs/>
              </w:rPr>
            </w:pPr>
            <w:r w:rsidRPr="00291DF5">
              <w:rPr>
                <w:b/>
                <w:bCs/>
              </w:rPr>
              <w:t>Ostali uključeni dionici:</w:t>
            </w:r>
          </w:p>
        </w:tc>
        <w:tc>
          <w:tcPr>
            <w:tcW w:w="5691" w:type="dxa"/>
          </w:tcPr>
          <w:p w14:paraId="2C94868F" w14:textId="77777777" w:rsidR="00BF0308" w:rsidRPr="002E0E83" w:rsidRDefault="00BF0308" w:rsidP="005808FC">
            <w:pPr>
              <w:numPr>
                <w:ilvl w:val="0"/>
                <w:numId w:val="9"/>
              </w:numPr>
              <w:spacing w:after="0"/>
              <w:ind w:left="482" w:hanging="357"/>
              <w:jc w:val="left"/>
            </w:pPr>
            <w:r w:rsidRPr="00291DF5">
              <w:t>Sveučilište u Zagrebu (Agronomski fakultet, Građevinski fakultet, Šumarski fakultet, Prirodoslovno matematički fakultet)</w:t>
            </w:r>
          </w:p>
          <w:p w14:paraId="58FADCFC" w14:textId="77777777" w:rsidR="00BF0308" w:rsidRPr="003D373D" w:rsidRDefault="00BF0308" w:rsidP="005808FC">
            <w:pPr>
              <w:numPr>
                <w:ilvl w:val="0"/>
                <w:numId w:val="9"/>
              </w:numPr>
              <w:spacing w:after="0"/>
              <w:ind w:left="496"/>
              <w:jc w:val="left"/>
            </w:pPr>
            <w:r w:rsidRPr="00291DF5">
              <w:t>Nastavni zavod za javno zdravstvo Dr. Andrija Štampar</w:t>
            </w:r>
          </w:p>
        </w:tc>
      </w:tr>
      <w:tr w:rsidR="00BF0308" w:rsidRPr="003D373D" w14:paraId="3A64C77A" w14:textId="77777777" w:rsidTr="005808FC">
        <w:trPr>
          <w:trHeight w:val="227"/>
        </w:trPr>
        <w:tc>
          <w:tcPr>
            <w:tcW w:w="3325" w:type="dxa"/>
            <w:shd w:val="clear" w:color="auto" w:fill="F2DBDB" w:themeFill="accent2" w:themeFillTint="33"/>
          </w:tcPr>
          <w:p w14:paraId="3900C0AB" w14:textId="77777777" w:rsidR="00BF0308" w:rsidRPr="005808FC" w:rsidRDefault="00BF0308">
            <w:pPr>
              <w:rPr>
                <w:b/>
                <w:bCs/>
              </w:rPr>
            </w:pPr>
            <w:r w:rsidRPr="00291DF5">
              <w:rPr>
                <w:b/>
                <w:bCs/>
              </w:rPr>
              <w:t>Početak/kraj provedbe (godine)</w:t>
            </w:r>
          </w:p>
        </w:tc>
        <w:tc>
          <w:tcPr>
            <w:tcW w:w="5691" w:type="dxa"/>
          </w:tcPr>
          <w:p w14:paraId="6CEC256D" w14:textId="77777777" w:rsidR="00BF0308" w:rsidRPr="005808FC" w:rsidRDefault="00BF0308">
            <w:pPr>
              <w:rPr>
                <w:rFonts w:eastAsia="Calibri"/>
                <w:b/>
                <w:bCs/>
              </w:rPr>
            </w:pPr>
            <w:r w:rsidRPr="00291DF5">
              <w:rPr>
                <w:rFonts w:eastAsia="Calibri"/>
                <w:b/>
                <w:bCs/>
              </w:rPr>
              <w:t>2022- 2030</w:t>
            </w:r>
          </w:p>
        </w:tc>
      </w:tr>
      <w:tr w:rsidR="00BF0308" w:rsidRPr="003D373D" w14:paraId="4A1B176E" w14:textId="77777777" w:rsidTr="005808FC">
        <w:trPr>
          <w:trHeight w:val="227"/>
        </w:trPr>
        <w:tc>
          <w:tcPr>
            <w:tcW w:w="3325" w:type="dxa"/>
            <w:shd w:val="clear" w:color="auto" w:fill="F2DBDB" w:themeFill="accent2" w:themeFillTint="33"/>
          </w:tcPr>
          <w:p w14:paraId="474556FB" w14:textId="77777777" w:rsidR="00BF0308" w:rsidRPr="005808FC" w:rsidRDefault="00BF0308">
            <w:pPr>
              <w:rPr>
                <w:b/>
                <w:bCs/>
              </w:rPr>
            </w:pPr>
            <w:r w:rsidRPr="00291DF5">
              <w:rPr>
                <w:b/>
                <w:bCs/>
              </w:rPr>
              <w:t>Procjena troškova (jedinična ili ukupna po mjeri)</w:t>
            </w:r>
          </w:p>
        </w:tc>
        <w:tc>
          <w:tcPr>
            <w:tcW w:w="5691" w:type="dxa"/>
          </w:tcPr>
          <w:p w14:paraId="4A26B5D9" w14:textId="5C989F7F" w:rsidR="00BF0308" w:rsidRPr="005808FC" w:rsidRDefault="00532678">
            <w:pPr>
              <w:rPr>
                <w:rFonts w:eastAsia="Calibri"/>
              </w:rPr>
            </w:pPr>
            <w:r w:rsidRPr="00291DF5">
              <w:rPr>
                <w:rFonts w:eastAsia="Calibri"/>
                <w:b/>
                <w:bCs/>
              </w:rPr>
              <w:t>Troškovi će biti procijenjeni u sklopu mjere 22</w:t>
            </w:r>
            <w:r w:rsidR="000509A0">
              <w:rPr>
                <w:rFonts w:eastAsia="Calibri"/>
                <w:b/>
                <w:bCs/>
              </w:rPr>
              <w:t>.</w:t>
            </w:r>
          </w:p>
        </w:tc>
      </w:tr>
      <w:tr w:rsidR="00BF0308" w:rsidRPr="003D373D" w14:paraId="6E338D0C" w14:textId="77777777" w:rsidTr="005808FC">
        <w:trPr>
          <w:trHeight w:val="227"/>
        </w:trPr>
        <w:tc>
          <w:tcPr>
            <w:tcW w:w="3325" w:type="dxa"/>
            <w:shd w:val="clear" w:color="auto" w:fill="F2DBDB" w:themeFill="accent2" w:themeFillTint="33"/>
          </w:tcPr>
          <w:p w14:paraId="0C5EA963" w14:textId="77777777" w:rsidR="00BF0308" w:rsidRPr="005808FC" w:rsidRDefault="00BF0308">
            <w:pPr>
              <w:rPr>
                <w:b/>
                <w:bCs/>
              </w:rPr>
            </w:pPr>
            <w:r w:rsidRPr="00291DF5">
              <w:rPr>
                <w:b/>
                <w:bCs/>
              </w:rPr>
              <w:t>Izvor sredstava za provedbu</w:t>
            </w:r>
          </w:p>
        </w:tc>
        <w:tc>
          <w:tcPr>
            <w:tcW w:w="5691" w:type="dxa"/>
          </w:tcPr>
          <w:p w14:paraId="2694E6F3" w14:textId="77777777" w:rsidR="00BF0308" w:rsidRPr="003D373D" w:rsidRDefault="00BF0308" w:rsidP="005808FC">
            <w:pPr>
              <w:numPr>
                <w:ilvl w:val="0"/>
                <w:numId w:val="9"/>
              </w:numPr>
              <w:spacing w:after="0"/>
              <w:ind w:left="482" w:hanging="357"/>
              <w:jc w:val="left"/>
            </w:pPr>
            <w:r w:rsidRPr="00291DF5">
              <w:t>Proračun Grada Zagreba</w:t>
            </w:r>
          </w:p>
          <w:p w14:paraId="396CC3A8" w14:textId="77777777" w:rsidR="00BF0308" w:rsidRPr="003D373D" w:rsidRDefault="00BF0308" w:rsidP="005808FC">
            <w:pPr>
              <w:numPr>
                <w:ilvl w:val="0"/>
                <w:numId w:val="9"/>
              </w:numPr>
              <w:spacing w:after="0"/>
              <w:ind w:left="482" w:hanging="357"/>
              <w:jc w:val="left"/>
            </w:pPr>
            <w:r w:rsidRPr="00291DF5">
              <w:t>Sredstva Zagrebačkog holdinga</w:t>
            </w:r>
          </w:p>
          <w:p w14:paraId="1C9AD388" w14:textId="77777777" w:rsidR="00BF0308" w:rsidRPr="003D373D" w:rsidRDefault="00BF0308" w:rsidP="005808FC">
            <w:pPr>
              <w:numPr>
                <w:ilvl w:val="0"/>
                <w:numId w:val="9"/>
              </w:numPr>
              <w:spacing w:after="0"/>
              <w:ind w:left="482" w:hanging="357"/>
              <w:jc w:val="left"/>
            </w:pPr>
            <w:r w:rsidRPr="00291DF5">
              <w:t>FZOEU</w:t>
            </w:r>
          </w:p>
          <w:p w14:paraId="7AB1D787" w14:textId="77777777" w:rsidR="00BF0308" w:rsidRPr="003D373D" w:rsidRDefault="00BF0308" w:rsidP="005808FC">
            <w:pPr>
              <w:numPr>
                <w:ilvl w:val="0"/>
                <w:numId w:val="9"/>
              </w:numPr>
              <w:spacing w:after="0"/>
              <w:ind w:left="482" w:hanging="357"/>
              <w:jc w:val="left"/>
            </w:pPr>
            <w:r w:rsidRPr="00291DF5">
              <w:t xml:space="preserve">Programi EU </w:t>
            </w:r>
          </w:p>
          <w:p w14:paraId="13A64F0E" w14:textId="448F4B0B" w:rsidR="00BF0308" w:rsidRPr="003D373D" w:rsidRDefault="00C42B1B" w:rsidP="00C42B1B">
            <w:pPr>
              <w:numPr>
                <w:ilvl w:val="0"/>
                <w:numId w:val="9"/>
              </w:numPr>
              <w:spacing w:after="0"/>
              <w:ind w:left="482" w:hanging="357"/>
              <w:jc w:val="left"/>
            </w:pPr>
            <w:r>
              <w:t>Europski strukturni i investicijski fondovi</w:t>
            </w:r>
          </w:p>
        </w:tc>
      </w:tr>
      <w:tr w:rsidR="00BF0308" w:rsidRPr="003D373D" w14:paraId="6E355DA6" w14:textId="77777777" w:rsidTr="005808FC">
        <w:trPr>
          <w:trHeight w:val="1970"/>
        </w:trPr>
        <w:tc>
          <w:tcPr>
            <w:tcW w:w="3325" w:type="dxa"/>
            <w:shd w:val="clear" w:color="auto" w:fill="F2DBDB" w:themeFill="accent2" w:themeFillTint="33"/>
          </w:tcPr>
          <w:p w14:paraId="4AB6F1B5" w14:textId="77777777" w:rsidR="00BF0308" w:rsidRPr="005808FC" w:rsidRDefault="00BF0308">
            <w:pPr>
              <w:rPr>
                <w:b/>
                <w:bCs/>
              </w:rPr>
            </w:pPr>
            <w:r w:rsidRPr="00291DF5">
              <w:rPr>
                <w:b/>
                <w:bCs/>
              </w:rPr>
              <w:t>Kratki opis/komentar</w:t>
            </w:r>
          </w:p>
        </w:tc>
        <w:tc>
          <w:tcPr>
            <w:tcW w:w="5691" w:type="dxa"/>
          </w:tcPr>
          <w:p w14:paraId="67637967" w14:textId="0D8165BB" w:rsidR="00BF0308" w:rsidRPr="005808FC" w:rsidRDefault="00BF0308">
            <w:pPr>
              <w:autoSpaceDE w:val="0"/>
              <w:autoSpaceDN w:val="0"/>
              <w:adjustRightInd w:val="0"/>
              <w:rPr>
                <w:rFonts w:eastAsia="Calibri"/>
              </w:rPr>
            </w:pPr>
            <w:r w:rsidRPr="00291DF5">
              <w:t xml:space="preserve">Cilj mjere je uspostaviti zelenu infrastrukturu na područjima </w:t>
            </w:r>
            <w:r w:rsidR="00532678" w:rsidRPr="005808FC">
              <w:t xml:space="preserve">urbanih </w:t>
            </w:r>
            <w:r w:rsidRPr="005808FC">
              <w:t>toplinskih otoka, kako bi se ublažio njihov učinak. Odabrana vegetacija bi trebala imati, uz adaptivni učinak,</w:t>
            </w:r>
            <w:r w:rsidR="000509A0">
              <w:t xml:space="preserve"> i </w:t>
            </w:r>
            <w:r w:rsidRPr="00291DF5">
              <w:t>visoku otpornost na klimatske promjene. Potrebno je kontinuirano pratiti stanje zelene infrastrukture</w:t>
            </w:r>
            <w:r w:rsidR="000509A0">
              <w:t xml:space="preserve"> i </w:t>
            </w:r>
            <w:r w:rsidRPr="00291DF5">
              <w:t>mjeriti učinke</w:t>
            </w:r>
            <w:r w:rsidRPr="005808FC">
              <w:t xml:space="preserve"> te po potrebi reagirati</w:t>
            </w:r>
            <w:r w:rsidR="000509A0">
              <w:t xml:space="preserve"> i </w:t>
            </w:r>
            <w:r w:rsidRPr="00291DF5">
              <w:t>modulirati primjenu.</w:t>
            </w:r>
            <w:r w:rsidRPr="005808FC">
              <w:rPr>
                <w:lang w:val="it-IT"/>
              </w:rPr>
              <w:t xml:space="preserve"> </w:t>
            </w:r>
          </w:p>
        </w:tc>
      </w:tr>
    </w:tbl>
    <w:p w14:paraId="3E80D18E" w14:textId="77777777" w:rsidR="00532678" w:rsidRPr="005808FC" w:rsidRDefault="00532678" w:rsidP="005808FC">
      <w:pPr>
        <w:spacing w:before="120"/>
        <w:rPr>
          <w:rFonts w:cstheme="minorHAnsi"/>
          <w:b/>
        </w:rPr>
      </w:pPr>
    </w:p>
    <w:p w14:paraId="058ACC95" w14:textId="3088DD42" w:rsidR="00AE5E1A" w:rsidRPr="00400884" w:rsidRDefault="00AE5E1A" w:rsidP="00400884">
      <w:pPr>
        <w:pStyle w:val="Heading2"/>
        <w:rPr>
          <w:rStyle w:val="Heading2Char"/>
          <w:b/>
          <w:bCs/>
        </w:rPr>
      </w:pPr>
      <w:bookmarkStart w:id="259" w:name="_Toc523743008"/>
      <w:bookmarkStart w:id="260" w:name="_Toc523743038"/>
      <w:bookmarkStart w:id="261" w:name="_Toc523743073"/>
      <w:bookmarkStart w:id="262" w:name="_Toc523743074"/>
      <w:bookmarkStart w:id="263" w:name="_Toc523743105"/>
      <w:bookmarkStart w:id="264" w:name="_Toc4156113"/>
      <w:bookmarkEnd w:id="259"/>
      <w:bookmarkEnd w:id="260"/>
      <w:bookmarkEnd w:id="261"/>
      <w:bookmarkEnd w:id="262"/>
      <w:bookmarkEnd w:id="263"/>
      <w:r w:rsidRPr="00400884">
        <w:rPr>
          <w:rStyle w:val="Heading2Char"/>
          <w:b/>
          <w:bCs/>
        </w:rPr>
        <w:t>Okoliš</w:t>
      </w:r>
      <w:r w:rsidR="000509A0">
        <w:rPr>
          <w:rStyle w:val="Heading2Char"/>
          <w:b/>
          <w:bCs/>
        </w:rPr>
        <w:t xml:space="preserve"> i </w:t>
      </w:r>
      <w:r w:rsidRPr="00400884">
        <w:rPr>
          <w:rStyle w:val="Heading2Char"/>
          <w:b/>
          <w:bCs/>
        </w:rPr>
        <w:t>bioraznolikost</w:t>
      </w:r>
      <w:bookmarkEnd w:id="264"/>
    </w:p>
    <w:p w14:paraId="26C085CA" w14:textId="44894FBF" w:rsidR="003758FA" w:rsidRDefault="005C1A61" w:rsidP="005808FC">
      <w:pPr>
        <w:spacing w:before="120"/>
      </w:pPr>
      <w:r w:rsidRPr="00291DF5">
        <w:t>Okoliš</w:t>
      </w:r>
      <w:r w:rsidR="000509A0">
        <w:t xml:space="preserve"> i </w:t>
      </w:r>
      <w:r w:rsidRPr="00291DF5">
        <w:t>bioraznolikost predstavljaju važnu imovinu temeljem koje lokalna zajednica razvija turizam</w:t>
      </w:r>
      <w:r w:rsidR="000509A0">
        <w:t xml:space="preserve"> i </w:t>
      </w:r>
      <w:r w:rsidRPr="00291DF5">
        <w:t xml:space="preserve">preduvjete ugodnog života za svoje građane. Bioraznolikost </w:t>
      </w:r>
      <w:r w:rsidR="00E23C97" w:rsidRPr="005808FC">
        <w:t>je pojam koji objedinjuje</w:t>
      </w:r>
      <w:r w:rsidRPr="005808FC">
        <w:t xml:space="preserve"> biljne</w:t>
      </w:r>
      <w:r w:rsidR="000509A0">
        <w:t xml:space="preserve"> i </w:t>
      </w:r>
      <w:r w:rsidRPr="00291DF5">
        <w:t>životinjske vrste</w:t>
      </w:r>
      <w:r w:rsidR="00E23C97" w:rsidRPr="005808FC">
        <w:t xml:space="preserve"> prisutne na određenom staništu</w:t>
      </w:r>
      <w:r w:rsidRPr="005808FC">
        <w:t xml:space="preserve">, a posebno je ugrožena </w:t>
      </w:r>
      <w:r w:rsidR="00E23C97" w:rsidRPr="005808FC">
        <w:t>uslijed</w:t>
      </w:r>
      <w:r w:rsidRPr="005808FC">
        <w:t xml:space="preserve"> utjecaja klimatskih promjena. </w:t>
      </w:r>
      <w:r w:rsidR="00E23C97" w:rsidRPr="005808FC">
        <w:t>Važnost bioraznolikosti očituje se</w:t>
      </w:r>
      <w:r w:rsidR="000509A0">
        <w:t xml:space="preserve"> i </w:t>
      </w:r>
      <w:r w:rsidR="00E23C97" w:rsidRPr="00291DF5">
        <w:t xml:space="preserve">u utjecajima na poljoprivredu. </w:t>
      </w:r>
    </w:p>
    <w:p w14:paraId="03B42E7F" w14:textId="7CE65690" w:rsidR="00E23C97" w:rsidRDefault="00E23C97" w:rsidP="005808FC">
      <w:pPr>
        <w:spacing w:before="120"/>
      </w:pPr>
      <w:r w:rsidRPr="00291DF5">
        <w:t>Rizici se mogu podijeliti u sljedeće grupe:</w:t>
      </w:r>
    </w:p>
    <w:p w14:paraId="2C9769C2" w14:textId="77777777" w:rsidR="003758FA" w:rsidRPr="00FF4F06" w:rsidRDefault="003758FA" w:rsidP="002E3C28">
      <w:pPr>
        <w:pStyle w:val="ListParagraph"/>
        <w:numPr>
          <w:ilvl w:val="0"/>
          <w:numId w:val="80"/>
        </w:numPr>
        <w:rPr>
          <w:lang w:eastAsia="hr-HR"/>
        </w:rPr>
      </w:pPr>
      <w:r w:rsidRPr="00FF4F06">
        <w:rPr>
          <w:lang w:eastAsia="hr-HR"/>
        </w:rPr>
        <w:t>Nestanak areala</w:t>
      </w:r>
    </w:p>
    <w:p w14:paraId="47C10746" w14:textId="77777777" w:rsidR="003758FA" w:rsidRPr="00FF4F06" w:rsidRDefault="003758FA" w:rsidP="002E3C28">
      <w:pPr>
        <w:pStyle w:val="ListParagraph"/>
        <w:numPr>
          <w:ilvl w:val="0"/>
          <w:numId w:val="80"/>
        </w:numPr>
        <w:rPr>
          <w:lang w:eastAsia="hr-HR"/>
        </w:rPr>
      </w:pPr>
      <w:r w:rsidRPr="00FF4F06">
        <w:rPr>
          <w:lang w:eastAsia="hr-HR"/>
        </w:rPr>
        <w:t>Povećanje udjela invazivnih vrsta</w:t>
      </w:r>
    </w:p>
    <w:p w14:paraId="5340F36D" w14:textId="62C52E2C" w:rsidR="003758FA" w:rsidRPr="00FF4F06" w:rsidRDefault="003758FA" w:rsidP="002E3C28">
      <w:pPr>
        <w:pStyle w:val="ListParagraph"/>
        <w:numPr>
          <w:ilvl w:val="0"/>
          <w:numId w:val="80"/>
        </w:numPr>
        <w:rPr>
          <w:lang w:eastAsia="hr-HR"/>
        </w:rPr>
      </w:pPr>
      <w:r w:rsidRPr="00FF4F06">
        <w:rPr>
          <w:lang w:eastAsia="hr-HR"/>
        </w:rPr>
        <w:t>Nestanak/izumiranje autohtonih biljnih</w:t>
      </w:r>
      <w:r w:rsidR="000509A0">
        <w:rPr>
          <w:lang w:eastAsia="hr-HR"/>
        </w:rPr>
        <w:t xml:space="preserve"> i </w:t>
      </w:r>
      <w:r w:rsidRPr="00FF4F06">
        <w:rPr>
          <w:lang w:eastAsia="hr-HR"/>
        </w:rPr>
        <w:t>životinjskih vrsta</w:t>
      </w:r>
    </w:p>
    <w:p w14:paraId="7DC7851F" w14:textId="77777777" w:rsidR="003758FA" w:rsidRPr="00FF4F06" w:rsidRDefault="003758FA" w:rsidP="002E3C28">
      <w:pPr>
        <w:pStyle w:val="ListParagraph"/>
        <w:numPr>
          <w:ilvl w:val="0"/>
          <w:numId w:val="80"/>
        </w:numPr>
        <w:rPr>
          <w:lang w:eastAsia="hr-HR"/>
        </w:rPr>
      </w:pPr>
      <w:r w:rsidRPr="00FF4F06">
        <w:rPr>
          <w:lang w:eastAsia="hr-HR"/>
        </w:rPr>
        <w:t>Promjena omjera stanišnih tipova</w:t>
      </w:r>
    </w:p>
    <w:p w14:paraId="274C1391" w14:textId="6A4ADF02" w:rsidR="003758FA" w:rsidRPr="00D065D7" w:rsidRDefault="003758FA" w:rsidP="002E3C28">
      <w:pPr>
        <w:pStyle w:val="ListParagraph"/>
        <w:numPr>
          <w:ilvl w:val="0"/>
          <w:numId w:val="80"/>
        </w:numPr>
      </w:pPr>
      <w:r w:rsidRPr="00FF4F06">
        <w:rPr>
          <w:lang w:eastAsia="hr-HR"/>
        </w:rPr>
        <w:t>Nestanak određenih stanišnih tipova</w:t>
      </w:r>
    </w:p>
    <w:p w14:paraId="323863F3" w14:textId="77777777" w:rsidR="00532678" w:rsidRPr="003D373D" w:rsidRDefault="00532678" w:rsidP="00532678">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532678" w:rsidRPr="003D373D" w14:paraId="3E588508" w14:textId="77777777" w:rsidTr="005808FC">
        <w:trPr>
          <w:trHeight w:val="227"/>
        </w:trPr>
        <w:tc>
          <w:tcPr>
            <w:tcW w:w="3325" w:type="dxa"/>
            <w:shd w:val="clear" w:color="auto" w:fill="C6D9F1" w:themeFill="text2" w:themeFillTint="33"/>
          </w:tcPr>
          <w:p w14:paraId="385F2F0E" w14:textId="77777777" w:rsidR="00532678" w:rsidRPr="005808FC" w:rsidRDefault="00532678">
            <w:pPr>
              <w:rPr>
                <w:b/>
                <w:bCs/>
              </w:rPr>
            </w:pPr>
            <w:r w:rsidRPr="00291DF5">
              <w:rPr>
                <w:b/>
                <w:bCs/>
              </w:rPr>
              <w:lastRenderedPageBreak/>
              <w:t>Redni broj mjere</w:t>
            </w:r>
          </w:p>
        </w:tc>
        <w:tc>
          <w:tcPr>
            <w:tcW w:w="5691" w:type="dxa"/>
            <w:shd w:val="clear" w:color="auto" w:fill="C6D9F1" w:themeFill="text2" w:themeFillTint="33"/>
          </w:tcPr>
          <w:p w14:paraId="369CF465" w14:textId="77777777" w:rsidR="00532678" w:rsidRPr="005808FC" w:rsidRDefault="00532678">
            <w:pPr>
              <w:rPr>
                <w:rFonts w:eastAsia="Calibri"/>
                <w:b/>
                <w:bCs/>
              </w:rPr>
            </w:pPr>
            <w:r w:rsidRPr="00291DF5">
              <w:rPr>
                <w:rFonts w:eastAsia="Calibri"/>
                <w:b/>
                <w:bCs/>
              </w:rPr>
              <w:t>24</w:t>
            </w:r>
          </w:p>
        </w:tc>
      </w:tr>
      <w:tr w:rsidR="00532678" w:rsidRPr="003D373D" w14:paraId="4103A3D7" w14:textId="77777777" w:rsidTr="005808FC">
        <w:trPr>
          <w:trHeight w:val="818"/>
        </w:trPr>
        <w:tc>
          <w:tcPr>
            <w:tcW w:w="3325" w:type="dxa"/>
            <w:shd w:val="clear" w:color="auto" w:fill="C6D9F1" w:themeFill="text2" w:themeFillTint="33"/>
          </w:tcPr>
          <w:p w14:paraId="64F4628A" w14:textId="77777777" w:rsidR="00532678" w:rsidRPr="005808FC" w:rsidRDefault="00532678">
            <w:pPr>
              <w:rPr>
                <w:b/>
                <w:bCs/>
              </w:rPr>
            </w:pPr>
            <w:r w:rsidRPr="00291DF5">
              <w:rPr>
                <w:b/>
                <w:bCs/>
              </w:rPr>
              <w:br w:type="page"/>
              <w:t>Ime mjere/aktivnost</w:t>
            </w:r>
          </w:p>
        </w:tc>
        <w:tc>
          <w:tcPr>
            <w:tcW w:w="5691" w:type="dxa"/>
            <w:shd w:val="clear" w:color="auto" w:fill="C6D9F1" w:themeFill="text2" w:themeFillTint="33"/>
          </w:tcPr>
          <w:p w14:paraId="0E7531C9" w14:textId="48B7D992" w:rsidR="00532678" w:rsidRPr="005808FC" w:rsidRDefault="00532678">
            <w:pPr>
              <w:autoSpaceDE w:val="0"/>
              <w:autoSpaceDN w:val="0"/>
              <w:adjustRightInd w:val="0"/>
              <w:rPr>
                <w:rFonts w:eastAsia="Calibri"/>
                <w:b/>
                <w:bCs/>
              </w:rPr>
            </w:pPr>
            <w:r w:rsidRPr="00291DF5">
              <w:rPr>
                <w:rFonts w:eastAsia="Calibri"/>
                <w:b/>
                <w:bCs/>
              </w:rPr>
              <w:t>Analiza mogućnosti</w:t>
            </w:r>
            <w:r w:rsidR="000509A0">
              <w:rPr>
                <w:rFonts w:eastAsia="Calibri"/>
                <w:b/>
                <w:bCs/>
              </w:rPr>
              <w:t xml:space="preserve"> i </w:t>
            </w:r>
            <w:r w:rsidRPr="00291DF5">
              <w:rPr>
                <w:rFonts w:eastAsia="Calibri"/>
                <w:b/>
                <w:bCs/>
              </w:rPr>
              <w:t>izrada plana povećanje udjela zelenih površina</w:t>
            </w:r>
            <w:r w:rsidR="000509A0">
              <w:rPr>
                <w:rFonts w:eastAsia="Calibri"/>
                <w:b/>
                <w:bCs/>
              </w:rPr>
              <w:t xml:space="preserve"> i </w:t>
            </w:r>
            <w:r w:rsidRPr="00291DF5">
              <w:rPr>
                <w:rFonts w:eastAsia="Calibri"/>
                <w:b/>
                <w:bCs/>
              </w:rPr>
              <w:t>zelenih koridora (aspekt staništa)</w:t>
            </w:r>
          </w:p>
        </w:tc>
      </w:tr>
      <w:tr w:rsidR="00532678" w:rsidRPr="003D373D" w14:paraId="414669C9" w14:textId="77777777" w:rsidTr="005808FC">
        <w:trPr>
          <w:trHeight w:val="683"/>
        </w:trPr>
        <w:tc>
          <w:tcPr>
            <w:tcW w:w="3325" w:type="dxa"/>
            <w:shd w:val="clear" w:color="auto" w:fill="F2DBDB" w:themeFill="accent2" w:themeFillTint="33"/>
          </w:tcPr>
          <w:p w14:paraId="43B1554F" w14:textId="77777777" w:rsidR="00532678" w:rsidRPr="005808FC" w:rsidRDefault="00532678">
            <w:pPr>
              <w:rPr>
                <w:b/>
                <w:bCs/>
              </w:rPr>
            </w:pPr>
            <w:r w:rsidRPr="00291DF5">
              <w:rPr>
                <w:b/>
                <w:bCs/>
              </w:rPr>
              <w:t>Nositelj aktivnosti:</w:t>
            </w:r>
          </w:p>
        </w:tc>
        <w:tc>
          <w:tcPr>
            <w:tcW w:w="5691" w:type="dxa"/>
          </w:tcPr>
          <w:p w14:paraId="18D1BCD8" w14:textId="50228E01" w:rsidR="00532678" w:rsidRPr="003D373D" w:rsidRDefault="00532678" w:rsidP="005808FC">
            <w:pPr>
              <w:numPr>
                <w:ilvl w:val="0"/>
                <w:numId w:val="9"/>
              </w:numPr>
              <w:spacing w:after="0"/>
              <w:ind w:left="482" w:hanging="357"/>
              <w:jc w:val="left"/>
            </w:pPr>
            <w:r w:rsidRPr="00291DF5">
              <w:t>Gradski zavod za zaštitu spomenika kulture</w:t>
            </w:r>
            <w:r w:rsidR="000509A0">
              <w:t xml:space="preserve"> i </w:t>
            </w:r>
            <w:r w:rsidRPr="00291DF5">
              <w:t xml:space="preserve">prirode </w:t>
            </w:r>
          </w:p>
        </w:tc>
      </w:tr>
      <w:tr w:rsidR="00532678" w:rsidRPr="003D373D" w14:paraId="7417F142" w14:textId="77777777" w:rsidTr="005808FC">
        <w:trPr>
          <w:trHeight w:val="227"/>
        </w:trPr>
        <w:tc>
          <w:tcPr>
            <w:tcW w:w="3325" w:type="dxa"/>
            <w:shd w:val="clear" w:color="auto" w:fill="F2DBDB" w:themeFill="accent2" w:themeFillTint="33"/>
          </w:tcPr>
          <w:p w14:paraId="45550A27" w14:textId="77777777" w:rsidR="00532678" w:rsidRPr="005808FC" w:rsidRDefault="00532678">
            <w:pPr>
              <w:rPr>
                <w:b/>
                <w:bCs/>
              </w:rPr>
            </w:pPr>
            <w:r w:rsidRPr="00291DF5">
              <w:rPr>
                <w:b/>
                <w:bCs/>
              </w:rPr>
              <w:t>Partneri u provođenju aktivnosti:</w:t>
            </w:r>
          </w:p>
        </w:tc>
        <w:tc>
          <w:tcPr>
            <w:tcW w:w="5691" w:type="dxa"/>
          </w:tcPr>
          <w:p w14:paraId="69F9D71C" w14:textId="541B9598" w:rsidR="002C4475" w:rsidRDefault="00532678" w:rsidP="005808FC">
            <w:pPr>
              <w:numPr>
                <w:ilvl w:val="0"/>
                <w:numId w:val="9"/>
              </w:numPr>
              <w:spacing w:after="0"/>
              <w:ind w:left="482" w:hanging="357"/>
              <w:jc w:val="left"/>
            </w:pPr>
            <w:r w:rsidRPr="00291DF5">
              <w:t>Gradski ured za poljoprivredu</w:t>
            </w:r>
            <w:r w:rsidR="000509A0">
              <w:t xml:space="preserve"> i </w:t>
            </w:r>
            <w:r w:rsidRPr="00291DF5">
              <w:t>šumarstvo</w:t>
            </w:r>
          </w:p>
          <w:p w14:paraId="6A73549B" w14:textId="44ED9855" w:rsidR="00532678" w:rsidRPr="003D373D" w:rsidRDefault="00532678" w:rsidP="005808FC">
            <w:pPr>
              <w:numPr>
                <w:ilvl w:val="0"/>
                <w:numId w:val="9"/>
              </w:numPr>
              <w:spacing w:after="0"/>
              <w:ind w:left="482" w:hanging="357"/>
              <w:jc w:val="left"/>
            </w:pPr>
            <w:r w:rsidRPr="00291DF5">
              <w:t>Zavod za prostorno planiranje Grada Zagreba</w:t>
            </w:r>
          </w:p>
          <w:p w14:paraId="6581A15D" w14:textId="77777777" w:rsidR="00532678" w:rsidRPr="00656488" w:rsidRDefault="00532678" w:rsidP="005808FC">
            <w:pPr>
              <w:numPr>
                <w:ilvl w:val="0"/>
                <w:numId w:val="9"/>
              </w:numPr>
              <w:spacing w:after="0"/>
              <w:ind w:left="482" w:hanging="357"/>
              <w:jc w:val="left"/>
            </w:pPr>
            <w:r w:rsidRPr="00291DF5">
              <w:t xml:space="preserve">Javna </w:t>
            </w:r>
            <w:r w:rsidRPr="005808FC">
              <w:t>ustanova Park prirode Medvednica</w:t>
            </w:r>
          </w:p>
          <w:p w14:paraId="39184B92" w14:textId="77777777" w:rsidR="00532678" w:rsidRPr="003D373D" w:rsidDel="00436CBA" w:rsidRDefault="00532678" w:rsidP="005808FC">
            <w:pPr>
              <w:numPr>
                <w:ilvl w:val="0"/>
                <w:numId w:val="9"/>
              </w:numPr>
              <w:spacing w:after="0"/>
              <w:ind w:left="482" w:hanging="357"/>
              <w:jc w:val="left"/>
            </w:pPr>
            <w:r w:rsidRPr="00291DF5">
              <w:t>Javna ustanova Maksimir</w:t>
            </w:r>
          </w:p>
        </w:tc>
      </w:tr>
      <w:tr w:rsidR="00532678" w:rsidRPr="003D373D" w14:paraId="33F1989B" w14:textId="77777777" w:rsidTr="005808FC">
        <w:trPr>
          <w:trHeight w:val="227"/>
        </w:trPr>
        <w:tc>
          <w:tcPr>
            <w:tcW w:w="3325" w:type="dxa"/>
            <w:shd w:val="clear" w:color="auto" w:fill="F2DBDB" w:themeFill="accent2" w:themeFillTint="33"/>
          </w:tcPr>
          <w:p w14:paraId="558F6D48" w14:textId="77777777" w:rsidR="00532678" w:rsidRPr="005808FC" w:rsidRDefault="00532678">
            <w:pPr>
              <w:rPr>
                <w:b/>
                <w:bCs/>
              </w:rPr>
            </w:pPr>
            <w:r w:rsidRPr="00291DF5">
              <w:rPr>
                <w:b/>
                <w:bCs/>
              </w:rPr>
              <w:t>Ostali uključeni dionici:</w:t>
            </w:r>
          </w:p>
        </w:tc>
        <w:tc>
          <w:tcPr>
            <w:tcW w:w="5691" w:type="dxa"/>
          </w:tcPr>
          <w:p w14:paraId="7A604A2E" w14:textId="77777777" w:rsidR="00532678" w:rsidRPr="0012660D" w:rsidRDefault="00532678" w:rsidP="005808FC">
            <w:pPr>
              <w:numPr>
                <w:ilvl w:val="0"/>
                <w:numId w:val="9"/>
              </w:numPr>
              <w:spacing w:after="0"/>
              <w:ind w:left="482" w:hanging="357"/>
              <w:jc w:val="left"/>
            </w:pPr>
            <w:r w:rsidRPr="00291DF5">
              <w:t>Prirodoslovno matematički fakultet, Biološki odsjek</w:t>
            </w:r>
          </w:p>
          <w:p w14:paraId="5B0ABD8C" w14:textId="77777777" w:rsidR="00532678" w:rsidRPr="003D373D" w:rsidRDefault="00532678" w:rsidP="005808FC">
            <w:pPr>
              <w:numPr>
                <w:ilvl w:val="0"/>
                <w:numId w:val="9"/>
              </w:numPr>
              <w:spacing w:after="0"/>
              <w:ind w:left="482" w:hanging="357"/>
              <w:jc w:val="left"/>
            </w:pPr>
            <w:r w:rsidRPr="00291DF5">
              <w:t>Šumarski fakultet Sveučilišta u Zagrebu</w:t>
            </w:r>
          </w:p>
          <w:p w14:paraId="461680FF" w14:textId="77777777" w:rsidR="00532678" w:rsidRPr="003D373D" w:rsidRDefault="00532678" w:rsidP="005808FC">
            <w:pPr>
              <w:numPr>
                <w:ilvl w:val="0"/>
                <w:numId w:val="9"/>
              </w:numPr>
              <w:spacing w:after="0"/>
              <w:ind w:left="482" w:hanging="357"/>
              <w:jc w:val="left"/>
            </w:pPr>
            <w:r w:rsidRPr="00291DF5">
              <w:t xml:space="preserve">Agronomski fakultet Sveučilišta u Zagrebu </w:t>
            </w:r>
          </w:p>
          <w:p w14:paraId="685F8802" w14:textId="77777777" w:rsidR="00532678" w:rsidRPr="003D373D" w:rsidRDefault="00532678" w:rsidP="005808FC">
            <w:pPr>
              <w:numPr>
                <w:ilvl w:val="0"/>
                <w:numId w:val="9"/>
              </w:numPr>
              <w:spacing w:after="0"/>
              <w:ind w:left="482" w:hanging="357"/>
              <w:jc w:val="left"/>
            </w:pPr>
            <w:r w:rsidRPr="00291DF5">
              <w:t>Zrinjevac, d.o.o.</w:t>
            </w:r>
          </w:p>
        </w:tc>
      </w:tr>
      <w:tr w:rsidR="00532678" w:rsidRPr="003D373D" w14:paraId="18BB479B" w14:textId="77777777" w:rsidTr="005808FC">
        <w:trPr>
          <w:trHeight w:val="227"/>
        </w:trPr>
        <w:tc>
          <w:tcPr>
            <w:tcW w:w="3325" w:type="dxa"/>
            <w:shd w:val="clear" w:color="auto" w:fill="F2DBDB" w:themeFill="accent2" w:themeFillTint="33"/>
          </w:tcPr>
          <w:p w14:paraId="56785104" w14:textId="77777777" w:rsidR="00532678" w:rsidRPr="005808FC" w:rsidRDefault="00532678">
            <w:pPr>
              <w:rPr>
                <w:b/>
                <w:bCs/>
              </w:rPr>
            </w:pPr>
            <w:r w:rsidRPr="00291DF5">
              <w:rPr>
                <w:b/>
                <w:bCs/>
              </w:rPr>
              <w:t>Početak/kraj provedbe (godine)</w:t>
            </w:r>
          </w:p>
        </w:tc>
        <w:tc>
          <w:tcPr>
            <w:tcW w:w="5691" w:type="dxa"/>
          </w:tcPr>
          <w:p w14:paraId="60C8F712" w14:textId="4146B9AB" w:rsidR="00532678" w:rsidRPr="005808FC" w:rsidRDefault="00532678">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532678" w:rsidRPr="003D373D" w14:paraId="0C71591B" w14:textId="77777777" w:rsidTr="005808FC">
        <w:trPr>
          <w:trHeight w:val="227"/>
        </w:trPr>
        <w:tc>
          <w:tcPr>
            <w:tcW w:w="3325" w:type="dxa"/>
            <w:shd w:val="clear" w:color="auto" w:fill="F2DBDB" w:themeFill="accent2" w:themeFillTint="33"/>
          </w:tcPr>
          <w:p w14:paraId="63B6C585" w14:textId="77777777" w:rsidR="00532678" w:rsidRPr="005808FC" w:rsidRDefault="00532678">
            <w:pPr>
              <w:rPr>
                <w:b/>
                <w:bCs/>
              </w:rPr>
            </w:pPr>
            <w:r w:rsidRPr="00291DF5">
              <w:rPr>
                <w:b/>
                <w:bCs/>
              </w:rPr>
              <w:t>Procjena troškova (jedinična ili ukupna po mjeri)</w:t>
            </w:r>
          </w:p>
        </w:tc>
        <w:tc>
          <w:tcPr>
            <w:tcW w:w="5691" w:type="dxa"/>
          </w:tcPr>
          <w:p w14:paraId="75C472B4" w14:textId="38DCBF53" w:rsidR="00532678" w:rsidRPr="005808FC" w:rsidRDefault="00532678">
            <w:pPr>
              <w:rPr>
                <w:rFonts w:eastAsia="Calibri"/>
                <w:b/>
              </w:rPr>
            </w:pPr>
            <w:r w:rsidRPr="005808FC">
              <w:rPr>
                <w:rFonts w:eastAsia="Calibri"/>
                <w:b/>
              </w:rPr>
              <w:t>1.000.000</w:t>
            </w:r>
          </w:p>
        </w:tc>
      </w:tr>
      <w:tr w:rsidR="00532678" w:rsidRPr="003D373D" w14:paraId="616F1B3D" w14:textId="77777777" w:rsidTr="005808FC">
        <w:trPr>
          <w:trHeight w:val="227"/>
        </w:trPr>
        <w:tc>
          <w:tcPr>
            <w:tcW w:w="3325" w:type="dxa"/>
            <w:shd w:val="clear" w:color="auto" w:fill="F2DBDB" w:themeFill="accent2" w:themeFillTint="33"/>
          </w:tcPr>
          <w:p w14:paraId="73742211" w14:textId="77777777" w:rsidR="00532678" w:rsidRPr="005808FC" w:rsidRDefault="00532678">
            <w:pPr>
              <w:rPr>
                <w:b/>
                <w:bCs/>
              </w:rPr>
            </w:pPr>
            <w:r w:rsidRPr="00291DF5">
              <w:rPr>
                <w:b/>
                <w:bCs/>
              </w:rPr>
              <w:t>Izvor sredstava za provedbu</w:t>
            </w:r>
          </w:p>
        </w:tc>
        <w:tc>
          <w:tcPr>
            <w:tcW w:w="5691" w:type="dxa"/>
          </w:tcPr>
          <w:p w14:paraId="494BEE65" w14:textId="77777777" w:rsidR="00532678" w:rsidRDefault="00532678" w:rsidP="005808FC">
            <w:pPr>
              <w:numPr>
                <w:ilvl w:val="0"/>
                <w:numId w:val="9"/>
              </w:numPr>
              <w:spacing w:after="0"/>
              <w:ind w:left="482" w:hanging="357"/>
              <w:jc w:val="left"/>
            </w:pPr>
            <w:r w:rsidRPr="00291DF5">
              <w:t>Proračun Grada Zagreba</w:t>
            </w:r>
          </w:p>
          <w:p w14:paraId="01057B3A" w14:textId="77777777" w:rsidR="00532678" w:rsidRDefault="00532678" w:rsidP="005808FC">
            <w:pPr>
              <w:numPr>
                <w:ilvl w:val="0"/>
                <w:numId w:val="9"/>
              </w:numPr>
              <w:spacing w:after="0"/>
              <w:ind w:left="482" w:hanging="357"/>
              <w:jc w:val="left"/>
            </w:pPr>
            <w:r w:rsidRPr="00291DF5">
              <w:t>Državni proračun</w:t>
            </w:r>
          </w:p>
          <w:p w14:paraId="3C09DCF9" w14:textId="07A4A68D" w:rsidR="00532678" w:rsidRPr="003D373D" w:rsidRDefault="00532678" w:rsidP="005808FC">
            <w:pPr>
              <w:numPr>
                <w:ilvl w:val="0"/>
                <w:numId w:val="9"/>
              </w:numPr>
              <w:spacing w:after="0"/>
              <w:ind w:left="482" w:hanging="357"/>
              <w:jc w:val="left"/>
            </w:pPr>
            <w:r w:rsidRPr="00291DF5">
              <w:t xml:space="preserve">Programi EU </w:t>
            </w:r>
            <w:r w:rsidRPr="005808FC">
              <w:t>(LIFE)</w:t>
            </w:r>
          </w:p>
        </w:tc>
      </w:tr>
      <w:tr w:rsidR="00532678" w:rsidRPr="003D373D" w14:paraId="5114B88B" w14:textId="77777777" w:rsidTr="005808FC">
        <w:trPr>
          <w:trHeight w:val="1970"/>
        </w:trPr>
        <w:tc>
          <w:tcPr>
            <w:tcW w:w="3325" w:type="dxa"/>
            <w:shd w:val="clear" w:color="auto" w:fill="F2DBDB" w:themeFill="accent2" w:themeFillTint="33"/>
          </w:tcPr>
          <w:p w14:paraId="7E74EABE" w14:textId="77777777" w:rsidR="00532678" w:rsidRPr="005808FC" w:rsidRDefault="00532678">
            <w:pPr>
              <w:rPr>
                <w:b/>
                <w:bCs/>
              </w:rPr>
            </w:pPr>
            <w:r w:rsidRPr="00291DF5">
              <w:rPr>
                <w:b/>
                <w:bCs/>
              </w:rPr>
              <w:t>Kratki opis/komentar</w:t>
            </w:r>
          </w:p>
        </w:tc>
        <w:tc>
          <w:tcPr>
            <w:tcW w:w="5691" w:type="dxa"/>
          </w:tcPr>
          <w:p w14:paraId="665E7754" w14:textId="046035A8" w:rsidR="00532678" w:rsidRPr="003D373D" w:rsidRDefault="00532678" w:rsidP="00532678">
            <w:pPr>
              <w:autoSpaceDE w:val="0"/>
              <w:autoSpaceDN w:val="0"/>
              <w:adjustRightInd w:val="0"/>
              <w:rPr>
                <w:rFonts w:cstheme="minorHAnsi"/>
                <w:color w:val="02213D"/>
                <w:shd w:val="clear" w:color="auto" w:fill="FFFFFF"/>
              </w:rPr>
            </w:pPr>
            <w:r w:rsidRPr="005808FC">
              <w:rPr>
                <w:shd w:val="clear" w:color="auto" w:fill="FFFFFF"/>
              </w:rPr>
              <w:t>Zelene površine često se smanjuju na uštrb širenja gradske infrastrukture, dolazi do fragmentacije prirodnih staništa između zgrada</w:t>
            </w:r>
            <w:r w:rsidR="000509A0" w:rsidRPr="005808FC">
              <w:rPr>
                <w:shd w:val="clear" w:color="auto" w:fill="FFFFFF"/>
              </w:rPr>
              <w:t xml:space="preserve"> i </w:t>
            </w:r>
            <w:r w:rsidRPr="005808FC">
              <w:rPr>
                <w:shd w:val="clear" w:color="auto" w:fill="FFFFFF"/>
              </w:rPr>
              <w:t>prometne infrastrukture. Ekološki koridori ili poveznice između zelenih površina  prepoznati su kao način da se umanji efekt fragmentacije.  Oformljivanje novih zelenih površina</w:t>
            </w:r>
            <w:r w:rsidR="000509A0" w:rsidRPr="005808FC">
              <w:rPr>
                <w:shd w:val="clear" w:color="auto" w:fill="FFFFFF"/>
              </w:rPr>
              <w:t xml:space="preserve"> i </w:t>
            </w:r>
            <w:r w:rsidRPr="005808FC">
              <w:rPr>
                <w:shd w:val="clear" w:color="auto" w:fill="FFFFFF"/>
              </w:rPr>
              <w:t>zelenih koridora primjenjiva je na većinu urbanih površina. Postoji cijeli niz tehnika koji omogućava primjenu u područjima s različitim karakteristikama, čak</w:t>
            </w:r>
            <w:r w:rsidR="000509A0" w:rsidRPr="005808FC">
              <w:rPr>
                <w:shd w:val="clear" w:color="auto" w:fill="FFFFFF"/>
              </w:rPr>
              <w:t xml:space="preserve"> i </w:t>
            </w:r>
            <w:r w:rsidRPr="005808FC">
              <w:rPr>
                <w:shd w:val="clear" w:color="auto" w:fill="FFFFFF"/>
              </w:rPr>
              <w:t>kada je prostor ograničen (npr. zeleni krovovi</w:t>
            </w:r>
            <w:r w:rsidR="000509A0" w:rsidRPr="005808FC">
              <w:rPr>
                <w:shd w:val="clear" w:color="auto" w:fill="FFFFFF"/>
              </w:rPr>
              <w:t xml:space="preserve"> i </w:t>
            </w:r>
            <w:r w:rsidRPr="005808FC">
              <w:rPr>
                <w:shd w:val="clear" w:color="auto" w:fill="FFFFFF"/>
              </w:rPr>
              <w:t>zelena pročelja..). Potrebno je provesti analizu mogućnosti</w:t>
            </w:r>
            <w:r w:rsidR="000509A0" w:rsidRPr="005808FC">
              <w:rPr>
                <w:shd w:val="clear" w:color="auto" w:fill="FFFFFF"/>
              </w:rPr>
              <w:t xml:space="preserve"> i </w:t>
            </w:r>
            <w:r w:rsidRPr="005808FC">
              <w:rPr>
                <w:shd w:val="clear" w:color="auto" w:fill="FFFFFF"/>
              </w:rPr>
              <w:t>izraditi plan povećanja udjela zelenih površina</w:t>
            </w:r>
            <w:r w:rsidR="000509A0" w:rsidRPr="005808FC">
              <w:rPr>
                <w:shd w:val="clear" w:color="auto" w:fill="FFFFFF"/>
              </w:rPr>
              <w:t xml:space="preserve"> i </w:t>
            </w:r>
            <w:r w:rsidRPr="005808FC">
              <w:rPr>
                <w:shd w:val="clear" w:color="auto" w:fill="FFFFFF"/>
              </w:rPr>
              <w:t>zelenih koridora. Ova je mjera bliska s mjerama u zgradarstvu</w:t>
            </w:r>
            <w:r w:rsidR="000509A0" w:rsidRPr="005808FC">
              <w:rPr>
                <w:shd w:val="clear" w:color="auto" w:fill="FFFFFF"/>
              </w:rPr>
              <w:t xml:space="preserve"> i </w:t>
            </w:r>
            <w:r w:rsidRPr="005808FC">
              <w:rPr>
                <w:shd w:val="clear" w:color="auto" w:fill="FFFFFF"/>
              </w:rPr>
              <w:t>prostornom planiranju, no ovdje je potrebno pratiti ekološke indikatore (npr. pratiti pojavnost</w:t>
            </w:r>
            <w:r w:rsidR="000509A0" w:rsidRPr="005808FC">
              <w:rPr>
                <w:shd w:val="clear" w:color="auto" w:fill="FFFFFF"/>
              </w:rPr>
              <w:t xml:space="preserve"> i </w:t>
            </w:r>
            <w:r w:rsidRPr="005808FC">
              <w:rPr>
                <w:shd w:val="clear" w:color="auto" w:fill="FFFFFF"/>
              </w:rPr>
              <w:t>brojnost određenih vrsta…).</w:t>
            </w:r>
          </w:p>
        </w:tc>
      </w:tr>
    </w:tbl>
    <w:p w14:paraId="34232CF2" w14:textId="483EB7DE" w:rsidR="00532678" w:rsidRDefault="00532678" w:rsidP="00532678">
      <w:pPr>
        <w:pStyle w:val="ListParagraph"/>
        <w:spacing w:before="120"/>
        <w:rPr>
          <w:rFonts w:cstheme="minorHAnsi"/>
          <w:b/>
        </w:rPr>
      </w:pPr>
    </w:p>
    <w:p w14:paraId="29209571" w14:textId="6211E910" w:rsidR="00C42B1B" w:rsidRDefault="00C42B1B" w:rsidP="00532678">
      <w:pPr>
        <w:pStyle w:val="ListParagraph"/>
        <w:spacing w:before="120"/>
        <w:rPr>
          <w:rFonts w:cstheme="minorHAnsi"/>
          <w:b/>
        </w:rPr>
      </w:pPr>
    </w:p>
    <w:p w14:paraId="642702EC" w14:textId="47A7F818" w:rsidR="00C42B1B" w:rsidRDefault="00C42B1B" w:rsidP="00532678">
      <w:pPr>
        <w:pStyle w:val="ListParagraph"/>
        <w:spacing w:before="120"/>
        <w:rPr>
          <w:rFonts w:cstheme="minorHAnsi"/>
          <w:b/>
        </w:rPr>
      </w:pPr>
    </w:p>
    <w:p w14:paraId="11E57AD3" w14:textId="2BA5BCC8" w:rsidR="00C42B1B" w:rsidRDefault="00C42B1B" w:rsidP="00532678">
      <w:pPr>
        <w:pStyle w:val="ListParagraph"/>
        <w:spacing w:before="120"/>
        <w:rPr>
          <w:rFonts w:cstheme="minorHAnsi"/>
          <w:b/>
        </w:rPr>
      </w:pPr>
    </w:p>
    <w:p w14:paraId="10480D1D" w14:textId="77777777" w:rsidR="00C42B1B" w:rsidRPr="003D373D" w:rsidRDefault="00C42B1B" w:rsidP="00532678">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532678" w:rsidRPr="003D373D" w14:paraId="3BB467B6" w14:textId="77777777" w:rsidTr="005808FC">
        <w:trPr>
          <w:trHeight w:val="227"/>
        </w:trPr>
        <w:tc>
          <w:tcPr>
            <w:tcW w:w="3325" w:type="dxa"/>
            <w:shd w:val="clear" w:color="auto" w:fill="C6D9F1" w:themeFill="text2" w:themeFillTint="33"/>
          </w:tcPr>
          <w:p w14:paraId="448005AC" w14:textId="77777777" w:rsidR="00532678" w:rsidRPr="005808FC" w:rsidRDefault="00532678">
            <w:pPr>
              <w:rPr>
                <w:b/>
                <w:bCs/>
              </w:rPr>
            </w:pPr>
            <w:r w:rsidRPr="00291DF5">
              <w:rPr>
                <w:b/>
                <w:bCs/>
              </w:rPr>
              <w:lastRenderedPageBreak/>
              <w:t>Redni broj mjere</w:t>
            </w:r>
          </w:p>
        </w:tc>
        <w:tc>
          <w:tcPr>
            <w:tcW w:w="5691" w:type="dxa"/>
            <w:shd w:val="clear" w:color="auto" w:fill="C6D9F1" w:themeFill="text2" w:themeFillTint="33"/>
          </w:tcPr>
          <w:p w14:paraId="7E667571" w14:textId="77777777" w:rsidR="00532678" w:rsidRPr="005808FC" w:rsidRDefault="00532678">
            <w:pPr>
              <w:rPr>
                <w:rFonts w:eastAsia="Calibri"/>
                <w:b/>
                <w:bCs/>
              </w:rPr>
            </w:pPr>
            <w:r w:rsidRPr="00291DF5">
              <w:rPr>
                <w:rFonts w:eastAsia="Calibri"/>
                <w:b/>
                <w:bCs/>
              </w:rPr>
              <w:t>25</w:t>
            </w:r>
          </w:p>
        </w:tc>
      </w:tr>
      <w:tr w:rsidR="00532678" w:rsidRPr="003D373D" w14:paraId="0043E7A6" w14:textId="77777777" w:rsidTr="005808FC">
        <w:trPr>
          <w:trHeight w:val="818"/>
        </w:trPr>
        <w:tc>
          <w:tcPr>
            <w:tcW w:w="3325" w:type="dxa"/>
            <w:shd w:val="clear" w:color="auto" w:fill="C6D9F1" w:themeFill="text2" w:themeFillTint="33"/>
          </w:tcPr>
          <w:p w14:paraId="12FB8E1B" w14:textId="77777777" w:rsidR="00532678" w:rsidRPr="005808FC" w:rsidRDefault="00532678">
            <w:pPr>
              <w:rPr>
                <w:b/>
                <w:bCs/>
              </w:rPr>
            </w:pPr>
            <w:r w:rsidRPr="00291DF5">
              <w:rPr>
                <w:b/>
                <w:bCs/>
              </w:rPr>
              <w:br w:type="page"/>
              <w:t>Ime mjere/aktivnost</w:t>
            </w:r>
          </w:p>
        </w:tc>
        <w:tc>
          <w:tcPr>
            <w:tcW w:w="5691" w:type="dxa"/>
            <w:shd w:val="clear" w:color="auto" w:fill="C6D9F1" w:themeFill="text2" w:themeFillTint="33"/>
          </w:tcPr>
          <w:p w14:paraId="5787653E" w14:textId="77777777" w:rsidR="00532678" w:rsidRPr="005808FC" w:rsidRDefault="00532678">
            <w:pPr>
              <w:autoSpaceDE w:val="0"/>
              <w:autoSpaceDN w:val="0"/>
              <w:adjustRightInd w:val="0"/>
              <w:rPr>
                <w:rFonts w:eastAsia="Calibri"/>
                <w:b/>
                <w:bCs/>
              </w:rPr>
            </w:pPr>
            <w:r w:rsidRPr="00291DF5">
              <w:rPr>
                <w:rFonts w:eastAsia="Calibri"/>
                <w:b/>
                <w:bCs/>
              </w:rPr>
              <w:t>Uspostava sustava prilagodljivog upravljanja prirodnim staništima</w:t>
            </w:r>
          </w:p>
        </w:tc>
      </w:tr>
      <w:tr w:rsidR="00532678" w:rsidRPr="003D373D" w14:paraId="32948E47" w14:textId="77777777" w:rsidTr="005808FC">
        <w:trPr>
          <w:trHeight w:val="227"/>
        </w:trPr>
        <w:tc>
          <w:tcPr>
            <w:tcW w:w="3325" w:type="dxa"/>
            <w:shd w:val="clear" w:color="auto" w:fill="F2DBDB" w:themeFill="accent2" w:themeFillTint="33"/>
          </w:tcPr>
          <w:p w14:paraId="481A82E7" w14:textId="77777777" w:rsidR="00532678" w:rsidRPr="005808FC" w:rsidRDefault="00532678">
            <w:pPr>
              <w:rPr>
                <w:b/>
                <w:bCs/>
              </w:rPr>
            </w:pPr>
            <w:r w:rsidRPr="00291DF5">
              <w:rPr>
                <w:b/>
                <w:bCs/>
              </w:rPr>
              <w:t xml:space="preserve">Nositelj </w:t>
            </w:r>
            <w:r w:rsidRPr="005808FC">
              <w:rPr>
                <w:b/>
                <w:bCs/>
              </w:rPr>
              <w:t>aktivnosti:</w:t>
            </w:r>
          </w:p>
        </w:tc>
        <w:tc>
          <w:tcPr>
            <w:tcW w:w="5691" w:type="dxa"/>
          </w:tcPr>
          <w:p w14:paraId="3C1CA938" w14:textId="79F72FF7" w:rsidR="00532678" w:rsidRPr="003D373D" w:rsidRDefault="00532678" w:rsidP="005808FC">
            <w:pPr>
              <w:numPr>
                <w:ilvl w:val="0"/>
                <w:numId w:val="9"/>
              </w:numPr>
              <w:spacing w:after="0"/>
              <w:ind w:left="482" w:hanging="357"/>
              <w:jc w:val="left"/>
            </w:pPr>
            <w:r w:rsidRPr="00291DF5">
              <w:t>Gradski zavod za zaštitu spomenika kulture</w:t>
            </w:r>
            <w:r w:rsidR="000509A0">
              <w:t xml:space="preserve"> i </w:t>
            </w:r>
            <w:r w:rsidRPr="00291DF5">
              <w:t>prirode</w:t>
            </w:r>
          </w:p>
        </w:tc>
      </w:tr>
      <w:tr w:rsidR="00532678" w:rsidRPr="003D373D" w14:paraId="2EE79BB8" w14:textId="77777777" w:rsidTr="005808FC">
        <w:trPr>
          <w:trHeight w:val="227"/>
        </w:trPr>
        <w:tc>
          <w:tcPr>
            <w:tcW w:w="3325" w:type="dxa"/>
            <w:shd w:val="clear" w:color="auto" w:fill="F2DBDB" w:themeFill="accent2" w:themeFillTint="33"/>
          </w:tcPr>
          <w:p w14:paraId="082317D5" w14:textId="77777777" w:rsidR="00532678" w:rsidRPr="005808FC" w:rsidRDefault="00532678">
            <w:pPr>
              <w:rPr>
                <w:b/>
                <w:bCs/>
              </w:rPr>
            </w:pPr>
            <w:r w:rsidRPr="00291DF5">
              <w:rPr>
                <w:b/>
                <w:bCs/>
              </w:rPr>
              <w:t>Partneri u provođenju aktivnosti:</w:t>
            </w:r>
          </w:p>
        </w:tc>
        <w:tc>
          <w:tcPr>
            <w:tcW w:w="5691" w:type="dxa"/>
          </w:tcPr>
          <w:p w14:paraId="4555F848" w14:textId="1AF810F1" w:rsidR="00532678" w:rsidRDefault="00532678" w:rsidP="005808FC">
            <w:pPr>
              <w:numPr>
                <w:ilvl w:val="0"/>
                <w:numId w:val="9"/>
              </w:numPr>
              <w:spacing w:after="0"/>
              <w:ind w:left="482" w:hanging="357"/>
              <w:jc w:val="left"/>
            </w:pPr>
            <w:r w:rsidRPr="00291DF5">
              <w:t>Gradski ured za poljoprivredu</w:t>
            </w:r>
            <w:r w:rsidR="000509A0">
              <w:t xml:space="preserve"> i </w:t>
            </w:r>
            <w:r w:rsidRPr="00291DF5">
              <w:t xml:space="preserve">šumarstvo </w:t>
            </w:r>
          </w:p>
          <w:p w14:paraId="0E22BAF3" w14:textId="77777777" w:rsidR="00532678" w:rsidRPr="003D373D" w:rsidRDefault="00532678" w:rsidP="005808FC">
            <w:pPr>
              <w:numPr>
                <w:ilvl w:val="0"/>
                <w:numId w:val="9"/>
              </w:numPr>
              <w:spacing w:after="0"/>
              <w:ind w:left="482" w:hanging="357"/>
              <w:jc w:val="left"/>
            </w:pPr>
            <w:r w:rsidRPr="00291DF5">
              <w:t>Zavod za prostorno planiranje Grada Zagreba</w:t>
            </w:r>
          </w:p>
          <w:p w14:paraId="656AB91E" w14:textId="77777777" w:rsidR="00532678" w:rsidRDefault="00532678" w:rsidP="005808FC">
            <w:pPr>
              <w:numPr>
                <w:ilvl w:val="0"/>
                <w:numId w:val="9"/>
              </w:numPr>
              <w:spacing w:after="0"/>
              <w:ind w:left="482" w:hanging="357"/>
              <w:jc w:val="left"/>
            </w:pPr>
            <w:r w:rsidRPr="00291DF5">
              <w:t>Javna ustanova Park prirode Medvednica</w:t>
            </w:r>
          </w:p>
          <w:p w14:paraId="78BABCBD" w14:textId="52962911" w:rsidR="00532678" w:rsidRPr="003D373D" w:rsidDel="00436CBA" w:rsidRDefault="00532678" w:rsidP="005808FC">
            <w:pPr>
              <w:numPr>
                <w:ilvl w:val="0"/>
                <w:numId w:val="9"/>
              </w:numPr>
              <w:spacing w:after="0"/>
              <w:ind w:left="482" w:hanging="357"/>
              <w:jc w:val="left"/>
            </w:pPr>
            <w:r w:rsidRPr="00291DF5">
              <w:t xml:space="preserve">Javna ustanova </w:t>
            </w:r>
            <w:r w:rsidRPr="005808FC">
              <w:t>Maksimir</w:t>
            </w:r>
          </w:p>
        </w:tc>
      </w:tr>
      <w:tr w:rsidR="00532678" w:rsidRPr="003D373D" w14:paraId="1F8430E7" w14:textId="77777777" w:rsidTr="005808FC">
        <w:trPr>
          <w:trHeight w:val="227"/>
        </w:trPr>
        <w:tc>
          <w:tcPr>
            <w:tcW w:w="3325" w:type="dxa"/>
            <w:shd w:val="clear" w:color="auto" w:fill="F2DBDB" w:themeFill="accent2" w:themeFillTint="33"/>
          </w:tcPr>
          <w:p w14:paraId="064D9B78" w14:textId="77777777" w:rsidR="00532678" w:rsidRPr="005808FC" w:rsidRDefault="00532678">
            <w:pPr>
              <w:rPr>
                <w:b/>
                <w:bCs/>
              </w:rPr>
            </w:pPr>
            <w:r w:rsidRPr="00291DF5">
              <w:rPr>
                <w:b/>
                <w:bCs/>
              </w:rPr>
              <w:t>Ostali uključeni dionici:</w:t>
            </w:r>
          </w:p>
        </w:tc>
        <w:tc>
          <w:tcPr>
            <w:tcW w:w="5691" w:type="dxa"/>
          </w:tcPr>
          <w:p w14:paraId="6A51F1DB" w14:textId="77777777" w:rsidR="00532678" w:rsidRPr="003D373D" w:rsidRDefault="00532678" w:rsidP="005808FC">
            <w:pPr>
              <w:numPr>
                <w:ilvl w:val="0"/>
                <w:numId w:val="9"/>
              </w:numPr>
              <w:spacing w:after="0"/>
              <w:ind w:left="482" w:hanging="357"/>
              <w:jc w:val="left"/>
            </w:pPr>
            <w:r w:rsidRPr="00291DF5">
              <w:t>Prirodoslovno matematički fakultet, Biološki odsjek</w:t>
            </w:r>
          </w:p>
          <w:p w14:paraId="64B83F4A" w14:textId="77777777" w:rsidR="00532678" w:rsidRPr="003D373D" w:rsidRDefault="00532678" w:rsidP="005808FC">
            <w:pPr>
              <w:numPr>
                <w:ilvl w:val="0"/>
                <w:numId w:val="9"/>
              </w:numPr>
              <w:spacing w:after="0"/>
              <w:ind w:left="482" w:hanging="357"/>
              <w:jc w:val="left"/>
            </w:pPr>
            <w:r w:rsidRPr="00291DF5">
              <w:t>Šumarski fakultet Sveučilišta u Zagrebu</w:t>
            </w:r>
          </w:p>
          <w:p w14:paraId="0B60E6D5" w14:textId="77777777" w:rsidR="00532678" w:rsidRPr="00357D1D" w:rsidRDefault="00532678" w:rsidP="005808FC">
            <w:pPr>
              <w:numPr>
                <w:ilvl w:val="0"/>
                <w:numId w:val="9"/>
              </w:numPr>
              <w:spacing w:after="0"/>
              <w:ind w:left="482" w:hanging="357"/>
              <w:jc w:val="left"/>
            </w:pPr>
            <w:r w:rsidRPr="00291DF5">
              <w:t>Agronomski fakultet Sveučilišta u Zagrebu</w:t>
            </w:r>
          </w:p>
        </w:tc>
      </w:tr>
      <w:tr w:rsidR="00532678" w:rsidRPr="003D373D" w14:paraId="25671ED4" w14:textId="77777777" w:rsidTr="005808FC">
        <w:trPr>
          <w:trHeight w:val="227"/>
        </w:trPr>
        <w:tc>
          <w:tcPr>
            <w:tcW w:w="3325" w:type="dxa"/>
            <w:shd w:val="clear" w:color="auto" w:fill="F2DBDB" w:themeFill="accent2" w:themeFillTint="33"/>
          </w:tcPr>
          <w:p w14:paraId="2D54D840" w14:textId="77777777" w:rsidR="00532678" w:rsidRPr="005808FC" w:rsidRDefault="00532678">
            <w:pPr>
              <w:rPr>
                <w:b/>
                <w:bCs/>
              </w:rPr>
            </w:pPr>
            <w:r w:rsidRPr="00291DF5">
              <w:rPr>
                <w:b/>
                <w:bCs/>
              </w:rPr>
              <w:t>Početak/kraj provedbe (godine)</w:t>
            </w:r>
          </w:p>
        </w:tc>
        <w:tc>
          <w:tcPr>
            <w:tcW w:w="5691" w:type="dxa"/>
          </w:tcPr>
          <w:p w14:paraId="2AF8C9EC" w14:textId="77777777" w:rsidR="00532678" w:rsidRPr="005808FC" w:rsidRDefault="00532678">
            <w:pPr>
              <w:rPr>
                <w:rFonts w:eastAsia="Calibri"/>
                <w:b/>
                <w:bCs/>
              </w:rPr>
            </w:pPr>
            <w:r w:rsidRPr="00291DF5">
              <w:rPr>
                <w:rFonts w:eastAsia="Calibri"/>
                <w:b/>
                <w:bCs/>
              </w:rPr>
              <w:t>2020 – 2030</w:t>
            </w:r>
          </w:p>
        </w:tc>
      </w:tr>
      <w:tr w:rsidR="00532678" w:rsidRPr="003D373D" w14:paraId="6C54E1F9" w14:textId="77777777" w:rsidTr="005808FC">
        <w:trPr>
          <w:trHeight w:val="227"/>
        </w:trPr>
        <w:tc>
          <w:tcPr>
            <w:tcW w:w="3325" w:type="dxa"/>
            <w:shd w:val="clear" w:color="auto" w:fill="F2DBDB" w:themeFill="accent2" w:themeFillTint="33"/>
          </w:tcPr>
          <w:p w14:paraId="0016786C" w14:textId="77777777" w:rsidR="00532678" w:rsidRPr="005808FC" w:rsidRDefault="00532678">
            <w:pPr>
              <w:rPr>
                <w:b/>
                <w:bCs/>
              </w:rPr>
            </w:pPr>
            <w:r w:rsidRPr="00291DF5">
              <w:rPr>
                <w:b/>
                <w:bCs/>
              </w:rPr>
              <w:t xml:space="preserve">Procjena troškova (jedinična ili </w:t>
            </w:r>
            <w:r w:rsidRPr="005808FC">
              <w:rPr>
                <w:b/>
                <w:bCs/>
              </w:rPr>
              <w:t>ukupna po mjeri)</w:t>
            </w:r>
          </w:p>
        </w:tc>
        <w:tc>
          <w:tcPr>
            <w:tcW w:w="5691" w:type="dxa"/>
          </w:tcPr>
          <w:p w14:paraId="79166CB2" w14:textId="6CF3727C" w:rsidR="00532678" w:rsidRPr="005808FC" w:rsidRDefault="00532678">
            <w:pPr>
              <w:rPr>
                <w:rFonts w:eastAsia="Calibri"/>
                <w:b/>
                <w:bCs/>
              </w:rPr>
            </w:pPr>
            <w:r w:rsidRPr="005808FC">
              <w:rPr>
                <w:rFonts w:eastAsia="Calibri"/>
                <w:b/>
                <w:bCs/>
              </w:rPr>
              <w:t>500.000</w:t>
            </w:r>
          </w:p>
        </w:tc>
      </w:tr>
      <w:tr w:rsidR="00532678" w:rsidRPr="003D373D" w14:paraId="6364CBDD" w14:textId="77777777" w:rsidTr="005808FC">
        <w:trPr>
          <w:trHeight w:val="227"/>
        </w:trPr>
        <w:tc>
          <w:tcPr>
            <w:tcW w:w="3325" w:type="dxa"/>
            <w:shd w:val="clear" w:color="auto" w:fill="F2DBDB" w:themeFill="accent2" w:themeFillTint="33"/>
          </w:tcPr>
          <w:p w14:paraId="0F6DF7EF" w14:textId="77777777" w:rsidR="00532678" w:rsidRPr="005808FC" w:rsidRDefault="00532678">
            <w:pPr>
              <w:rPr>
                <w:b/>
                <w:bCs/>
              </w:rPr>
            </w:pPr>
            <w:r w:rsidRPr="00291DF5">
              <w:rPr>
                <w:b/>
                <w:bCs/>
              </w:rPr>
              <w:t>Izvor sredstava za provedbu</w:t>
            </w:r>
          </w:p>
        </w:tc>
        <w:tc>
          <w:tcPr>
            <w:tcW w:w="5691" w:type="dxa"/>
          </w:tcPr>
          <w:p w14:paraId="08CD43A6" w14:textId="77777777" w:rsidR="00532678" w:rsidRPr="003D373D" w:rsidRDefault="00532678" w:rsidP="005808FC">
            <w:pPr>
              <w:numPr>
                <w:ilvl w:val="0"/>
                <w:numId w:val="9"/>
              </w:numPr>
              <w:spacing w:after="0"/>
              <w:ind w:left="482" w:hanging="357"/>
              <w:jc w:val="left"/>
            </w:pPr>
            <w:r w:rsidRPr="00291DF5">
              <w:t>Proračun Grada Zagreba</w:t>
            </w:r>
          </w:p>
          <w:p w14:paraId="45A8F725" w14:textId="77777777" w:rsidR="00532678" w:rsidRPr="003D373D" w:rsidRDefault="00532678" w:rsidP="005808FC">
            <w:pPr>
              <w:numPr>
                <w:ilvl w:val="0"/>
                <w:numId w:val="9"/>
              </w:numPr>
              <w:spacing w:after="0"/>
              <w:ind w:left="482" w:hanging="357"/>
              <w:jc w:val="left"/>
            </w:pPr>
            <w:r w:rsidRPr="00291DF5">
              <w:t>Državni proračun</w:t>
            </w:r>
          </w:p>
          <w:p w14:paraId="7E1E16FC" w14:textId="77777777" w:rsidR="00532678" w:rsidRPr="003D373D" w:rsidRDefault="00532678" w:rsidP="005808FC">
            <w:pPr>
              <w:numPr>
                <w:ilvl w:val="0"/>
                <w:numId w:val="9"/>
              </w:numPr>
              <w:spacing w:after="0"/>
              <w:ind w:left="482" w:hanging="357"/>
              <w:jc w:val="left"/>
            </w:pPr>
            <w:r w:rsidRPr="00291DF5">
              <w:t>Programi EU (LIFE)</w:t>
            </w:r>
          </w:p>
        </w:tc>
      </w:tr>
      <w:tr w:rsidR="00532678" w:rsidRPr="003D373D" w14:paraId="5274AADA" w14:textId="77777777" w:rsidTr="005808FC">
        <w:trPr>
          <w:trHeight w:val="800"/>
        </w:trPr>
        <w:tc>
          <w:tcPr>
            <w:tcW w:w="3325" w:type="dxa"/>
            <w:shd w:val="clear" w:color="auto" w:fill="F2DBDB" w:themeFill="accent2" w:themeFillTint="33"/>
          </w:tcPr>
          <w:p w14:paraId="2CEDC31D" w14:textId="77777777" w:rsidR="00532678" w:rsidRPr="005808FC" w:rsidRDefault="00532678">
            <w:pPr>
              <w:rPr>
                <w:b/>
                <w:bCs/>
              </w:rPr>
            </w:pPr>
            <w:r w:rsidRPr="00291DF5">
              <w:rPr>
                <w:b/>
                <w:bCs/>
              </w:rPr>
              <w:t>Kratki opis/komentar</w:t>
            </w:r>
          </w:p>
        </w:tc>
        <w:tc>
          <w:tcPr>
            <w:tcW w:w="5691" w:type="dxa"/>
          </w:tcPr>
          <w:p w14:paraId="3863039B" w14:textId="305ABFF0" w:rsidR="00532678" w:rsidRPr="005808FC" w:rsidRDefault="00532678" w:rsidP="005808FC">
            <w:pPr>
              <w:pStyle w:val="NormalWeb"/>
              <w:shd w:val="clear" w:color="auto" w:fill="FFFFFF" w:themeFill="background1"/>
              <w:spacing w:before="0" w:beforeAutospacing="0" w:after="0" w:afterAutospacing="0"/>
              <w:rPr>
                <w:rFonts w:asciiTheme="minorHAnsi" w:hAnsiTheme="minorHAnsi" w:cstheme="minorBidi"/>
                <w:sz w:val="22"/>
                <w:szCs w:val="22"/>
              </w:rPr>
            </w:pPr>
            <w:r w:rsidRPr="005808FC">
              <w:rPr>
                <w:rFonts w:asciiTheme="minorHAnsi" w:hAnsiTheme="minorHAnsi" w:cstheme="minorBidi"/>
                <w:sz w:val="22"/>
                <w:szCs w:val="22"/>
              </w:rPr>
              <w:t>Bioraznolikost je od ključne važnosti za gospodarstvo</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dobrobit čovječanstva, ali najveća okolišna prijetnja trenutno je njen gubitak. Očuvanje bioraznolikosti</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održanje prirodnih kapaciteta na svjetskoj je razini jedan od prioriteta.  Klimatske promjene već utječu na bioraznolikost</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očekuje se da će postati najveća prijetnja bioraznolikosti tijekom ovog stoljeća. Direktni učinci klimatskih promjena na bioraznolikost uključuju:</w:t>
            </w:r>
          </w:p>
          <w:p w14:paraId="498E2381" w14:textId="24823394" w:rsidR="00532678" w:rsidRPr="005808FC"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Bidi"/>
                <w:sz w:val="22"/>
                <w:szCs w:val="22"/>
              </w:rPr>
            </w:pPr>
            <w:r w:rsidRPr="005808FC">
              <w:rPr>
                <w:rFonts w:asciiTheme="minorHAnsi" w:hAnsiTheme="minorHAnsi" w:cstheme="minorBidi"/>
                <w:sz w:val="22"/>
                <w:szCs w:val="22"/>
              </w:rPr>
              <w:t>Promjene u brojnosti</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distribuciji vrsta;</w:t>
            </w:r>
          </w:p>
          <w:p w14:paraId="6CF4EFAA" w14:textId="77777777" w:rsidR="00532678" w:rsidRPr="005808FC"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Bidi"/>
                <w:sz w:val="22"/>
                <w:szCs w:val="22"/>
              </w:rPr>
            </w:pPr>
            <w:r w:rsidRPr="005808FC">
              <w:rPr>
                <w:rFonts w:asciiTheme="minorHAnsi" w:hAnsiTheme="minorHAnsi" w:cstheme="minorBidi"/>
                <w:sz w:val="22"/>
                <w:szCs w:val="22"/>
              </w:rPr>
              <w:t>Promjene staništa koje vrste nastanjuju;</w:t>
            </w:r>
          </w:p>
          <w:p w14:paraId="0B9B4ADE" w14:textId="77777777" w:rsidR="00532678" w:rsidRPr="005808FC"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Bidi"/>
                <w:sz w:val="22"/>
                <w:szCs w:val="22"/>
              </w:rPr>
            </w:pPr>
            <w:r w:rsidRPr="005808FC">
              <w:rPr>
                <w:rFonts w:asciiTheme="minorHAnsi" w:hAnsiTheme="minorHAnsi" w:cstheme="minorBidi"/>
                <w:sz w:val="22"/>
                <w:szCs w:val="22"/>
              </w:rPr>
              <w:t>Fenološke promjene koje mogu dovesti do gubitka odnosa među vrstama;</w:t>
            </w:r>
          </w:p>
          <w:p w14:paraId="5F93CEBC" w14:textId="77777777" w:rsidR="00532678" w:rsidRPr="005808FC"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Bidi"/>
                <w:sz w:val="22"/>
                <w:szCs w:val="22"/>
              </w:rPr>
            </w:pPr>
            <w:r w:rsidRPr="005808FC">
              <w:rPr>
                <w:rFonts w:asciiTheme="minorHAnsi" w:hAnsiTheme="minorHAnsi" w:cstheme="minorBidi"/>
                <w:sz w:val="22"/>
                <w:szCs w:val="22"/>
              </w:rPr>
              <w:t>Promjene u sastavu zajednica;</w:t>
            </w:r>
          </w:p>
          <w:p w14:paraId="446EE2F4" w14:textId="320182FE" w:rsidR="00532678" w:rsidRPr="005808FC"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Bidi"/>
                <w:sz w:val="22"/>
                <w:szCs w:val="22"/>
              </w:rPr>
            </w:pPr>
            <w:r w:rsidRPr="005808FC">
              <w:rPr>
                <w:rFonts w:asciiTheme="minorHAnsi" w:hAnsiTheme="minorHAnsi" w:cstheme="minorBidi"/>
                <w:sz w:val="22"/>
                <w:szCs w:val="22"/>
              </w:rPr>
              <w:t>Promjene u procesima ekosustava</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njegovom funkcioniranju;</w:t>
            </w:r>
          </w:p>
          <w:p w14:paraId="5D5D63A9" w14:textId="2A56B0C8" w:rsidR="00B06748" w:rsidRPr="00693B4B" w:rsidRDefault="00532678" w:rsidP="005808FC">
            <w:pPr>
              <w:pStyle w:val="NormalWeb"/>
              <w:numPr>
                <w:ilvl w:val="0"/>
                <w:numId w:val="21"/>
              </w:numPr>
              <w:shd w:val="clear" w:color="auto" w:fill="FFFFFF" w:themeFill="background1"/>
              <w:spacing w:before="0" w:beforeAutospacing="0" w:after="0" w:afterAutospacing="0"/>
              <w:ind w:left="583"/>
              <w:jc w:val="left"/>
              <w:rPr>
                <w:rFonts w:asciiTheme="minorHAnsi" w:hAnsiTheme="minorHAnsi" w:cstheme="minorHAnsi"/>
                <w:sz w:val="22"/>
                <w:szCs w:val="22"/>
              </w:rPr>
            </w:pPr>
            <w:r w:rsidRPr="00693B4B">
              <w:rPr>
                <w:rFonts w:asciiTheme="minorHAnsi" w:hAnsiTheme="minorHAnsi" w:cstheme="minorHAnsi"/>
                <w:sz w:val="22"/>
                <w:szCs w:val="22"/>
              </w:rPr>
              <w:t>Gubitak prostora za staništa</w:t>
            </w:r>
            <w:r w:rsidR="000509A0" w:rsidRPr="00693B4B">
              <w:rPr>
                <w:rFonts w:asciiTheme="minorHAnsi" w:hAnsiTheme="minorHAnsi" w:cstheme="minorHAnsi"/>
                <w:sz w:val="22"/>
                <w:szCs w:val="22"/>
              </w:rPr>
              <w:t xml:space="preserve"> i </w:t>
            </w:r>
            <w:r w:rsidRPr="00693B4B">
              <w:rPr>
                <w:rFonts w:asciiTheme="minorHAnsi" w:hAnsiTheme="minorHAnsi" w:cstheme="minorHAnsi"/>
                <w:sz w:val="22"/>
                <w:szCs w:val="22"/>
              </w:rPr>
              <w:t>ekosustave.</w:t>
            </w:r>
          </w:p>
          <w:p w14:paraId="094C62BD" w14:textId="5D8D90D9" w:rsidR="00532678" w:rsidRPr="005808FC" w:rsidRDefault="00532678" w:rsidP="005808FC">
            <w:pPr>
              <w:pStyle w:val="NormalWeb"/>
              <w:shd w:val="clear" w:color="auto" w:fill="FFFFFF" w:themeFill="background1"/>
              <w:spacing w:before="0" w:beforeAutospacing="0" w:after="150" w:afterAutospacing="0"/>
              <w:rPr>
                <w:rFonts w:asciiTheme="minorHAnsi" w:hAnsiTheme="minorHAnsi" w:cstheme="minorBidi"/>
                <w:sz w:val="22"/>
                <w:szCs w:val="22"/>
              </w:rPr>
            </w:pPr>
            <w:r w:rsidRPr="005808FC">
              <w:rPr>
                <w:rFonts w:asciiTheme="minorHAnsi" w:hAnsiTheme="minorHAnsi" w:cstheme="minorBidi"/>
                <w:sz w:val="22"/>
                <w:szCs w:val="22"/>
              </w:rPr>
              <w:t>Prilagodljivo upravljanje prirodnim ekosustavima je uključiv proces u kojem su poduzete aktivnosti praćene monitoringom. U kontekstu klimatskih promjena, prilagodljivo upravljanje uključuje razumijevanje potencijalnih klimatskih učinaka</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poveznih nesigurnosti, planiranje aktivnosti kao odgovor na promjene, praćenje klimatskih osjetljivih vrsta</w:t>
            </w:r>
            <w:r w:rsidR="000509A0" w:rsidRPr="005808FC">
              <w:rPr>
                <w:rFonts w:asciiTheme="minorHAnsi" w:hAnsiTheme="minorHAnsi" w:cstheme="minorBidi"/>
                <w:sz w:val="22"/>
                <w:szCs w:val="22"/>
              </w:rPr>
              <w:t xml:space="preserve"> i </w:t>
            </w:r>
            <w:r w:rsidRPr="005808FC">
              <w:rPr>
                <w:rFonts w:asciiTheme="minorHAnsi" w:hAnsiTheme="minorHAnsi" w:cstheme="minorBidi"/>
                <w:sz w:val="22"/>
                <w:szCs w:val="22"/>
              </w:rPr>
              <w:t>proces evaluacije učinkovitosti upravljanja.</w:t>
            </w:r>
          </w:p>
        </w:tc>
      </w:tr>
    </w:tbl>
    <w:p w14:paraId="60CB3DE4" w14:textId="77777777" w:rsidR="00532678" w:rsidRDefault="00532678" w:rsidP="00532678">
      <w:pPr>
        <w:spacing w:after="160" w:line="259" w:lineRule="auto"/>
        <w:rPr>
          <w:rFonts w:cstheme="minorHAnsi"/>
          <w:b/>
        </w:rPr>
      </w:pPr>
    </w:p>
    <w:p w14:paraId="38D7221B" w14:textId="256B1CE5" w:rsidR="00AE5E1A" w:rsidRPr="001E5C0A" w:rsidRDefault="00AE5E1A" w:rsidP="001E5C0A">
      <w:pPr>
        <w:pStyle w:val="Heading2"/>
        <w:rPr>
          <w:rStyle w:val="Heading2Char"/>
          <w:b/>
        </w:rPr>
      </w:pPr>
      <w:bookmarkStart w:id="265" w:name="_Toc4156114"/>
      <w:r w:rsidRPr="001E5C0A">
        <w:rPr>
          <w:rStyle w:val="Heading2Char"/>
          <w:b/>
        </w:rPr>
        <w:lastRenderedPageBreak/>
        <w:t>Poljoprivreda</w:t>
      </w:r>
      <w:r w:rsidR="000509A0" w:rsidRPr="001E5C0A">
        <w:rPr>
          <w:rStyle w:val="Heading2Char"/>
          <w:b/>
        </w:rPr>
        <w:t xml:space="preserve"> i </w:t>
      </w:r>
      <w:r w:rsidRPr="001E5C0A">
        <w:rPr>
          <w:rStyle w:val="Heading2Char"/>
          <w:b/>
        </w:rPr>
        <w:t>šumarstvo</w:t>
      </w:r>
      <w:bookmarkEnd w:id="265"/>
    </w:p>
    <w:p w14:paraId="0D2434A1" w14:textId="33F5A0DB" w:rsidR="00532678" w:rsidRDefault="00E23C97" w:rsidP="00D065D7">
      <w:pPr>
        <w:spacing w:before="120"/>
        <w:rPr>
          <w:rFonts w:cstheme="minorHAnsi"/>
        </w:rPr>
      </w:pPr>
      <w:r w:rsidRPr="00E23C97">
        <w:rPr>
          <w:rFonts w:cstheme="minorHAnsi"/>
        </w:rPr>
        <w:t>Vezano na okoliš</w:t>
      </w:r>
      <w:r w:rsidR="000509A0">
        <w:rPr>
          <w:rFonts w:cstheme="minorHAnsi"/>
        </w:rPr>
        <w:t xml:space="preserve"> i </w:t>
      </w:r>
      <w:r w:rsidRPr="00E23C97">
        <w:rPr>
          <w:rFonts w:cstheme="minorHAnsi"/>
        </w:rPr>
        <w:t>bioraznolikost, poljoprivreda</w:t>
      </w:r>
      <w:r w:rsidR="000509A0">
        <w:rPr>
          <w:rFonts w:cstheme="minorHAnsi"/>
        </w:rPr>
        <w:t xml:space="preserve"> i </w:t>
      </w:r>
      <w:r w:rsidRPr="00E23C97">
        <w:rPr>
          <w:rFonts w:cstheme="minorHAnsi"/>
        </w:rPr>
        <w:t>šumarstvo su izloženi riziku uslijed promjene klimatskih parametara.</w:t>
      </w:r>
      <w:r w:rsidR="00532678">
        <w:rPr>
          <w:rFonts w:cstheme="minorHAnsi"/>
        </w:rPr>
        <w:t xml:space="preserve"> </w:t>
      </w:r>
      <w:r w:rsidR="00532678" w:rsidRPr="00B10FB1">
        <w:rPr>
          <w:rFonts w:cstheme="minorHAnsi"/>
        </w:rPr>
        <w:t>Poljoprivreda je izravno izložena vremenskim prilikama, odnosno klimatskim promjenama. Intenzitet fizikalnih</w:t>
      </w:r>
      <w:r w:rsidR="000509A0">
        <w:rPr>
          <w:rFonts w:cstheme="minorHAnsi"/>
        </w:rPr>
        <w:t xml:space="preserve"> i </w:t>
      </w:r>
      <w:r w:rsidR="00532678" w:rsidRPr="00B10FB1">
        <w:rPr>
          <w:rFonts w:cstheme="minorHAnsi"/>
        </w:rPr>
        <w:t>(bio)kemijskih procesa koji se odvijaju u tlu, biljkama</w:t>
      </w:r>
      <w:r w:rsidR="000509A0">
        <w:rPr>
          <w:rFonts w:cstheme="minorHAnsi"/>
        </w:rPr>
        <w:t xml:space="preserve"> i </w:t>
      </w:r>
      <w:r w:rsidR="00532678" w:rsidRPr="00B10FB1">
        <w:rPr>
          <w:rFonts w:cstheme="minorHAnsi"/>
        </w:rPr>
        <w:t>domaćim životinjama, uvelike su određeni vlagom/vodom u tlu</w:t>
      </w:r>
      <w:r w:rsidR="000509A0">
        <w:rPr>
          <w:rFonts w:cstheme="minorHAnsi"/>
        </w:rPr>
        <w:t xml:space="preserve"> i </w:t>
      </w:r>
      <w:r w:rsidR="00532678" w:rsidRPr="00B10FB1">
        <w:rPr>
          <w:rFonts w:cstheme="minorHAnsi"/>
        </w:rPr>
        <w:t xml:space="preserve">temperaturom zraka. </w:t>
      </w:r>
    </w:p>
    <w:p w14:paraId="1C60D76A" w14:textId="535C0B24" w:rsidR="00E23C97" w:rsidRPr="00E23C97" w:rsidRDefault="00E23C97" w:rsidP="005808FC">
      <w:pPr>
        <w:spacing w:before="120"/>
      </w:pPr>
      <w:r w:rsidRPr="00291DF5">
        <w:t>Rizici se mogu podijeliti u sljedeće grupe:</w:t>
      </w:r>
    </w:p>
    <w:p w14:paraId="0CB65C05" w14:textId="77777777" w:rsidR="003758FA" w:rsidRPr="00FF4F06" w:rsidRDefault="003758FA" w:rsidP="002E3C28">
      <w:pPr>
        <w:pStyle w:val="ListParagraph"/>
        <w:numPr>
          <w:ilvl w:val="0"/>
          <w:numId w:val="81"/>
        </w:numPr>
        <w:rPr>
          <w:lang w:eastAsia="hr-HR"/>
        </w:rPr>
      </w:pPr>
      <w:r w:rsidRPr="00FF4F06">
        <w:rPr>
          <w:lang w:eastAsia="hr-HR"/>
        </w:rPr>
        <w:t>Povećanje učestalosti šumskih požara</w:t>
      </w:r>
    </w:p>
    <w:p w14:paraId="4AF4D8FF" w14:textId="77777777" w:rsidR="003758FA" w:rsidRPr="00FF4F06" w:rsidRDefault="003758FA" w:rsidP="002E3C28">
      <w:pPr>
        <w:pStyle w:val="ListParagraph"/>
        <w:numPr>
          <w:ilvl w:val="0"/>
          <w:numId w:val="81"/>
        </w:numPr>
        <w:rPr>
          <w:lang w:eastAsia="hr-HR"/>
        </w:rPr>
      </w:pPr>
      <w:r w:rsidRPr="00FF4F06">
        <w:rPr>
          <w:lang w:eastAsia="hr-HR"/>
        </w:rPr>
        <w:t>Smanjenje dostupnosti obradivih površina</w:t>
      </w:r>
    </w:p>
    <w:p w14:paraId="2E359CC8" w14:textId="77777777" w:rsidR="003758FA" w:rsidRPr="00FF4F06" w:rsidRDefault="003758FA" w:rsidP="002E3C28">
      <w:pPr>
        <w:pStyle w:val="ListParagraph"/>
        <w:numPr>
          <w:ilvl w:val="0"/>
          <w:numId w:val="81"/>
        </w:numPr>
        <w:rPr>
          <w:lang w:eastAsia="hr-HR"/>
        </w:rPr>
      </w:pPr>
      <w:r w:rsidRPr="00FF4F06">
        <w:rPr>
          <w:lang w:eastAsia="hr-HR"/>
        </w:rPr>
        <w:t>Negativan učinak ekstremnih vremenskih događaja na šumske zajednice</w:t>
      </w:r>
    </w:p>
    <w:p w14:paraId="59CC7EF2" w14:textId="77777777" w:rsidR="003758FA" w:rsidRPr="00FF4F06" w:rsidRDefault="003758FA" w:rsidP="002E3C28">
      <w:pPr>
        <w:pStyle w:val="ListParagraph"/>
        <w:numPr>
          <w:ilvl w:val="0"/>
          <w:numId w:val="81"/>
        </w:numPr>
        <w:rPr>
          <w:lang w:eastAsia="hr-HR"/>
        </w:rPr>
      </w:pPr>
      <w:r w:rsidRPr="00FF4F06">
        <w:rPr>
          <w:lang w:eastAsia="hr-HR"/>
        </w:rPr>
        <w:t>Nedostatak vode za navodnjavanje</w:t>
      </w:r>
    </w:p>
    <w:p w14:paraId="152EDF09" w14:textId="77777777" w:rsidR="003758FA" w:rsidRPr="00FF4F06" w:rsidRDefault="003758FA" w:rsidP="002E3C28">
      <w:pPr>
        <w:pStyle w:val="ListParagraph"/>
        <w:numPr>
          <w:ilvl w:val="0"/>
          <w:numId w:val="81"/>
        </w:numPr>
        <w:rPr>
          <w:lang w:eastAsia="hr-HR"/>
        </w:rPr>
      </w:pPr>
      <w:r w:rsidRPr="00FF4F06">
        <w:rPr>
          <w:lang w:eastAsia="hr-HR"/>
        </w:rPr>
        <w:t>Smanjenje dostupnosti šumske biomase</w:t>
      </w:r>
    </w:p>
    <w:p w14:paraId="422F1CEF" w14:textId="77777777" w:rsidR="003758FA" w:rsidRPr="00FF4F06" w:rsidRDefault="003758FA" w:rsidP="002E3C28">
      <w:pPr>
        <w:pStyle w:val="ListParagraph"/>
        <w:numPr>
          <w:ilvl w:val="0"/>
          <w:numId w:val="81"/>
        </w:numPr>
        <w:rPr>
          <w:lang w:eastAsia="hr-HR"/>
        </w:rPr>
      </w:pPr>
      <w:r w:rsidRPr="00FF4F06">
        <w:rPr>
          <w:lang w:eastAsia="hr-HR"/>
        </w:rPr>
        <w:t>Povećanje troškova gospodarenja šumama</w:t>
      </w:r>
    </w:p>
    <w:p w14:paraId="7CC12306" w14:textId="305DA985" w:rsidR="00AE5E1A" w:rsidRDefault="003758FA" w:rsidP="60C73CF8">
      <w:pPr>
        <w:pStyle w:val="ListParagraph"/>
        <w:numPr>
          <w:ilvl w:val="0"/>
          <w:numId w:val="81"/>
        </w:numPr>
      </w:pPr>
      <w:r w:rsidRPr="00FF4F06">
        <w:rPr>
          <w:lang w:eastAsia="hr-HR"/>
        </w:rPr>
        <w:t>Narušavanje prirodne strukture šumskih zajednica</w:t>
      </w:r>
    </w:p>
    <w:p w14:paraId="2FBE3CF2" w14:textId="13AC3EF7" w:rsidR="00532678" w:rsidRDefault="00532678" w:rsidP="00532678">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532678" w:rsidRPr="003D373D" w14:paraId="6A8822C5" w14:textId="77777777" w:rsidTr="005808FC">
        <w:trPr>
          <w:trHeight w:val="227"/>
        </w:trPr>
        <w:tc>
          <w:tcPr>
            <w:tcW w:w="3325" w:type="dxa"/>
            <w:shd w:val="clear" w:color="auto" w:fill="C6D9F1" w:themeFill="text2" w:themeFillTint="33"/>
          </w:tcPr>
          <w:p w14:paraId="3034D393" w14:textId="77777777" w:rsidR="00532678" w:rsidRPr="005808FC" w:rsidRDefault="00532678">
            <w:pPr>
              <w:rPr>
                <w:b/>
                <w:bCs/>
              </w:rPr>
            </w:pPr>
            <w:r w:rsidRPr="00291DF5">
              <w:rPr>
                <w:b/>
                <w:bCs/>
              </w:rPr>
              <w:t>Redni broj mjere</w:t>
            </w:r>
          </w:p>
        </w:tc>
        <w:tc>
          <w:tcPr>
            <w:tcW w:w="5691" w:type="dxa"/>
            <w:shd w:val="clear" w:color="auto" w:fill="C6D9F1" w:themeFill="text2" w:themeFillTint="33"/>
          </w:tcPr>
          <w:p w14:paraId="75A58910" w14:textId="77777777" w:rsidR="00532678" w:rsidRPr="005808FC" w:rsidRDefault="00532678">
            <w:pPr>
              <w:rPr>
                <w:rFonts w:eastAsia="Calibri"/>
                <w:b/>
                <w:bCs/>
              </w:rPr>
            </w:pPr>
            <w:r w:rsidRPr="00291DF5">
              <w:rPr>
                <w:rFonts w:eastAsia="Calibri"/>
                <w:b/>
                <w:bCs/>
              </w:rPr>
              <w:t>26</w:t>
            </w:r>
          </w:p>
        </w:tc>
      </w:tr>
      <w:tr w:rsidR="00532678" w:rsidRPr="003D373D" w14:paraId="74392643" w14:textId="77777777" w:rsidTr="005808FC">
        <w:trPr>
          <w:trHeight w:val="818"/>
        </w:trPr>
        <w:tc>
          <w:tcPr>
            <w:tcW w:w="3325" w:type="dxa"/>
            <w:shd w:val="clear" w:color="auto" w:fill="C6D9F1" w:themeFill="text2" w:themeFillTint="33"/>
          </w:tcPr>
          <w:p w14:paraId="03AAD86E" w14:textId="77777777" w:rsidR="00532678" w:rsidRPr="005808FC" w:rsidRDefault="00532678">
            <w:pPr>
              <w:rPr>
                <w:b/>
                <w:bCs/>
              </w:rPr>
            </w:pPr>
            <w:r w:rsidRPr="00291DF5">
              <w:rPr>
                <w:b/>
                <w:bCs/>
              </w:rPr>
              <w:br w:type="page"/>
              <w:t>Ime mjere/aktivnost</w:t>
            </w:r>
          </w:p>
        </w:tc>
        <w:tc>
          <w:tcPr>
            <w:tcW w:w="5691" w:type="dxa"/>
            <w:shd w:val="clear" w:color="auto" w:fill="C6D9F1" w:themeFill="text2" w:themeFillTint="33"/>
          </w:tcPr>
          <w:p w14:paraId="4C3DA6E9" w14:textId="77777777" w:rsidR="00532678" w:rsidRPr="005808FC" w:rsidRDefault="00532678">
            <w:pPr>
              <w:autoSpaceDE w:val="0"/>
              <w:autoSpaceDN w:val="0"/>
              <w:adjustRightInd w:val="0"/>
              <w:rPr>
                <w:rFonts w:eastAsia="Calibri"/>
                <w:b/>
                <w:bCs/>
              </w:rPr>
            </w:pPr>
            <w:r w:rsidRPr="00291DF5">
              <w:rPr>
                <w:rFonts w:eastAsia="Calibri"/>
                <w:b/>
                <w:bCs/>
              </w:rPr>
              <w:t>Povećanje površina na kojima se odvijaju aktivnosti urbanog vrtlarenja</w:t>
            </w:r>
          </w:p>
        </w:tc>
      </w:tr>
      <w:tr w:rsidR="00532678" w:rsidRPr="003D373D" w14:paraId="59473721" w14:textId="77777777" w:rsidTr="005808FC">
        <w:trPr>
          <w:trHeight w:val="227"/>
        </w:trPr>
        <w:tc>
          <w:tcPr>
            <w:tcW w:w="3325" w:type="dxa"/>
            <w:shd w:val="clear" w:color="auto" w:fill="F2DBDB" w:themeFill="accent2" w:themeFillTint="33"/>
          </w:tcPr>
          <w:p w14:paraId="4F7DCE93" w14:textId="77777777" w:rsidR="00532678" w:rsidRPr="005808FC" w:rsidRDefault="00532678">
            <w:pPr>
              <w:rPr>
                <w:b/>
                <w:bCs/>
              </w:rPr>
            </w:pPr>
            <w:r w:rsidRPr="00291DF5">
              <w:rPr>
                <w:b/>
                <w:bCs/>
              </w:rPr>
              <w:t>Nositelj aktivnosti:</w:t>
            </w:r>
          </w:p>
        </w:tc>
        <w:tc>
          <w:tcPr>
            <w:tcW w:w="5691" w:type="dxa"/>
          </w:tcPr>
          <w:p w14:paraId="24A7ED4C" w14:textId="7128CCF8" w:rsidR="00532678" w:rsidRPr="003D373D" w:rsidRDefault="00532678" w:rsidP="005808FC">
            <w:pPr>
              <w:numPr>
                <w:ilvl w:val="0"/>
                <w:numId w:val="9"/>
              </w:numPr>
              <w:spacing w:after="0"/>
              <w:ind w:left="482" w:hanging="357"/>
              <w:jc w:val="left"/>
            </w:pPr>
            <w:r w:rsidRPr="00291DF5">
              <w:t>Gradski ured za poljoprivredu</w:t>
            </w:r>
            <w:r w:rsidR="000509A0">
              <w:t xml:space="preserve"> i </w:t>
            </w:r>
            <w:r w:rsidRPr="00291DF5">
              <w:t>šumarstvo</w:t>
            </w:r>
          </w:p>
        </w:tc>
      </w:tr>
      <w:tr w:rsidR="00532678" w:rsidRPr="003D373D" w14:paraId="6FE528E9" w14:textId="77777777" w:rsidTr="005808FC">
        <w:trPr>
          <w:trHeight w:val="227"/>
        </w:trPr>
        <w:tc>
          <w:tcPr>
            <w:tcW w:w="3325" w:type="dxa"/>
            <w:shd w:val="clear" w:color="auto" w:fill="F2DBDB" w:themeFill="accent2" w:themeFillTint="33"/>
          </w:tcPr>
          <w:p w14:paraId="1C1AC183" w14:textId="77777777" w:rsidR="00532678" w:rsidRPr="005808FC" w:rsidRDefault="00532678">
            <w:pPr>
              <w:rPr>
                <w:b/>
                <w:bCs/>
              </w:rPr>
            </w:pPr>
            <w:r w:rsidRPr="00291DF5">
              <w:rPr>
                <w:b/>
                <w:bCs/>
              </w:rPr>
              <w:t>Partneri u provođenju aktivnosti:</w:t>
            </w:r>
          </w:p>
        </w:tc>
        <w:tc>
          <w:tcPr>
            <w:tcW w:w="5691" w:type="dxa"/>
          </w:tcPr>
          <w:p w14:paraId="497E6DDF" w14:textId="454C3703" w:rsidR="00532678" w:rsidRDefault="00532678" w:rsidP="005808FC">
            <w:pPr>
              <w:numPr>
                <w:ilvl w:val="0"/>
                <w:numId w:val="9"/>
              </w:numPr>
              <w:spacing w:after="0"/>
              <w:ind w:left="482" w:hanging="357"/>
              <w:jc w:val="left"/>
            </w:pPr>
            <w:r w:rsidRPr="00291DF5">
              <w:t xml:space="preserve">Gradski ured za </w:t>
            </w:r>
            <w:r w:rsidRPr="005808FC">
              <w:t>strategijsko planiranje</w:t>
            </w:r>
            <w:r w:rsidR="000509A0">
              <w:t xml:space="preserve"> i </w:t>
            </w:r>
            <w:r w:rsidRPr="00291DF5">
              <w:t xml:space="preserve">razvoj grada </w:t>
            </w:r>
          </w:p>
          <w:p w14:paraId="1249CF18" w14:textId="77777777" w:rsidR="00532678" w:rsidRPr="003D373D" w:rsidRDefault="00532678" w:rsidP="005808FC">
            <w:pPr>
              <w:numPr>
                <w:ilvl w:val="0"/>
                <w:numId w:val="9"/>
              </w:numPr>
              <w:spacing w:after="0"/>
              <w:ind w:left="482" w:hanging="357"/>
              <w:jc w:val="left"/>
            </w:pPr>
            <w:r w:rsidRPr="00291DF5">
              <w:t>Zavod za prostorno planiranje Grada Zagreba</w:t>
            </w:r>
          </w:p>
          <w:p w14:paraId="26143294" w14:textId="17E73DBE" w:rsidR="00532678" w:rsidRPr="003D373D" w:rsidDel="00436CBA" w:rsidRDefault="00532678"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tc>
      </w:tr>
      <w:tr w:rsidR="00532678" w:rsidRPr="003D373D" w14:paraId="3F7140FC" w14:textId="77777777" w:rsidTr="005808FC">
        <w:trPr>
          <w:trHeight w:val="227"/>
        </w:trPr>
        <w:tc>
          <w:tcPr>
            <w:tcW w:w="3325" w:type="dxa"/>
            <w:shd w:val="clear" w:color="auto" w:fill="F2DBDB" w:themeFill="accent2" w:themeFillTint="33"/>
          </w:tcPr>
          <w:p w14:paraId="455F67FB" w14:textId="77777777" w:rsidR="00532678" w:rsidRPr="005808FC" w:rsidRDefault="00532678">
            <w:pPr>
              <w:rPr>
                <w:b/>
                <w:bCs/>
              </w:rPr>
            </w:pPr>
            <w:r w:rsidRPr="00291DF5">
              <w:rPr>
                <w:b/>
                <w:bCs/>
              </w:rPr>
              <w:t>Ostali uključeni dionici:</w:t>
            </w:r>
          </w:p>
        </w:tc>
        <w:tc>
          <w:tcPr>
            <w:tcW w:w="5691" w:type="dxa"/>
          </w:tcPr>
          <w:p w14:paraId="7824F367" w14:textId="77777777" w:rsidR="00532678" w:rsidRPr="003D373D" w:rsidRDefault="00532678" w:rsidP="005808FC">
            <w:pPr>
              <w:numPr>
                <w:ilvl w:val="0"/>
                <w:numId w:val="9"/>
              </w:numPr>
              <w:spacing w:after="0"/>
              <w:ind w:left="482" w:hanging="357"/>
              <w:jc w:val="left"/>
            </w:pPr>
            <w:r w:rsidRPr="00291DF5">
              <w:t xml:space="preserve">Agronomski fakultet Sveučilišta u Zagrebu </w:t>
            </w:r>
          </w:p>
          <w:p w14:paraId="3C9AB3D9" w14:textId="77777777" w:rsidR="00532678" w:rsidRPr="003D373D" w:rsidRDefault="00532678" w:rsidP="005808FC">
            <w:pPr>
              <w:numPr>
                <w:ilvl w:val="0"/>
                <w:numId w:val="9"/>
              </w:numPr>
              <w:spacing w:after="0"/>
              <w:ind w:left="482" w:hanging="357"/>
              <w:jc w:val="left"/>
            </w:pPr>
            <w:r w:rsidRPr="00291DF5">
              <w:t>Zrinjevac, d.o.o.</w:t>
            </w:r>
          </w:p>
          <w:p w14:paraId="15F2685F" w14:textId="77777777" w:rsidR="00532678" w:rsidRPr="003D373D" w:rsidRDefault="00532678" w:rsidP="005808FC">
            <w:pPr>
              <w:numPr>
                <w:ilvl w:val="0"/>
                <w:numId w:val="9"/>
              </w:numPr>
              <w:spacing w:after="0"/>
              <w:ind w:left="482" w:hanging="357"/>
              <w:jc w:val="left"/>
            </w:pPr>
            <w:r w:rsidRPr="00291DF5">
              <w:t>Udruge civilnog dru</w:t>
            </w:r>
            <w:r w:rsidRPr="005808FC">
              <w:t>štva</w:t>
            </w:r>
          </w:p>
          <w:p w14:paraId="0F9AC481" w14:textId="77777777" w:rsidR="00532678" w:rsidRPr="003D373D" w:rsidRDefault="00532678" w:rsidP="005808FC">
            <w:pPr>
              <w:numPr>
                <w:ilvl w:val="0"/>
                <w:numId w:val="9"/>
              </w:numPr>
              <w:spacing w:after="0"/>
              <w:ind w:left="482" w:hanging="357"/>
              <w:jc w:val="left"/>
            </w:pPr>
            <w:r w:rsidRPr="00291DF5">
              <w:t>Građani</w:t>
            </w:r>
          </w:p>
        </w:tc>
      </w:tr>
      <w:tr w:rsidR="00532678" w:rsidRPr="003D373D" w14:paraId="26B7CDF3" w14:textId="77777777" w:rsidTr="005808FC">
        <w:trPr>
          <w:trHeight w:val="227"/>
        </w:trPr>
        <w:tc>
          <w:tcPr>
            <w:tcW w:w="3325" w:type="dxa"/>
            <w:shd w:val="clear" w:color="auto" w:fill="F2DBDB" w:themeFill="accent2" w:themeFillTint="33"/>
          </w:tcPr>
          <w:p w14:paraId="76D6DF42" w14:textId="77777777" w:rsidR="00532678" w:rsidRPr="005808FC" w:rsidRDefault="00532678">
            <w:pPr>
              <w:rPr>
                <w:b/>
                <w:bCs/>
              </w:rPr>
            </w:pPr>
            <w:r w:rsidRPr="00291DF5">
              <w:rPr>
                <w:b/>
                <w:bCs/>
              </w:rPr>
              <w:t>Početak/kraj provedbe (godine)</w:t>
            </w:r>
          </w:p>
        </w:tc>
        <w:tc>
          <w:tcPr>
            <w:tcW w:w="5691" w:type="dxa"/>
          </w:tcPr>
          <w:p w14:paraId="2C3FCD68" w14:textId="514DA512" w:rsidR="00532678" w:rsidRPr="005808FC" w:rsidRDefault="00532678">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532678" w:rsidRPr="003D373D" w14:paraId="5E6E7698" w14:textId="77777777" w:rsidTr="005808FC">
        <w:trPr>
          <w:trHeight w:val="227"/>
        </w:trPr>
        <w:tc>
          <w:tcPr>
            <w:tcW w:w="3325" w:type="dxa"/>
            <w:shd w:val="clear" w:color="auto" w:fill="F2DBDB" w:themeFill="accent2" w:themeFillTint="33"/>
          </w:tcPr>
          <w:p w14:paraId="74649B78" w14:textId="77777777" w:rsidR="00532678" w:rsidRPr="005808FC" w:rsidRDefault="00532678">
            <w:pPr>
              <w:rPr>
                <w:b/>
                <w:bCs/>
              </w:rPr>
            </w:pPr>
            <w:r w:rsidRPr="00291DF5">
              <w:rPr>
                <w:b/>
                <w:bCs/>
              </w:rPr>
              <w:t>Procjena troškova (jedinična ili ukupna po mjeri)</w:t>
            </w:r>
          </w:p>
        </w:tc>
        <w:tc>
          <w:tcPr>
            <w:tcW w:w="5691" w:type="dxa"/>
          </w:tcPr>
          <w:p w14:paraId="52AD53A3" w14:textId="23234745" w:rsidR="00532678" w:rsidRPr="005808FC" w:rsidRDefault="00532678">
            <w:pPr>
              <w:rPr>
                <w:rFonts w:eastAsia="Calibri"/>
                <w:b/>
                <w:bCs/>
              </w:rPr>
            </w:pPr>
            <w:r w:rsidRPr="005808FC">
              <w:rPr>
                <w:rFonts w:eastAsia="Calibri"/>
                <w:b/>
                <w:bCs/>
              </w:rPr>
              <w:t>1.000.000 HRK/g</w:t>
            </w:r>
          </w:p>
        </w:tc>
      </w:tr>
      <w:tr w:rsidR="00532678" w:rsidRPr="003D373D" w14:paraId="7B7DAB0A" w14:textId="77777777" w:rsidTr="005808FC">
        <w:trPr>
          <w:trHeight w:val="227"/>
        </w:trPr>
        <w:tc>
          <w:tcPr>
            <w:tcW w:w="3325" w:type="dxa"/>
            <w:shd w:val="clear" w:color="auto" w:fill="F2DBDB" w:themeFill="accent2" w:themeFillTint="33"/>
          </w:tcPr>
          <w:p w14:paraId="4EC89204" w14:textId="77777777" w:rsidR="00532678" w:rsidRPr="005808FC" w:rsidRDefault="00532678">
            <w:pPr>
              <w:rPr>
                <w:b/>
                <w:bCs/>
              </w:rPr>
            </w:pPr>
            <w:r w:rsidRPr="00291DF5">
              <w:rPr>
                <w:b/>
                <w:bCs/>
              </w:rPr>
              <w:t>Izvor sredstava za provedbu</w:t>
            </w:r>
          </w:p>
        </w:tc>
        <w:tc>
          <w:tcPr>
            <w:tcW w:w="5691" w:type="dxa"/>
          </w:tcPr>
          <w:p w14:paraId="7F967366" w14:textId="77777777" w:rsidR="00532678" w:rsidRPr="003D373D" w:rsidRDefault="00532678" w:rsidP="005808FC">
            <w:pPr>
              <w:numPr>
                <w:ilvl w:val="0"/>
                <w:numId w:val="9"/>
              </w:numPr>
              <w:spacing w:after="0"/>
              <w:ind w:left="482" w:hanging="357"/>
              <w:jc w:val="left"/>
            </w:pPr>
            <w:r w:rsidRPr="00291DF5">
              <w:t>Proračun Grada Zagreba</w:t>
            </w:r>
          </w:p>
          <w:p w14:paraId="49D608FD" w14:textId="77777777" w:rsidR="00532678" w:rsidRPr="003D373D" w:rsidRDefault="00532678" w:rsidP="005808FC">
            <w:pPr>
              <w:numPr>
                <w:ilvl w:val="0"/>
                <w:numId w:val="9"/>
              </w:numPr>
              <w:spacing w:after="0"/>
              <w:ind w:left="482" w:hanging="357"/>
              <w:jc w:val="left"/>
            </w:pPr>
            <w:r w:rsidRPr="00291DF5">
              <w:t>Državni proračun</w:t>
            </w:r>
          </w:p>
          <w:p w14:paraId="3323B258" w14:textId="77777777" w:rsidR="00532678" w:rsidRPr="003D373D" w:rsidRDefault="00532678" w:rsidP="005808FC">
            <w:pPr>
              <w:numPr>
                <w:ilvl w:val="0"/>
                <w:numId w:val="9"/>
              </w:numPr>
              <w:spacing w:after="0"/>
              <w:ind w:left="482" w:hanging="357"/>
              <w:jc w:val="left"/>
            </w:pPr>
            <w:r w:rsidRPr="00291DF5">
              <w:t>Programi EU</w:t>
            </w:r>
          </w:p>
        </w:tc>
      </w:tr>
      <w:tr w:rsidR="00532678" w:rsidRPr="003D373D" w14:paraId="421F381E" w14:textId="77777777" w:rsidTr="005808FC">
        <w:trPr>
          <w:trHeight w:val="1970"/>
        </w:trPr>
        <w:tc>
          <w:tcPr>
            <w:tcW w:w="3325" w:type="dxa"/>
            <w:shd w:val="clear" w:color="auto" w:fill="F2DBDB" w:themeFill="accent2" w:themeFillTint="33"/>
          </w:tcPr>
          <w:p w14:paraId="1F178D01" w14:textId="77777777" w:rsidR="00532678" w:rsidRPr="005808FC" w:rsidRDefault="00532678">
            <w:pPr>
              <w:rPr>
                <w:b/>
                <w:bCs/>
              </w:rPr>
            </w:pPr>
            <w:r w:rsidRPr="00291DF5">
              <w:rPr>
                <w:b/>
                <w:bCs/>
              </w:rPr>
              <w:lastRenderedPageBreak/>
              <w:t>Kratki opis/komentar</w:t>
            </w:r>
          </w:p>
        </w:tc>
        <w:tc>
          <w:tcPr>
            <w:tcW w:w="5691" w:type="dxa"/>
          </w:tcPr>
          <w:p w14:paraId="65892844" w14:textId="15244EF9" w:rsidR="00532678" w:rsidRPr="005808FC" w:rsidRDefault="00532678" w:rsidP="00532678">
            <w:pPr>
              <w:autoSpaceDE w:val="0"/>
              <w:autoSpaceDN w:val="0"/>
              <w:adjustRightInd w:val="0"/>
              <w:rPr>
                <w:rFonts w:cstheme="minorHAnsi"/>
                <w:shd w:val="clear" w:color="auto" w:fill="FFFFFF"/>
              </w:rPr>
            </w:pPr>
            <w:r w:rsidRPr="005808FC">
              <w:rPr>
                <w:shd w:val="clear" w:color="auto" w:fill="FFFFFF"/>
              </w:rPr>
              <w:t>Površine koje se koriste za urbano vrtlarenje, kada se usporede s betonskim</w:t>
            </w:r>
            <w:r w:rsidR="000509A0" w:rsidRPr="005808FC">
              <w:rPr>
                <w:shd w:val="clear" w:color="auto" w:fill="FFFFFF"/>
              </w:rPr>
              <w:t xml:space="preserve"> i </w:t>
            </w:r>
            <w:r w:rsidRPr="005808FC">
              <w:rPr>
                <w:shd w:val="clear" w:color="auto" w:fill="FFFFFF"/>
              </w:rPr>
              <w:t xml:space="preserve">asfaltiranim površinama, imaju izrazito pozitivan učinak na prilagodbu učincima klimatskih promjena. Dodatna prilagodba postiže se uvođenjem vrsta koje su otporne na sušu. </w:t>
            </w:r>
            <w:r w:rsidR="001125C4" w:rsidRPr="005808FC">
              <w:rPr>
                <w:shd w:val="clear" w:color="auto" w:fill="FFFFFF"/>
              </w:rPr>
              <w:t>Ostal</w:t>
            </w:r>
            <w:r w:rsidR="001125C4">
              <w:rPr>
                <w:shd w:val="clear" w:color="auto" w:fill="FFFFFF"/>
              </w:rPr>
              <w:t>e</w:t>
            </w:r>
            <w:r w:rsidR="001125C4" w:rsidRPr="005808FC">
              <w:rPr>
                <w:shd w:val="clear" w:color="auto" w:fill="FFFFFF"/>
              </w:rPr>
              <w:t xml:space="preserve"> </w:t>
            </w:r>
            <w:r w:rsidR="001125C4">
              <w:rPr>
                <w:shd w:val="clear" w:color="auto" w:fill="FFFFFF"/>
              </w:rPr>
              <w:t>koristi</w:t>
            </w:r>
            <w:r w:rsidR="001125C4" w:rsidRPr="005808FC">
              <w:rPr>
                <w:shd w:val="clear" w:color="auto" w:fill="FFFFFF"/>
              </w:rPr>
              <w:t xml:space="preserve"> bitn</w:t>
            </w:r>
            <w:r w:rsidR="001125C4">
              <w:rPr>
                <w:shd w:val="clear" w:color="auto" w:fill="FFFFFF"/>
              </w:rPr>
              <w:t>e</w:t>
            </w:r>
            <w:r w:rsidR="001125C4" w:rsidRPr="005808FC">
              <w:rPr>
                <w:shd w:val="clear" w:color="auto" w:fill="FFFFFF"/>
              </w:rPr>
              <w:t xml:space="preserve"> </w:t>
            </w:r>
            <w:r w:rsidRPr="005808FC">
              <w:rPr>
                <w:shd w:val="clear" w:color="auto" w:fill="FFFFFF"/>
              </w:rPr>
              <w:t>za prilagodbu učincima klimatskih promjena:</w:t>
            </w:r>
          </w:p>
          <w:p w14:paraId="59DAAECA" w14:textId="77777777" w:rsidR="00532678" w:rsidRPr="000509A0" w:rsidRDefault="00532678" w:rsidP="005808FC">
            <w:pPr>
              <w:pStyle w:val="ListParagraph"/>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hanging="180"/>
            </w:pPr>
            <w:r w:rsidRPr="005808FC">
              <w:rPr>
                <w:shd w:val="clear" w:color="auto" w:fill="FFFFFF"/>
              </w:rPr>
              <w:t>Povećanjem prisutnosti vegetacije povećat će se kapacitet infiltracije vode tla, što zauzvrat vodi do bolje prilagodbe budućim potrebama u smislu otjecanja kišnice za nevremena;</w:t>
            </w:r>
          </w:p>
          <w:p w14:paraId="35705F6A" w14:textId="2E82F7AC" w:rsidR="00532678" w:rsidRPr="000509A0" w:rsidRDefault="00532678" w:rsidP="005808FC">
            <w:pPr>
              <w:pStyle w:val="ListParagraph"/>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hanging="180"/>
            </w:pPr>
            <w:r w:rsidRPr="005808FC">
              <w:rPr>
                <w:shd w:val="clear" w:color="auto" w:fill="FFFFFF"/>
              </w:rPr>
              <w:t>Pružanjem hlada, povećanjem evapotranspiracije</w:t>
            </w:r>
            <w:r w:rsidR="000509A0" w:rsidRPr="005808FC">
              <w:rPr>
                <w:shd w:val="clear" w:color="auto" w:fill="FFFFFF"/>
              </w:rPr>
              <w:t xml:space="preserve"> i </w:t>
            </w:r>
            <w:r w:rsidRPr="005808FC">
              <w:rPr>
                <w:shd w:val="clear" w:color="auto" w:fill="FFFFFF"/>
              </w:rPr>
              <w:t>pretvaranjem sunčeve svjetlosti u vegetacijski materijal u procesima fotosinteze umjesto da ga apsorbira, biljke</w:t>
            </w:r>
            <w:r w:rsidR="000509A0" w:rsidRPr="005808FC">
              <w:rPr>
                <w:shd w:val="clear" w:color="auto" w:fill="FFFFFF"/>
              </w:rPr>
              <w:t xml:space="preserve"> i </w:t>
            </w:r>
            <w:r w:rsidRPr="005808FC">
              <w:rPr>
                <w:shd w:val="clear" w:color="auto" w:fill="FFFFFF"/>
              </w:rPr>
              <w:t>stabla imaju učinak hlađenja na njihovu okolinu;</w:t>
            </w:r>
          </w:p>
          <w:p w14:paraId="33092BCB" w14:textId="71645FD1" w:rsidR="00532678" w:rsidRPr="000509A0" w:rsidRDefault="00532678" w:rsidP="005808FC">
            <w:pPr>
              <w:pStyle w:val="ListParagraph"/>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hanging="180"/>
            </w:pPr>
            <w:r w:rsidRPr="005808FC">
              <w:rPr>
                <w:shd w:val="clear" w:color="auto" w:fill="FFFFFF"/>
              </w:rPr>
              <w:t>Korištenjem biljaka tolerantnijih na sušu potrebe vode za navodnjavanje mogu se smanjiti</w:t>
            </w:r>
            <w:r w:rsidR="00B06748">
              <w:rPr>
                <w:shd w:val="clear" w:color="auto" w:fill="FFFFFF"/>
              </w:rPr>
              <w:t>;</w:t>
            </w:r>
          </w:p>
          <w:p w14:paraId="01E1CCC3" w14:textId="32BCC911" w:rsidR="00532678" w:rsidRPr="000509A0" w:rsidRDefault="00532678" w:rsidP="005808FC">
            <w:pPr>
              <w:pStyle w:val="ListParagraph"/>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hanging="180"/>
            </w:pPr>
            <w:r w:rsidRPr="005808FC">
              <w:rPr>
                <w:shd w:val="clear" w:color="auto" w:fill="FFFFFF"/>
              </w:rPr>
              <w:t>Kao posljedica povećanog kapaciteta infiltracije vode, podzemni će se stol povećati kako bi se poboljšala otpornost na sušu</w:t>
            </w:r>
            <w:r w:rsidR="00B06748">
              <w:rPr>
                <w:shd w:val="clear" w:color="auto" w:fill="FFFFFF"/>
              </w:rPr>
              <w:t>;</w:t>
            </w:r>
          </w:p>
          <w:p w14:paraId="4E79094A" w14:textId="372BDDD0" w:rsidR="00532678" w:rsidRPr="00C42B1B" w:rsidRDefault="00532678" w:rsidP="005808FC">
            <w:pPr>
              <w:pStyle w:val="ListParagraph"/>
              <w:numPr>
                <w:ilvl w:val="0"/>
                <w:numId w:val="2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hanging="180"/>
            </w:pPr>
            <w:r w:rsidRPr="005808FC">
              <w:rPr>
                <w:shd w:val="clear" w:color="auto" w:fill="FFFFFF"/>
              </w:rPr>
              <w:t>Urbana poljoprivreda</w:t>
            </w:r>
            <w:r w:rsidR="000509A0" w:rsidRPr="005808FC">
              <w:rPr>
                <w:shd w:val="clear" w:color="auto" w:fill="FFFFFF"/>
              </w:rPr>
              <w:t xml:space="preserve"> i </w:t>
            </w:r>
            <w:r w:rsidRPr="005808FC">
              <w:rPr>
                <w:shd w:val="clear" w:color="auto" w:fill="FFFFFF"/>
              </w:rPr>
              <w:t>vrtlarstvo privlače različite životinjske vrste</w:t>
            </w:r>
            <w:r w:rsidR="000509A0" w:rsidRPr="005808FC">
              <w:rPr>
                <w:shd w:val="clear" w:color="auto" w:fill="FFFFFF"/>
              </w:rPr>
              <w:t xml:space="preserve"> i </w:t>
            </w:r>
            <w:r w:rsidRPr="005808FC">
              <w:rPr>
                <w:shd w:val="clear" w:color="auto" w:fill="FFFFFF"/>
              </w:rPr>
              <w:t>time povećavaju lokalnu biološku raznolikost. Štoviše, vrtovi se koriste kao rekreacijska područja</w:t>
            </w:r>
            <w:r w:rsidR="000509A0" w:rsidRPr="005808FC">
              <w:rPr>
                <w:shd w:val="clear" w:color="auto" w:fill="FFFFFF"/>
              </w:rPr>
              <w:t xml:space="preserve"> i </w:t>
            </w:r>
            <w:r w:rsidRPr="005808FC">
              <w:rPr>
                <w:shd w:val="clear" w:color="auto" w:fill="FFFFFF"/>
              </w:rPr>
              <w:t>javna mjesta za sastanke za ljude, poboljšavajući ekološke kvalitete urbanih područja</w:t>
            </w:r>
            <w:r w:rsidR="00B06748">
              <w:rPr>
                <w:shd w:val="clear" w:color="auto" w:fill="FFFFFF"/>
              </w:rPr>
              <w:t>.</w:t>
            </w:r>
          </w:p>
          <w:p w14:paraId="28E94AF5" w14:textId="77777777" w:rsidR="00C42B1B" w:rsidRPr="000509A0" w:rsidRDefault="00C42B1B" w:rsidP="00C42B1B">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pPr>
          </w:p>
          <w:p w14:paraId="3102590E" w14:textId="25FE2D6B" w:rsidR="00532678" w:rsidRPr="005808FC" w:rsidRDefault="00532678" w:rsidP="000361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5808FC">
              <w:rPr>
                <w:shd w:val="clear" w:color="auto" w:fill="FFFFFF"/>
              </w:rPr>
              <w:t>Ova mjera predstavlja nastavak dobre prase u Gradu Zagrebu,</w:t>
            </w:r>
            <w:r w:rsidR="000509A0" w:rsidRPr="005808FC">
              <w:rPr>
                <w:shd w:val="clear" w:color="auto" w:fill="FFFFFF"/>
              </w:rPr>
              <w:t xml:space="preserve"> i </w:t>
            </w:r>
            <w:r w:rsidRPr="005808FC">
              <w:rPr>
                <w:shd w:val="clear" w:color="auto" w:fill="FFFFFF"/>
              </w:rPr>
              <w:t>treba je dodatno razvijati u smjeru povećanja površina koje se koriste za ovu namjenu, dodatne edukacije građana o dobrobitima urbanog vrtlarenja</w:t>
            </w:r>
            <w:r w:rsidR="008B51BA">
              <w:rPr>
                <w:shd w:val="clear" w:color="auto" w:fill="FFFFFF"/>
              </w:rPr>
              <w:t xml:space="preserve"> te povećanje svijesti i interesa građana za bavljenje urbanim vrtlarenjem</w:t>
            </w:r>
            <w:r w:rsidR="008B51BA" w:rsidRPr="005808FC">
              <w:rPr>
                <w:shd w:val="clear" w:color="auto" w:fill="FFFFFF"/>
              </w:rPr>
              <w:t>,</w:t>
            </w:r>
            <w:r w:rsidRPr="005808FC">
              <w:rPr>
                <w:shd w:val="clear" w:color="auto" w:fill="FFFFFF"/>
              </w:rPr>
              <w:t xml:space="preserve"> ne samo u svrhu proizvodnje hrane, već</w:t>
            </w:r>
            <w:r w:rsidR="000509A0" w:rsidRPr="005808FC">
              <w:rPr>
                <w:shd w:val="clear" w:color="auto" w:fill="FFFFFF"/>
              </w:rPr>
              <w:t xml:space="preserve"> i </w:t>
            </w:r>
            <w:r w:rsidRPr="005808FC">
              <w:rPr>
                <w:shd w:val="clear" w:color="auto" w:fill="FFFFFF"/>
              </w:rPr>
              <w:t>u svrhu očuvanja bioraznolikosti</w:t>
            </w:r>
            <w:r w:rsidR="000509A0" w:rsidRPr="005808FC">
              <w:rPr>
                <w:shd w:val="clear" w:color="auto" w:fill="FFFFFF"/>
              </w:rPr>
              <w:t xml:space="preserve"> i </w:t>
            </w:r>
            <w:r w:rsidRPr="005808FC">
              <w:rPr>
                <w:shd w:val="clear" w:color="auto" w:fill="FFFFFF"/>
              </w:rPr>
              <w:t xml:space="preserve">smanjenju negativnih učinaka klimatskih promjena. </w:t>
            </w:r>
          </w:p>
        </w:tc>
      </w:tr>
    </w:tbl>
    <w:p w14:paraId="3F47B807" w14:textId="77777777" w:rsidR="00532678" w:rsidRDefault="00532678" w:rsidP="00532678">
      <w:pPr>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532678" w:rsidRPr="003D373D" w14:paraId="70F07227" w14:textId="77777777" w:rsidTr="005808FC">
        <w:trPr>
          <w:trHeight w:val="227"/>
        </w:trPr>
        <w:tc>
          <w:tcPr>
            <w:tcW w:w="3325" w:type="dxa"/>
            <w:shd w:val="clear" w:color="auto" w:fill="C6D9F1" w:themeFill="text2" w:themeFillTint="33"/>
          </w:tcPr>
          <w:p w14:paraId="3D6BB072" w14:textId="77777777" w:rsidR="00532678" w:rsidRPr="005808FC" w:rsidRDefault="00532678">
            <w:pPr>
              <w:rPr>
                <w:b/>
                <w:bCs/>
              </w:rPr>
            </w:pPr>
            <w:r w:rsidRPr="00291DF5">
              <w:rPr>
                <w:b/>
                <w:bCs/>
              </w:rPr>
              <w:t>Redni broj mjere</w:t>
            </w:r>
          </w:p>
        </w:tc>
        <w:tc>
          <w:tcPr>
            <w:tcW w:w="5691" w:type="dxa"/>
            <w:shd w:val="clear" w:color="auto" w:fill="C6D9F1" w:themeFill="text2" w:themeFillTint="33"/>
          </w:tcPr>
          <w:p w14:paraId="675CDF53" w14:textId="77777777" w:rsidR="00532678" w:rsidRPr="005808FC" w:rsidRDefault="00532678">
            <w:pPr>
              <w:rPr>
                <w:rFonts w:eastAsia="Calibri"/>
                <w:b/>
                <w:bCs/>
              </w:rPr>
            </w:pPr>
            <w:r w:rsidRPr="00291DF5">
              <w:rPr>
                <w:rFonts w:eastAsia="Calibri"/>
                <w:b/>
                <w:bCs/>
              </w:rPr>
              <w:t>27</w:t>
            </w:r>
          </w:p>
        </w:tc>
      </w:tr>
      <w:tr w:rsidR="00532678" w:rsidRPr="003D373D" w14:paraId="084050E1" w14:textId="77777777" w:rsidTr="005808FC">
        <w:trPr>
          <w:trHeight w:val="818"/>
        </w:trPr>
        <w:tc>
          <w:tcPr>
            <w:tcW w:w="3325" w:type="dxa"/>
            <w:shd w:val="clear" w:color="auto" w:fill="C6D9F1" w:themeFill="text2" w:themeFillTint="33"/>
          </w:tcPr>
          <w:p w14:paraId="53583DCC" w14:textId="77777777" w:rsidR="00532678" w:rsidRPr="005808FC" w:rsidRDefault="00532678">
            <w:pPr>
              <w:rPr>
                <w:b/>
                <w:bCs/>
              </w:rPr>
            </w:pPr>
            <w:r w:rsidRPr="00291DF5">
              <w:rPr>
                <w:b/>
                <w:bCs/>
              </w:rPr>
              <w:br w:type="page"/>
              <w:t>Ime mjere/aktivnost</w:t>
            </w:r>
          </w:p>
        </w:tc>
        <w:tc>
          <w:tcPr>
            <w:tcW w:w="5691" w:type="dxa"/>
            <w:shd w:val="clear" w:color="auto" w:fill="C6D9F1" w:themeFill="text2" w:themeFillTint="33"/>
          </w:tcPr>
          <w:p w14:paraId="7B47B038" w14:textId="77777777" w:rsidR="00532678" w:rsidRPr="005808FC" w:rsidRDefault="00532678">
            <w:pPr>
              <w:autoSpaceDE w:val="0"/>
              <w:autoSpaceDN w:val="0"/>
              <w:adjustRightInd w:val="0"/>
              <w:rPr>
                <w:rFonts w:eastAsia="Calibri"/>
                <w:b/>
                <w:bCs/>
              </w:rPr>
            </w:pPr>
            <w:r w:rsidRPr="00291DF5">
              <w:rPr>
                <w:rFonts w:eastAsia="Calibri"/>
                <w:b/>
                <w:bCs/>
              </w:rPr>
              <w:t>Prilagodba planova zaštite od požara učincima klimatskih promjena</w:t>
            </w:r>
          </w:p>
        </w:tc>
      </w:tr>
      <w:tr w:rsidR="00532678" w:rsidRPr="003D373D" w14:paraId="782D1051" w14:textId="77777777" w:rsidTr="005808FC">
        <w:trPr>
          <w:trHeight w:val="227"/>
        </w:trPr>
        <w:tc>
          <w:tcPr>
            <w:tcW w:w="3325" w:type="dxa"/>
            <w:shd w:val="clear" w:color="auto" w:fill="F2DBDB" w:themeFill="accent2" w:themeFillTint="33"/>
          </w:tcPr>
          <w:p w14:paraId="266B7705" w14:textId="77777777" w:rsidR="00532678" w:rsidRPr="005808FC" w:rsidRDefault="00532678">
            <w:pPr>
              <w:rPr>
                <w:b/>
                <w:bCs/>
              </w:rPr>
            </w:pPr>
            <w:r w:rsidRPr="00291DF5">
              <w:rPr>
                <w:b/>
                <w:bCs/>
              </w:rPr>
              <w:t>Nositelj aktivnosti:</w:t>
            </w:r>
          </w:p>
        </w:tc>
        <w:tc>
          <w:tcPr>
            <w:tcW w:w="5691" w:type="dxa"/>
          </w:tcPr>
          <w:p w14:paraId="3BD1BC2E" w14:textId="63AB39E2" w:rsidR="00532678" w:rsidRPr="003D373D" w:rsidRDefault="00532678" w:rsidP="005808FC">
            <w:pPr>
              <w:numPr>
                <w:ilvl w:val="0"/>
                <w:numId w:val="9"/>
              </w:numPr>
              <w:spacing w:after="0"/>
              <w:ind w:left="482" w:hanging="357"/>
              <w:jc w:val="left"/>
            </w:pPr>
            <w:r w:rsidRPr="00291DF5">
              <w:t>Ured za upravljanje u hitnim situacijama</w:t>
            </w:r>
          </w:p>
        </w:tc>
      </w:tr>
      <w:tr w:rsidR="00532678" w:rsidRPr="003D373D" w14:paraId="6737937A" w14:textId="77777777" w:rsidTr="005808FC">
        <w:trPr>
          <w:trHeight w:val="227"/>
        </w:trPr>
        <w:tc>
          <w:tcPr>
            <w:tcW w:w="3325" w:type="dxa"/>
            <w:shd w:val="clear" w:color="auto" w:fill="F2DBDB" w:themeFill="accent2" w:themeFillTint="33"/>
          </w:tcPr>
          <w:p w14:paraId="73D7EAEF" w14:textId="77777777" w:rsidR="00532678" w:rsidRPr="005808FC" w:rsidRDefault="00532678">
            <w:pPr>
              <w:rPr>
                <w:b/>
                <w:bCs/>
              </w:rPr>
            </w:pPr>
            <w:r w:rsidRPr="00291DF5">
              <w:rPr>
                <w:b/>
                <w:bCs/>
              </w:rPr>
              <w:t>Partneri u provođenju aktivnosti:</w:t>
            </w:r>
          </w:p>
        </w:tc>
        <w:tc>
          <w:tcPr>
            <w:tcW w:w="5691" w:type="dxa"/>
          </w:tcPr>
          <w:p w14:paraId="3D5CC83D" w14:textId="108730D9" w:rsidR="00532678" w:rsidRDefault="00532678" w:rsidP="005808FC">
            <w:pPr>
              <w:numPr>
                <w:ilvl w:val="0"/>
                <w:numId w:val="9"/>
              </w:numPr>
              <w:spacing w:after="0"/>
              <w:ind w:left="482" w:hanging="357"/>
              <w:jc w:val="left"/>
            </w:pPr>
            <w:r w:rsidRPr="00291DF5">
              <w:t xml:space="preserve">Gradski ured za </w:t>
            </w:r>
            <w:r w:rsidRPr="005808FC">
              <w:t>strategijsko planiranje</w:t>
            </w:r>
            <w:r w:rsidR="000509A0">
              <w:t xml:space="preserve"> i </w:t>
            </w:r>
            <w:r w:rsidRPr="00291DF5">
              <w:t xml:space="preserve">razvoj grada </w:t>
            </w:r>
          </w:p>
          <w:p w14:paraId="2B7A97EA" w14:textId="77777777" w:rsidR="00532678" w:rsidRPr="003D373D" w:rsidRDefault="00532678" w:rsidP="005808FC">
            <w:pPr>
              <w:numPr>
                <w:ilvl w:val="0"/>
                <w:numId w:val="9"/>
              </w:numPr>
              <w:spacing w:after="0"/>
              <w:ind w:left="482" w:hanging="357"/>
              <w:jc w:val="left"/>
            </w:pPr>
            <w:r w:rsidRPr="00291DF5">
              <w:t>Zavod za prostorno planiranje Grada Zagreba</w:t>
            </w:r>
          </w:p>
          <w:p w14:paraId="63F91F6D" w14:textId="2D69A756" w:rsidR="00532678" w:rsidRPr="003D373D" w:rsidDel="00436CBA" w:rsidRDefault="00532678" w:rsidP="005808FC">
            <w:pPr>
              <w:numPr>
                <w:ilvl w:val="0"/>
                <w:numId w:val="9"/>
              </w:numPr>
              <w:spacing w:after="0"/>
              <w:ind w:left="482" w:hanging="357"/>
              <w:jc w:val="left"/>
            </w:pPr>
            <w:r w:rsidRPr="00291DF5">
              <w:t>Gradski ured za gospodarstvo, energetiku</w:t>
            </w:r>
            <w:r w:rsidR="000509A0">
              <w:t xml:space="preserve"> i </w:t>
            </w:r>
            <w:r w:rsidRPr="00291DF5">
              <w:t>zaštitu okoliša</w:t>
            </w:r>
          </w:p>
        </w:tc>
      </w:tr>
      <w:tr w:rsidR="00532678" w:rsidRPr="003D373D" w14:paraId="0827394D" w14:textId="77777777" w:rsidTr="005808FC">
        <w:trPr>
          <w:trHeight w:val="227"/>
        </w:trPr>
        <w:tc>
          <w:tcPr>
            <w:tcW w:w="3325" w:type="dxa"/>
            <w:shd w:val="clear" w:color="auto" w:fill="F2DBDB" w:themeFill="accent2" w:themeFillTint="33"/>
          </w:tcPr>
          <w:p w14:paraId="5A21AB53" w14:textId="77777777" w:rsidR="00532678" w:rsidRPr="005808FC" w:rsidRDefault="00532678">
            <w:pPr>
              <w:rPr>
                <w:b/>
                <w:bCs/>
              </w:rPr>
            </w:pPr>
            <w:r w:rsidRPr="00291DF5">
              <w:rPr>
                <w:b/>
                <w:bCs/>
              </w:rPr>
              <w:lastRenderedPageBreak/>
              <w:t>Ostali uključeni dionici:</w:t>
            </w:r>
          </w:p>
        </w:tc>
        <w:tc>
          <w:tcPr>
            <w:tcW w:w="5691" w:type="dxa"/>
          </w:tcPr>
          <w:p w14:paraId="58B68098" w14:textId="77777777" w:rsidR="00532678" w:rsidRPr="003D373D" w:rsidRDefault="00532678" w:rsidP="005808FC">
            <w:pPr>
              <w:numPr>
                <w:ilvl w:val="0"/>
                <w:numId w:val="9"/>
              </w:numPr>
              <w:spacing w:after="0"/>
              <w:ind w:left="482" w:hanging="357"/>
              <w:jc w:val="left"/>
            </w:pPr>
            <w:r w:rsidRPr="00291DF5">
              <w:t xml:space="preserve">Agronomski fakultet Sveučilišta u Zagrebu </w:t>
            </w:r>
          </w:p>
          <w:p w14:paraId="6C702135" w14:textId="77777777" w:rsidR="00532678" w:rsidRPr="003D373D" w:rsidRDefault="00532678" w:rsidP="005808FC">
            <w:pPr>
              <w:numPr>
                <w:ilvl w:val="0"/>
                <w:numId w:val="9"/>
              </w:numPr>
              <w:spacing w:after="0"/>
              <w:ind w:left="482" w:hanging="357"/>
              <w:jc w:val="left"/>
            </w:pPr>
            <w:r w:rsidRPr="00291DF5">
              <w:t xml:space="preserve">Šumarski fakultet </w:t>
            </w:r>
            <w:r w:rsidRPr="005808FC">
              <w:t>Sveučilišta u Zagrebu</w:t>
            </w:r>
          </w:p>
          <w:p w14:paraId="24B6CDDD" w14:textId="77777777" w:rsidR="00532678" w:rsidRPr="003D373D" w:rsidRDefault="00532678" w:rsidP="005808FC">
            <w:pPr>
              <w:numPr>
                <w:ilvl w:val="0"/>
                <w:numId w:val="9"/>
              </w:numPr>
              <w:spacing w:after="0"/>
              <w:ind w:left="482" w:hanging="357"/>
              <w:jc w:val="left"/>
            </w:pPr>
            <w:r w:rsidRPr="00291DF5">
              <w:t>Udruge civilnog društva</w:t>
            </w:r>
          </w:p>
          <w:p w14:paraId="1404686F" w14:textId="77777777" w:rsidR="00532678" w:rsidRPr="003D373D" w:rsidRDefault="00532678" w:rsidP="005808FC">
            <w:pPr>
              <w:numPr>
                <w:ilvl w:val="0"/>
                <w:numId w:val="9"/>
              </w:numPr>
              <w:spacing w:after="0"/>
              <w:ind w:left="482" w:hanging="357"/>
              <w:jc w:val="left"/>
            </w:pPr>
            <w:r w:rsidRPr="00291DF5">
              <w:t>Građani</w:t>
            </w:r>
          </w:p>
        </w:tc>
      </w:tr>
      <w:tr w:rsidR="00532678" w:rsidRPr="003D373D" w14:paraId="7496F304" w14:textId="77777777" w:rsidTr="005808FC">
        <w:trPr>
          <w:trHeight w:val="227"/>
        </w:trPr>
        <w:tc>
          <w:tcPr>
            <w:tcW w:w="3325" w:type="dxa"/>
            <w:shd w:val="clear" w:color="auto" w:fill="F2DBDB" w:themeFill="accent2" w:themeFillTint="33"/>
          </w:tcPr>
          <w:p w14:paraId="63CE03AE" w14:textId="77777777" w:rsidR="00532678" w:rsidRPr="005808FC" w:rsidRDefault="00532678">
            <w:pPr>
              <w:rPr>
                <w:b/>
                <w:bCs/>
              </w:rPr>
            </w:pPr>
            <w:r w:rsidRPr="00291DF5">
              <w:rPr>
                <w:b/>
                <w:bCs/>
              </w:rPr>
              <w:t>Početak/kraj provedbe (godine)</w:t>
            </w:r>
          </w:p>
        </w:tc>
        <w:tc>
          <w:tcPr>
            <w:tcW w:w="5691" w:type="dxa"/>
          </w:tcPr>
          <w:p w14:paraId="717019B4" w14:textId="2AC2761D" w:rsidR="00532678" w:rsidRPr="005808FC" w:rsidRDefault="00532678">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532678" w:rsidRPr="003D373D" w14:paraId="786543B6" w14:textId="77777777" w:rsidTr="005808FC">
        <w:trPr>
          <w:trHeight w:val="227"/>
        </w:trPr>
        <w:tc>
          <w:tcPr>
            <w:tcW w:w="3325" w:type="dxa"/>
            <w:shd w:val="clear" w:color="auto" w:fill="F2DBDB" w:themeFill="accent2" w:themeFillTint="33"/>
          </w:tcPr>
          <w:p w14:paraId="5DF5DE8E" w14:textId="77777777" w:rsidR="00532678" w:rsidRPr="005808FC" w:rsidRDefault="00532678">
            <w:pPr>
              <w:rPr>
                <w:b/>
                <w:bCs/>
              </w:rPr>
            </w:pPr>
            <w:r w:rsidRPr="00291DF5">
              <w:rPr>
                <w:b/>
                <w:bCs/>
              </w:rPr>
              <w:t>Procjena troškova (jedinična ili ukupna po mjeri)</w:t>
            </w:r>
          </w:p>
        </w:tc>
        <w:tc>
          <w:tcPr>
            <w:tcW w:w="5691" w:type="dxa"/>
          </w:tcPr>
          <w:p w14:paraId="3C67E266" w14:textId="0AED4AB6" w:rsidR="00532678" w:rsidRPr="005808FC" w:rsidRDefault="00C44370">
            <w:pPr>
              <w:rPr>
                <w:rFonts w:eastAsia="Calibri"/>
                <w:b/>
                <w:bCs/>
              </w:rPr>
            </w:pPr>
            <w:r w:rsidRPr="005808FC">
              <w:rPr>
                <w:rFonts w:eastAsia="Calibri"/>
                <w:b/>
                <w:bCs/>
              </w:rPr>
              <w:t>500.000</w:t>
            </w:r>
          </w:p>
        </w:tc>
      </w:tr>
      <w:tr w:rsidR="00532678" w:rsidRPr="003D373D" w14:paraId="741999B2" w14:textId="77777777" w:rsidTr="005808FC">
        <w:trPr>
          <w:trHeight w:val="227"/>
        </w:trPr>
        <w:tc>
          <w:tcPr>
            <w:tcW w:w="3325" w:type="dxa"/>
            <w:shd w:val="clear" w:color="auto" w:fill="F2DBDB" w:themeFill="accent2" w:themeFillTint="33"/>
          </w:tcPr>
          <w:p w14:paraId="5FE38318" w14:textId="77777777" w:rsidR="00532678" w:rsidRPr="005808FC" w:rsidRDefault="00532678">
            <w:pPr>
              <w:rPr>
                <w:b/>
                <w:bCs/>
              </w:rPr>
            </w:pPr>
            <w:r w:rsidRPr="00291DF5">
              <w:rPr>
                <w:b/>
                <w:bCs/>
              </w:rPr>
              <w:t>Izvor sredstava za provedbu</w:t>
            </w:r>
          </w:p>
        </w:tc>
        <w:tc>
          <w:tcPr>
            <w:tcW w:w="5691" w:type="dxa"/>
          </w:tcPr>
          <w:p w14:paraId="362911CD" w14:textId="77777777" w:rsidR="00532678" w:rsidRPr="003D373D" w:rsidRDefault="00532678" w:rsidP="005808FC">
            <w:pPr>
              <w:numPr>
                <w:ilvl w:val="0"/>
                <w:numId w:val="9"/>
              </w:numPr>
              <w:spacing w:after="0"/>
              <w:ind w:left="482" w:hanging="357"/>
              <w:jc w:val="left"/>
            </w:pPr>
            <w:r w:rsidRPr="00291DF5">
              <w:t>Proračun Grada Zagreba</w:t>
            </w:r>
          </w:p>
          <w:p w14:paraId="609CB665" w14:textId="77777777" w:rsidR="00532678" w:rsidRPr="003D373D" w:rsidRDefault="00532678" w:rsidP="005808FC">
            <w:pPr>
              <w:numPr>
                <w:ilvl w:val="0"/>
                <w:numId w:val="9"/>
              </w:numPr>
              <w:spacing w:after="0"/>
              <w:ind w:left="482" w:hanging="357"/>
              <w:jc w:val="left"/>
            </w:pPr>
            <w:r w:rsidRPr="00291DF5">
              <w:t>Državni proračun</w:t>
            </w:r>
          </w:p>
          <w:p w14:paraId="770E211F" w14:textId="77777777" w:rsidR="00532678" w:rsidRPr="003D373D" w:rsidRDefault="00532678" w:rsidP="005808FC">
            <w:pPr>
              <w:numPr>
                <w:ilvl w:val="0"/>
                <w:numId w:val="9"/>
              </w:numPr>
              <w:spacing w:after="0"/>
              <w:ind w:left="482" w:hanging="357"/>
              <w:jc w:val="left"/>
            </w:pPr>
            <w:r w:rsidRPr="00291DF5">
              <w:t>Programi EU</w:t>
            </w:r>
          </w:p>
        </w:tc>
      </w:tr>
      <w:tr w:rsidR="00532678" w:rsidRPr="003D373D" w14:paraId="160EB653" w14:textId="77777777" w:rsidTr="005808FC">
        <w:trPr>
          <w:trHeight w:val="1538"/>
        </w:trPr>
        <w:tc>
          <w:tcPr>
            <w:tcW w:w="3325" w:type="dxa"/>
            <w:shd w:val="clear" w:color="auto" w:fill="F2DBDB" w:themeFill="accent2" w:themeFillTint="33"/>
          </w:tcPr>
          <w:p w14:paraId="152A3030" w14:textId="77777777" w:rsidR="00532678" w:rsidRPr="005808FC" w:rsidRDefault="00532678">
            <w:pPr>
              <w:rPr>
                <w:b/>
                <w:bCs/>
              </w:rPr>
            </w:pPr>
            <w:r w:rsidRPr="00291DF5">
              <w:rPr>
                <w:b/>
                <w:bCs/>
              </w:rPr>
              <w:t xml:space="preserve">Kratki </w:t>
            </w:r>
            <w:r w:rsidRPr="005808FC">
              <w:rPr>
                <w:b/>
                <w:bCs/>
              </w:rPr>
              <w:t>opis/komentar</w:t>
            </w:r>
          </w:p>
        </w:tc>
        <w:tc>
          <w:tcPr>
            <w:tcW w:w="5691" w:type="dxa"/>
          </w:tcPr>
          <w:p w14:paraId="096C2D33" w14:textId="79839065" w:rsidR="00532678" w:rsidRPr="005808FC" w:rsidRDefault="00C44370">
            <w:pPr>
              <w:autoSpaceDE w:val="0"/>
              <w:autoSpaceDN w:val="0"/>
              <w:adjustRightInd w:val="0"/>
              <w:rPr>
                <w:rFonts w:eastAsia="Calibri"/>
              </w:rPr>
            </w:pPr>
            <w:r w:rsidRPr="00291DF5">
              <w:rPr>
                <w:rFonts w:eastAsia="Calibri"/>
              </w:rPr>
              <w:t>Povećanje učestalosti šumskih požara direktna je posljedica klimatskih promjena zbog smanjenja učestalosti</w:t>
            </w:r>
            <w:r w:rsidR="000509A0">
              <w:rPr>
                <w:rFonts w:eastAsia="Calibri"/>
              </w:rPr>
              <w:t xml:space="preserve"> i </w:t>
            </w:r>
            <w:r w:rsidRPr="00291DF5">
              <w:rPr>
                <w:rFonts w:eastAsia="Calibri"/>
              </w:rPr>
              <w:t>količina padalina</w:t>
            </w:r>
            <w:r w:rsidR="000509A0">
              <w:rPr>
                <w:rFonts w:eastAsia="Calibri"/>
              </w:rPr>
              <w:t xml:space="preserve"> i </w:t>
            </w:r>
            <w:r w:rsidRPr="00291DF5">
              <w:rPr>
                <w:rFonts w:eastAsia="Calibri"/>
              </w:rPr>
              <w:t>izraženih toplinskih val</w:t>
            </w:r>
            <w:r w:rsidRPr="005808FC">
              <w:rPr>
                <w:rFonts w:eastAsia="Calibri"/>
              </w:rPr>
              <w:t>ova. Navedenu činjenicu potrebno je uvažiti</w:t>
            </w:r>
            <w:r w:rsidR="000509A0">
              <w:rPr>
                <w:rFonts w:eastAsia="Calibri"/>
              </w:rPr>
              <w:t xml:space="preserve"> i </w:t>
            </w:r>
            <w:r w:rsidRPr="00291DF5">
              <w:rPr>
                <w:rFonts w:eastAsia="Calibri"/>
              </w:rPr>
              <w:t xml:space="preserve">izraditi analizu </w:t>
            </w:r>
            <w:r w:rsidRPr="005808FC">
              <w:rPr>
                <w:rFonts w:eastAsia="Calibri"/>
              </w:rPr>
              <w:t>postojećih planova zaštite od požara</w:t>
            </w:r>
            <w:r w:rsidR="000509A0">
              <w:rPr>
                <w:rFonts w:eastAsia="Calibri"/>
              </w:rPr>
              <w:t xml:space="preserve"> i </w:t>
            </w:r>
            <w:r w:rsidRPr="00291DF5">
              <w:rPr>
                <w:rFonts w:eastAsia="Calibri"/>
              </w:rPr>
              <w:t>na temelju nje unaprijediti postojeće planov</w:t>
            </w:r>
            <w:r w:rsidRPr="005808FC">
              <w:rPr>
                <w:rFonts w:eastAsia="Calibri"/>
              </w:rPr>
              <w:t xml:space="preserve">e. </w:t>
            </w:r>
          </w:p>
        </w:tc>
      </w:tr>
    </w:tbl>
    <w:p w14:paraId="4D755BDA" w14:textId="77777777" w:rsidR="00532678" w:rsidRPr="001054CD" w:rsidRDefault="00532678" w:rsidP="00532678">
      <w:pPr>
        <w:spacing w:before="120"/>
        <w:rPr>
          <w:rFonts w:cstheme="minorHAnsi"/>
          <w:b/>
        </w:rPr>
      </w:pPr>
    </w:p>
    <w:p w14:paraId="275AECA3" w14:textId="3F576427" w:rsidR="00AE5E1A" w:rsidRDefault="003758FA" w:rsidP="003758FA">
      <w:pPr>
        <w:pStyle w:val="Heading2"/>
      </w:pPr>
      <w:bookmarkStart w:id="266" w:name="_Toc523743109"/>
      <w:bookmarkStart w:id="267" w:name="_Toc523743143"/>
      <w:bookmarkStart w:id="268" w:name="_Toc4156115"/>
      <w:bookmarkEnd w:id="266"/>
      <w:bookmarkEnd w:id="267"/>
      <w:r>
        <w:t>Zdravstveni sektor</w:t>
      </w:r>
      <w:bookmarkEnd w:id="268"/>
    </w:p>
    <w:p w14:paraId="6F9D6E67" w14:textId="66183B0B" w:rsidR="003758FA" w:rsidRDefault="00E23C97" w:rsidP="005808FC">
      <w:pPr>
        <w:spacing w:before="120"/>
      </w:pPr>
      <w:r>
        <w:t>Zdravstveni sektor je posebno važan prilikom promatranja utjecaja klimatskih promjena na lokalnu zajednicu. U budućnosti će klimatske promjene utjecati na zdravlje građana te je iznimno važno planirati aktivnosti za zaštitu zdravlja.</w:t>
      </w:r>
      <w:r w:rsidR="00C44370">
        <w:t xml:space="preserve"> </w:t>
      </w:r>
      <w:r w:rsidR="00C44370" w:rsidRPr="00291DF5">
        <w:t xml:space="preserve">Klimatske promjene prouzročiti </w:t>
      </w:r>
      <w:r w:rsidR="00C44370" w:rsidRPr="005808FC">
        <w:t>će nove zdravstvene rizike</w:t>
      </w:r>
      <w:r w:rsidR="000509A0">
        <w:t xml:space="preserve"> i </w:t>
      </w:r>
      <w:r w:rsidR="00C44370" w:rsidRPr="00291DF5">
        <w:t>povećati intenzitet postojećih zdravstvenih problema. Očekuju se direktni</w:t>
      </w:r>
      <w:r w:rsidR="000509A0">
        <w:t xml:space="preserve"> i </w:t>
      </w:r>
      <w:r w:rsidR="00C44370" w:rsidRPr="00291DF5">
        <w:t>indirektni učinci  na zdravlje ljudi, životinjskog</w:t>
      </w:r>
      <w:r w:rsidR="000509A0">
        <w:t xml:space="preserve"> i </w:t>
      </w:r>
      <w:r w:rsidR="00C44370" w:rsidRPr="00291DF5">
        <w:t>biljnog svijeta. Direktni učinci ostvarivati će se kao rezultat promjena u intenzitetu</w:t>
      </w:r>
      <w:r w:rsidR="000509A0">
        <w:t xml:space="preserve"> i </w:t>
      </w:r>
      <w:r w:rsidR="00C44370" w:rsidRPr="00291DF5">
        <w:t>učestalosti ekstremnih vremenskih događaja, kao što su izraženi toplinski valovi</w:t>
      </w:r>
      <w:r w:rsidR="000509A0">
        <w:t xml:space="preserve"> i </w:t>
      </w:r>
      <w:r w:rsidR="00C44370" w:rsidRPr="00291DF5">
        <w:t xml:space="preserve">poplave. Indirektni učinci manifestirati će se kroz promjene u pojavnosti bolesti koje se prenose </w:t>
      </w:r>
      <w:r w:rsidR="00D061F3">
        <w:t xml:space="preserve">vektorski </w:t>
      </w:r>
      <w:r w:rsidR="00C44370" w:rsidRPr="00291DF5">
        <w:t>(npr. bolesti koje prenose</w:t>
      </w:r>
      <w:r w:rsidR="00D061F3">
        <w:t xml:space="preserve"> člankonošci poput</w:t>
      </w:r>
      <w:r w:rsidR="00C44370" w:rsidRPr="00291DF5">
        <w:t xml:space="preserve"> komar</w:t>
      </w:r>
      <w:r w:rsidR="00D061F3">
        <w:t>aca</w:t>
      </w:r>
      <w:r w:rsidR="000509A0">
        <w:t xml:space="preserve"> i </w:t>
      </w:r>
      <w:r w:rsidR="00C44370" w:rsidRPr="00291DF5">
        <w:t>krpelj</w:t>
      </w:r>
      <w:r w:rsidR="00D061F3">
        <w:t>a</w:t>
      </w:r>
      <w:r w:rsidR="00C44370" w:rsidRPr="00291DF5">
        <w:t xml:space="preserve">), glodavcima </w:t>
      </w:r>
      <w:r w:rsidR="00C44370" w:rsidRPr="005808FC">
        <w:t>ili kroz promjene u kvaliteti vode, hrane</w:t>
      </w:r>
      <w:r w:rsidR="000509A0">
        <w:t xml:space="preserve"> i </w:t>
      </w:r>
      <w:r w:rsidR="00C44370" w:rsidRPr="00291DF5">
        <w:t xml:space="preserve">zraka. </w:t>
      </w:r>
    </w:p>
    <w:p w14:paraId="11EF15E1" w14:textId="6ED30D97" w:rsidR="00E23C97" w:rsidRPr="003758FA" w:rsidRDefault="00E23C97" w:rsidP="003758FA">
      <w:r>
        <w:t>Rizici se mogu podijeliti u slijedeće grupe:</w:t>
      </w:r>
    </w:p>
    <w:p w14:paraId="2E7F4509" w14:textId="77777777" w:rsidR="003758FA" w:rsidRPr="00FF4F06" w:rsidRDefault="003758FA" w:rsidP="002E3C28">
      <w:pPr>
        <w:pStyle w:val="ListParagraph"/>
        <w:numPr>
          <w:ilvl w:val="0"/>
          <w:numId w:val="82"/>
        </w:numPr>
        <w:rPr>
          <w:lang w:eastAsia="hr-HR"/>
        </w:rPr>
      </w:pPr>
      <w:r w:rsidRPr="00FF4F06">
        <w:rPr>
          <w:lang w:eastAsia="hr-HR"/>
        </w:rPr>
        <w:t>Negativan učinak na zdravlje ljudi uslijed ekstremnih temperatura</w:t>
      </w:r>
    </w:p>
    <w:p w14:paraId="0D55C0D9" w14:textId="4E07E3A6" w:rsidR="003758FA" w:rsidRDefault="003758FA" w:rsidP="2866E90D">
      <w:pPr>
        <w:pStyle w:val="ListParagraph"/>
        <w:numPr>
          <w:ilvl w:val="0"/>
          <w:numId w:val="82"/>
        </w:numPr>
      </w:pPr>
      <w:r w:rsidRPr="00FF4F06">
        <w:rPr>
          <w:lang w:eastAsia="hr-HR"/>
        </w:rPr>
        <w:t>Povećanje učestalosti bolesti vezanih uz klimatske promjene</w:t>
      </w:r>
    </w:p>
    <w:p w14:paraId="68A2F973" w14:textId="77777777" w:rsidR="00C44370" w:rsidRPr="003D373D" w:rsidRDefault="00C44370" w:rsidP="00C44370">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5781"/>
      </w:tblGrid>
      <w:tr w:rsidR="00C44370" w:rsidRPr="003D373D" w14:paraId="6A46CEA9" w14:textId="77777777" w:rsidTr="005808FC">
        <w:trPr>
          <w:trHeight w:val="227"/>
        </w:trPr>
        <w:tc>
          <w:tcPr>
            <w:tcW w:w="3235" w:type="dxa"/>
            <w:shd w:val="clear" w:color="auto" w:fill="C6D9F1" w:themeFill="text2" w:themeFillTint="33"/>
          </w:tcPr>
          <w:p w14:paraId="4F48A4D7" w14:textId="77777777" w:rsidR="00C44370" w:rsidRPr="005808FC" w:rsidRDefault="00C44370">
            <w:pPr>
              <w:rPr>
                <w:b/>
                <w:bCs/>
              </w:rPr>
            </w:pPr>
            <w:r w:rsidRPr="00291DF5">
              <w:rPr>
                <w:b/>
                <w:bCs/>
              </w:rPr>
              <w:t>Redni broj mjere</w:t>
            </w:r>
          </w:p>
        </w:tc>
        <w:tc>
          <w:tcPr>
            <w:tcW w:w="5781" w:type="dxa"/>
            <w:shd w:val="clear" w:color="auto" w:fill="C6D9F1" w:themeFill="text2" w:themeFillTint="33"/>
          </w:tcPr>
          <w:p w14:paraId="30E8B3CF" w14:textId="50D57596" w:rsidR="00C44370" w:rsidRPr="005808FC" w:rsidRDefault="00C44370">
            <w:pPr>
              <w:rPr>
                <w:rFonts w:eastAsia="Calibri"/>
                <w:b/>
                <w:bCs/>
              </w:rPr>
            </w:pPr>
            <w:r w:rsidRPr="00291DF5">
              <w:rPr>
                <w:rFonts w:eastAsia="Calibri"/>
                <w:b/>
                <w:bCs/>
              </w:rPr>
              <w:t>2</w:t>
            </w:r>
            <w:r w:rsidRPr="005808FC">
              <w:rPr>
                <w:rFonts w:eastAsia="Calibri"/>
                <w:b/>
                <w:bCs/>
              </w:rPr>
              <w:t>8</w:t>
            </w:r>
          </w:p>
        </w:tc>
      </w:tr>
      <w:tr w:rsidR="00C44370" w:rsidRPr="003D373D" w14:paraId="5A83CA88" w14:textId="77777777" w:rsidTr="005808FC">
        <w:trPr>
          <w:trHeight w:val="359"/>
        </w:trPr>
        <w:tc>
          <w:tcPr>
            <w:tcW w:w="3235" w:type="dxa"/>
            <w:shd w:val="clear" w:color="auto" w:fill="C6D9F1" w:themeFill="text2" w:themeFillTint="33"/>
          </w:tcPr>
          <w:p w14:paraId="397307A8" w14:textId="77777777" w:rsidR="00C44370" w:rsidRPr="005808FC" w:rsidRDefault="00C44370">
            <w:pPr>
              <w:rPr>
                <w:b/>
                <w:bCs/>
              </w:rPr>
            </w:pPr>
            <w:r w:rsidRPr="00291DF5">
              <w:rPr>
                <w:b/>
                <w:bCs/>
              </w:rPr>
              <w:br w:type="page"/>
              <w:t xml:space="preserve">Ime </w:t>
            </w:r>
            <w:r w:rsidRPr="005808FC">
              <w:rPr>
                <w:b/>
                <w:bCs/>
              </w:rPr>
              <w:t>mjere/aktivnost</w:t>
            </w:r>
          </w:p>
        </w:tc>
        <w:tc>
          <w:tcPr>
            <w:tcW w:w="5781" w:type="dxa"/>
            <w:shd w:val="clear" w:color="auto" w:fill="C6D9F1" w:themeFill="text2" w:themeFillTint="33"/>
          </w:tcPr>
          <w:p w14:paraId="0CF97ED8" w14:textId="77777777" w:rsidR="00C44370" w:rsidRPr="005808FC" w:rsidRDefault="00C44370">
            <w:pPr>
              <w:autoSpaceDE w:val="0"/>
              <w:autoSpaceDN w:val="0"/>
              <w:adjustRightInd w:val="0"/>
              <w:rPr>
                <w:rFonts w:eastAsia="Calibri"/>
                <w:b/>
                <w:bCs/>
              </w:rPr>
            </w:pPr>
            <w:r w:rsidRPr="00291DF5">
              <w:rPr>
                <w:rFonts w:eastAsia="Calibri"/>
                <w:b/>
                <w:bCs/>
              </w:rPr>
              <w:t>Modeliranje mikroklime na području Grada Zagreba</w:t>
            </w:r>
          </w:p>
        </w:tc>
      </w:tr>
      <w:tr w:rsidR="00C44370" w:rsidRPr="003D373D" w14:paraId="218F6F09" w14:textId="77777777" w:rsidTr="005808FC">
        <w:trPr>
          <w:trHeight w:val="227"/>
        </w:trPr>
        <w:tc>
          <w:tcPr>
            <w:tcW w:w="3235" w:type="dxa"/>
            <w:shd w:val="clear" w:color="auto" w:fill="F2DBDB" w:themeFill="accent2" w:themeFillTint="33"/>
          </w:tcPr>
          <w:p w14:paraId="0CFDA7BD" w14:textId="77777777" w:rsidR="00C44370" w:rsidRPr="005808FC" w:rsidRDefault="00C44370">
            <w:pPr>
              <w:rPr>
                <w:b/>
                <w:bCs/>
              </w:rPr>
            </w:pPr>
            <w:r w:rsidRPr="00291DF5">
              <w:rPr>
                <w:b/>
                <w:bCs/>
              </w:rPr>
              <w:t>Nositelj aktivnosti:</w:t>
            </w:r>
          </w:p>
        </w:tc>
        <w:tc>
          <w:tcPr>
            <w:tcW w:w="5781" w:type="dxa"/>
          </w:tcPr>
          <w:p w14:paraId="7A18B973" w14:textId="3F4EF26A" w:rsidR="00C44370" w:rsidRPr="003D373D" w:rsidRDefault="00C44370" w:rsidP="005808FC">
            <w:pPr>
              <w:numPr>
                <w:ilvl w:val="0"/>
                <w:numId w:val="9"/>
              </w:numPr>
              <w:spacing w:after="0"/>
              <w:ind w:left="482" w:hanging="357"/>
              <w:jc w:val="left"/>
            </w:pPr>
            <w:r w:rsidRPr="00291DF5">
              <w:t>Gradski ured za strategijsko planiranje</w:t>
            </w:r>
            <w:r w:rsidR="000509A0">
              <w:t xml:space="preserve"> i </w:t>
            </w:r>
            <w:r w:rsidRPr="00291DF5">
              <w:t>razvoj grada</w:t>
            </w:r>
          </w:p>
        </w:tc>
      </w:tr>
      <w:tr w:rsidR="00C44370" w:rsidRPr="003D373D" w14:paraId="7D52BFA5" w14:textId="77777777" w:rsidTr="005808FC">
        <w:trPr>
          <w:trHeight w:val="227"/>
        </w:trPr>
        <w:tc>
          <w:tcPr>
            <w:tcW w:w="3235" w:type="dxa"/>
            <w:shd w:val="clear" w:color="auto" w:fill="F2DBDB" w:themeFill="accent2" w:themeFillTint="33"/>
          </w:tcPr>
          <w:p w14:paraId="16A3624C" w14:textId="77777777" w:rsidR="00C44370" w:rsidRPr="005808FC" w:rsidRDefault="00C44370">
            <w:pPr>
              <w:rPr>
                <w:b/>
                <w:bCs/>
              </w:rPr>
            </w:pPr>
            <w:r w:rsidRPr="00291DF5">
              <w:rPr>
                <w:b/>
                <w:bCs/>
              </w:rPr>
              <w:t>Partneri u provođenju aktivnosti:</w:t>
            </w:r>
          </w:p>
        </w:tc>
        <w:tc>
          <w:tcPr>
            <w:tcW w:w="5781" w:type="dxa"/>
          </w:tcPr>
          <w:p w14:paraId="09A5CD20" w14:textId="77777777" w:rsidR="00C44370" w:rsidRPr="007F57CA" w:rsidRDefault="00C44370" w:rsidP="005808FC">
            <w:pPr>
              <w:numPr>
                <w:ilvl w:val="0"/>
                <w:numId w:val="9"/>
              </w:numPr>
              <w:spacing w:after="0"/>
              <w:ind w:left="482" w:hanging="357"/>
              <w:jc w:val="left"/>
            </w:pPr>
            <w:r w:rsidRPr="00291DF5">
              <w:t xml:space="preserve">Gradski ured za zdravstvo </w:t>
            </w:r>
          </w:p>
          <w:p w14:paraId="77F7ED2D" w14:textId="52B6AEAA" w:rsidR="00C44370" w:rsidRPr="003D373D" w:rsidDel="00436CBA" w:rsidRDefault="00C44370" w:rsidP="005808FC">
            <w:pPr>
              <w:numPr>
                <w:ilvl w:val="0"/>
                <w:numId w:val="9"/>
              </w:numPr>
              <w:spacing w:after="0"/>
              <w:ind w:left="482" w:hanging="357"/>
              <w:jc w:val="left"/>
            </w:pPr>
            <w:r w:rsidRPr="00291DF5">
              <w:lastRenderedPageBreak/>
              <w:t xml:space="preserve">Gradski ured za gospodarstvo, </w:t>
            </w:r>
            <w:r w:rsidRPr="005808FC">
              <w:t>energetiku</w:t>
            </w:r>
            <w:r w:rsidR="000509A0">
              <w:t xml:space="preserve"> i </w:t>
            </w:r>
            <w:r w:rsidRPr="00291DF5">
              <w:t>zaštitu okoliša</w:t>
            </w:r>
          </w:p>
        </w:tc>
      </w:tr>
      <w:tr w:rsidR="00C44370" w:rsidRPr="003D373D" w14:paraId="2EFC4A1F" w14:textId="77777777" w:rsidTr="005808FC">
        <w:trPr>
          <w:trHeight w:val="227"/>
        </w:trPr>
        <w:tc>
          <w:tcPr>
            <w:tcW w:w="3235" w:type="dxa"/>
            <w:shd w:val="clear" w:color="auto" w:fill="F2DBDB" w:themeFill="accent2" w:themeFillTint="33"/>
          </w:tcPr>
          <w:p w14:paraId="777B2C64" w14:textId="5D271B9F" w:rsidR="00C44370" w:rsidRPr="005808FC" w:rsidRDefault="00C44370">
            <w:pPr>
              <w:rPr>
                <w:b/>
                <w:bCs/>
              </w:rPr>
            </w:pPr>
            <w:r w:rsidRPr="00291DF5">
              <w:rPr>
                <w:b/>
                <w:bCs/>
              </w:rPr>
              <w:lastRenderedPageBreak/>
              <w:t>Ostali uključeni dionici</w:t>
            </w:r>
          </w:p>
        </w:tc>
        <w:tc>
          <w:tcPr>
            <w:tcW w:w="5781" w:type="dxa"/>
          </w:tcPr>
          <w:p w14:paraId="2D99AC12" w14:textId="77777777" w:rsidR="00C44370" w:rsidRPr="003D373D" w:rsidRDefault="00C44370" w:rsidP="005808FC">
            <w:pPr>
              <w:numPr>
                <w:ilvl w:val="0"/>
                <w:numId w:val="9"/>
              </w:numPr>
              <w:spacing w:after="0"/>
              <w:ind w:left="482" w:hanging="357"/>
              <w:jc w:val="left"/>
            </w:pPr>
            <w:r w:rsidRPr="00291DF5">
              <w:t>Državni hidrometeorološki Zavod</w:t>
            </w:r>
          </w:p>
          <w:p w14:paraId="4B62F921" w14:textId="7B6AFB30" w:rsidR="00C44370" w:rsidRPr="003E705E" w:rsidRDefault="00C44370" w:rsidP="005808FC">
            <w:pPr>
              <w:numPr>
                <w:ilvl w:val="0"/>
                <w:numId w:val="9"/>
              </w:numPr>
              <w:spacing w:after="0"/>
              <w:ind w:left="482" w:hanging="357"/>
              <w:jc w:val="left"/>
            </w:pPr>
            <w:r w:rsidRPr="00291DF5">
              <w:t>Nastavni zavod za javno zdravstvo Dr. Andrija Štampar</w:t>
            </w:r>
          </w:p>
        </w:tc>
      </w:tr>
      <w:tr w:rsidR="00C44370" w:rsidRPr="003D373D" w14:paraId="2A53888B" w14:textId="77777777" w:rsidTr="005808FC">
        <w:trPr>
          <w:trHeight w:val="227"/>
        </w:trPr>
        <w:tc>
          <w:tcPr>
            <w:tcW w:w="3235" w:type="dxa"/>
            <w:shd w:val="clear" w:color="auto" w:fill="F2DBDB" w:themeFill="accent2" w:themeFillTint="33"/>
          </w:tcPr>
          <w:p w14:paraId="6A8F1726" w14:textId="77777777" w:rsidR="00C44370" w:rsidRPr="005808FC" w:rsidRDefault="00C44370">
            <w:pPr>
              <w:rPr>
                <w:b/>
                <w:bCs/>
              </w:rPr>
            </w:pPr>
            <w:r w:rsidRPr="00291DF5">
              <w:rPr>
                <w:b/>
                <w:bCs/>
              </w:rPr>
              <w:t>Početak/kraj provedbe (godine)</w:t>
            </w:r>
          </w:p>
        </w:tc>
        <w:tc>
          <w:tcPr>
            <w:tcW w:w="5781" w:type="dxa"/>
          </w:tcPr>
          <w:p w14:paraId="0E77F08A" w14:textId="77777777" w:rsidR="00C44370" w:rsidRPr="005808FC" w:rsidRDefault="00C44370">
            <w:pPr>
              <w:rPr>
                <w:rFonts w:eastAsia="Calibri"/>
                <w:b/>
                <w:bCs/>
              </w:rPr>
            </w:pPr>
            <w:r w:rsidRPr="00291DF5">
              <w:rPr>
                <w:rFonts w:eastAsia="Calibri"/>
                <w:b/>
                <w:bCs/>
              </w:rPr>
              <w:t>2020 – 2022</w:t>
            </w:r>
          </w:p>
        </w:tc>
      </w:tr>
      <w:tr w:rsidR="00C44370" w:rsidRPr="003D373D" w14:paraId="38130B1D" w14:textId="77777777" w:rsidTr="005808FC">
        <w:trPr>
          <w:trHeight w:val="227"/>
        </w:trPr>
        <w:tc>
          <w:tcPr>
            <w:tcW w:w="3235" w:type="dxa"/>
            <w:shd w:val="clear" w:color="auto" w:fill="F2DBDB" w:themeFill="accent2" w:themeFillTint="33"/>
          </w:tcPr>
          <w:p w14:paraId="61AA0EFE" w14:textId="77777777" w:rsidR="00C44370" w:rsidRPr="005808FC" w:rsidRDefault="00C44370">
            <w:pPr>
              <w:rPr>
                <w:b/>
                <w:bCs/>
              </w:rPr>
            </w:pPr>
            <w:r w:rsidRPr="00291DF5">
              <w:rPr>
                <w:b/>
                <w:bCs/>
              </w:rPr>
              <w:t>Procjena troškova (jedinična ili ukupna po mjeri)</w:t>
            </w:r>
          </w:p>
        </w:tc>
        <w:tc>
          <w:tcPr>
            <w:tcW w:w="5781" w:type="dxa"/>
          </w:tcPr>
          <w:p w14:paraId="540DFF96" w14:textId="77777777" w:rsidR="00C44370" w:rsidRPr="005808FC" w:rsidRDefault="00C44370">
            <w:pPr>
              <w:rPr>
                <w:rFonts w:eastAsia="Calibri"/>
              </w:rPr>
            </w:pPr>
            <w:r w:rsidRPr="00291DF5">
              <w:rPr>
                <w:rFonts w:eastAsia="Calibri"/>
                <w:b/>
                <w:bCs/>
              </w:rPr>
              <w:t>400.000</w:t>
            </w:r>
          </w:p>
        </w:tc>
      </w:tr>
      <w:tr w:rsidR="00C44370" w:rsidRPr="003D373D" w14:paraId="0EC85A13" w14:textId="77777777" w:rsidTr="005808FC">
        <w:trPr>
          <w:trHeight w:val="227"/>
        </w:trPr>
        <w:tc>
          <w:tcPr>
            <w:tcW w:w="3235" w:type="dxa"/>
            <w:shd w:val="clear" w:color="auto" w:fill="F2DBDB" w:themeFill="accent2" w:themeFillTint="33"/>
          </w:tcPr>
          <w:p w14:paraId="4D9E2769" w14:textId="77777777" w:rsidR="00C44370" w:rsidRPr="005808FC" w:rsidRDefault="00C44370">
            <w:pPr>
              <w:rPr>
                <w:b/>
                <w:bCs/>
              </w:rPr>
            </w:pPr>
            <w:r w:rsidRPr="00291DF5">
              <w:rPr>
                <w:b/>
                <w:bCs/>
              </w:rPr>
              <w:t>Izvor sredstava za provedbu</w:t>
            </w:r>
          </w:p>
        </w:tc>
        <w:tc>
          <w:tcPr>
            <w:tcW w:w="5781" w:type="dxa"/>
          </w:tcPr>
          <w:p w14:paraId="475AB2BF" w14:textId="77777777" w:rsidR="00C44370" w:rsidRPr="007F57CA" w:rsidRDefault="00C44370" w:rsidP="005808FC">
            <w:pPr>
              <w:numPr>
                <w:ilvl w:val="0"/>
                <w:numId w:val="9"/>
              </w:numPr>
              <w:spacing w:after="0"/>
              <w:ind w:left="482" w:hanging="357"/>
              <w:jc w:val="left"/>
            </w:pPr>
            <w:r w:rsidRPr="00291DF5">
              <w:t>Proračun Grada Zagreba</w:t>
            </w:r>
          </w:p>
          <w:p w14:paraId="7D882DCA" w14:textId="77777777" w:rsidR="00C44370" w:rsidRPr="003D373D" w:rsidRDefault="00C44370" w:rsidP="005808FC">
            <w:pPr>
              <w:numPr>
                <w:ilvl w:val="0"/>
                <w:numId w:val="9"/>
              </w:numPr>
              <w:spacing w:after="0"/>
              <w:ind w:left="482" w:hanging="357"/>
              <w:jc w:val="left"/>
            </w:pPr>
            <w:r w:rsidRPr="00291DF5">
              <w:t>Državni proračun</w:t>
            </w:r>
          </w:p>
          <w:p w14:paraId="6C518781" w14:textId="5D09BC0A" w:rsidR="00C44370" w:rsidRPr="003D373D" w:rsidRDefault="00C42B1B" w:rsidP="00C42B1B">
            <w:pPr>
              <w:numPr>
                <w:ilvl w:val="0"/>
                <w:numId w:val="9"/>
              </w:numPr>
              <w:spacing w:after="0"/>
              <w:ind w:left="482" w:hanging="357"/>
              <w:jc w:val="left"/>
            </w:pPr>
            <w:r>
              <w:t>Europski strukturni i investicijski fondovi</w:t>
            </w:r>
          </w:p>
        </w:tc>
      </w:tr>
      <w:tr w:rsidR="00C44370" w:rsidRPr="003D373D" w14:paraId="643A9655" w14:textId="77777777" w:rsidTr="005808FC">
        <w:trPr>
          <w:trHeight w:val="728"/>
        </w:trPr>
        <w:tc>
          <w:tcPr>
            <w:tcW w:w="3235" w:type="dxa"/>
            <w:shd w:val="clear" w:color="auto" w:fill="F2DBDB" w:themeFill="accent2" w:themeFillTint="33"/>
          </w:tcPr>
          <w:p w14:paraId="37344845" w14:textId="77777777" w:rsidR="00C44370" w:rsidRPr="005808FC" w:rsidRDefault="00C44370">
            <w:pPr>
              <w:rPr>
                <w:b/>
                <w:bCs/>
              </w:rPr>
            </w:pPr>
            <w:r w:rsidRPr="00291DF5">
              <w:rPr>
                <w:b/>
                <w:bCs/>
              </w:rPr>
              <w:t>Kratki opis/komentar</w:t>
            </w:r>
          </w:p>
        </w:tc>
        <w:tc>
          <w:tcPr>
            <w:tcW w:w="5781" w:type="dxa"/>
          </w:tcPr>
          <w:p w14:paraId="6BC54FD6" w14:textId="49FBC79E" w:rsidR="00C44370" w:rsidRPr="000509A0" w:rsidRDefault="00C44370">
            <w:pPr>
              <w:autoSpaceDE w:val="0"/>
              <w:autoSpaceDN w:val="0"/>
              <w:adjustRightInd w:val="0"/>
            </w:pPr>
            <w:r w:rsidRPr="00291DF5">
              <w:t>Cilj je poboljšanje spoznaje o postojećoj</w:t>
            </w:r>
            <w:r w:rsidR="000509A0" w:rsidRPr="000509A0">
              <w:t xml:space="preserve"> i </w:t>
            </w:r>
            <w:r w:rsidRPr="00291DF5">
              <w:t xml:space="preserve">budućoj mikroklimi na području Zagreba, kako bi se olakšalo vrednovanje provođenja mjera za prilagodbu </w:t>
            </w:r>
            <w:r w:rsidRPr="005808FC">
              <w:t>klimatskim promjenama u području zaštite od toplinskih valova</w:t>
            </w:r>
            <w:r w:rsidR="000509A0" w:rsidRPr="000509A0">
              <w:t xml:space="preserve"> i </w:t>
            </w:r>
            <w:r w:rsidRPr="00291DF5">
              <w:t xml:space="preserve">prediktivne analitike drugih ekstremnih vremenskih događaja. </w:t>
            </w:r>
          </w:p>
          <w:p w14:paraId="0B94BD9B" w14:textId="20725404" w:rsidR="00C44370" w:rsidRPr="005808FC" w:rsidRDefault="00C44370">
            <w:pPr>
              <w:autoSpaceDE w:val="0"/>
              <w:autoSpaceDN w:val="0"/>
              <w:adjustRightInd w:val="0"/>
              <w:rPr>
                <w:shd w:val="clear" w:color="auto" w:fill="FFFFFF"/>
              </w:rPr>
            </w:pPr>
            <w:r w:rsidRPr="005808FC">
              <w:rPr>
                <w:shd w:val="clear" w:color="auto" w:fill="FFFFFF"/>
              </w:rPr>
              <w:t>Mikroklimatske uvjete potrebno je modelirati za određeno referentno razdoblje na bazi dostupnih podataka</w:t>
            </w:r>
            <w:r w:rsidR="000509A0" w:rsidRPr="005808FC">
              <w:rPr>
                <w:shd w:val="clear" w:color="auto" w:fill="FFFFFF"/>
              </w:rPr>
              <w:t xml:space="preserve"> i </w:t>
            </w:r>
            <w:r w:rsidRPr="005808FC">
              <w:rPr>
                <w:shd w:val="clear" w:color="auto" w:fill="FFFFFF"/>
              </w:rPr>
              <w:t>trendova. Klimatski modeli uvelike će olakšati planiranje ostalih aktivnosti vezanih uz prilagodbu klimatskim promjenama, a poslužiti će</w:t>
            </w:r>
            <w:r w:rsidR="000509A0" w:rsidRPr="005808FC">
              <w:rPr>
                <w:shd w:val="clear" w:color="auto" w:fill="FFFFFF"/>
              </w:rPr>
              <w:t xml:space="preserve"> i </w:t>
            </w:r>
            <w:r w:rsidRPr="005808FC">
              <w:rPr>
                <w:shd w:val="clear" w:color="auto" w:fill="FFFFFF"/>
              </w:rPr>
              <w:t>kao ulazni podaci za studijsku</w:t>
            </w:r>
            <w:r w:rsidR="000509A0" w:rsidRPr="005808FC">
              <w:rPr>
                <w:shd w:val="clear" w:color="auto" w:fill="FFFFFF"/>
              </w:rPr>
              <w:t xml:space="preserve"> i </w:t>
            </w:r>
            <w:r w:rsidRPr="005808FC">
              <w:rPr>
                <w:shd w:val="clear" w:color="auto" w:fill="FFFFFF"/>
              </w:rPr>
              <w:t xml:space="preserve">projektnu dokumentaciju iz različitih područja. </w:t>
            </w:r>
          </w:p>
        </w:tc>
      </w:tr>
    </w:tbl>
    <w:p w14:paraId="36A62F78" w14:textId="77777777" w:rsidR="00C44370" w:rsidRPr="003D373D" w:rsidRDefault="00C44370" w:rsidP="00C44370">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5781"/>
      </w:tblGrid>
      <w:tr w:rsidR="00C44370" w:rsidRPr="003D373D" w14:paraId="74AF3B94" w14:textId="77777777" w:rsidTr="005808FC">
        <w:trPr>
          <w:trHeight w:val="227"/>
        </w:trPr>
        <w:tc>
          <w:tcPr>
            <w:tcW w:w="3235" w:type="dxa"/>
            <w:shd w:val="clear" w:color="auto" w:fill="C6D9F1" w:themeFill="text2" w:themeFillTint="33"/>
          </w:tcPr>
          <w:p w14:paraId="2077DA59" w14:textId="77777777" w:rsidR="00C44370" w:rsidRPr="005808FC" w:rsidRDefault="00C44370">
            <w:pPr>
              <w:rPr>
                <w:b/>
                <w:bCs/>
              </w:rPr>
            </w:pPr>
            <w:r w:rsidRPr="00291DF5">
              <w:rPr>
                <w:b/>
                <w:bCs/>
              </w:rPr>
              <w:t>Redni broj mjere</w:t>
            </w:r>
          </w:p>
        </w:tc>
        <w:tc>
          <w:tcPr>
            <w:tcW w:w="5781" w:type="dxa"/>
            <w:shd w:val="clear" w:color="auto" w:fill="C6D9F1" w:themeFill="text2" w:themeFillTint="33"/>
          </w:tcPr>
          <w:p w14:paraId="31005450" w14:textId="0EFC5415" w:rsidR="00C44370" w:rsidRPr="005808FC" w:rsidRDefault="00C44370">
            <w:pPr>
              <w:rPr>
                <w:rFonts w:eastAsia="Calibri"/>
                <w:b/>
                <w:bCs/>
              </w:rPr>
            </w:pPr>
            <w:r w:rsidRPr="00291DF5">
              <w:rPr>
                <w:rFonts w:eastAsia="Calibri"/>
                <w:b/>
                <w:bCs/>
              </w:rPr>
              <w:t>2</w:t>
            </w:r>
            <w:r w:rsidRPr="005808FC">
              <w:rPr>
                <w:rFonts w:eastAsia="Calibri"/>
                <w:b/>
                <w:bCs/>
              </w:rPr>
              <w:t>9</w:t>
            </w:r>
          </w:p>
        </w:tc>
      </w:tr>
      <w:tr w:rsidR="00C44370" w:rsidRPr="003D373D" w14:paraId="7A68855A" w14:textId="77777777" w:rsidTr="005808FC">
        <w:trPr>
          <w:trHeight w:val="593"/>
        </w:trPr>
        <w:tc>
          <w:tcPr>
            <w:tcW w:w="3235" w:type="dxa"/>
            <w:shd w:val="clear" w:color="auto" w:fill="C6D9F1" w:themeFill="text2" w:themeFillTint="33"/>
          </w:tcPr>
          <w:p w14:paraId="018D97A7" w14:textId="77777777" w:rsidR="00C44370" w:rsidRPr="005808FC" w:rsidRDefault="00C44370">
            <w:pPr>
              <w:rPr>
                <w:b/>
                <w:bCs/>
              </w:rPr>
            </w:pPr>
            <w:r w:rsidRPr="00291DF5">
              <w:rPr>
                <w:b/>
                <w:bCs/>
              </w:rPr>
              <w:br w:type="page"/>
              <w:t xml:space="preserve">Ime </w:t>
            </w:r>
            <w:r w:rsidRPr="005808FC">
              <w:rPr>
                <w:b/>
                <w:bCs/>
              </w:rPr>
              <w:t>mjere/aktivnost</w:t>
            </w:r>
          </w:p>
        </w:tc>
        <w:tc>
          <w:tcPr>
            <w:tcW w:w="5781" w:type="dxa"/>
            <w:shd w:val="clear" w:color="auto" w:fill="C6D9F1" w:themeFill="text2" w:themeFillTint="33"/>
          </w:tcPr>
          <w:p w14:paraId="2FFF90F3" w14:textId="5D0DE815" w:rsidR="00C44370" w:rsidRPr="005808FC" w:rsidRDefault="00C44370">
            <w:pPr>
              <w:autoSpaceDE w:val="0"/>
              <w:autoSpaceDN w:val="0"/>
              <w:adjustRightInd w:val="0"/>
              <w:rPr>
                <w:rFonts w:eastAsia="Calibri"/>
                <w:b/>
                <w:bCs/>
              </w:rPr>
            </w:pPr>
            <w:r w:rsidRPr="00291DF5">
              <w:rPr>
                <w:rFonts w:eastAsia="Calibri"/>
                <w:b/>
                <w:bCs/>
              </w:rPr>
              <w:t>Implementacija Protokola o postupanju</w:t>
            </w:r>
            <w:r w:rsidR="000509A0">
              <w:rPr>
                <w:rFonts w:eastAsia="Calibri"/>
                <w:b/>
                <w:bCs/>
              </w:rPr>
              <w:t xml:space="preserve"> i </w:t>
            </w:r>
            <w:r w:rsidRPr="00291DF5">
              <w:rPr>
                <w:rFonts w:eastAsia="Calibri"/>
                <w:b/>
                <w:bCs/>
              </w:rPr>
              <w:t>preporukama za zaštitu od vrućina</w:t>
            </w:r>
          </w:p>
        </w:tc>
      </w:tr>
      <w:tr w:rsidR="00C44370" w:rsidRPr="003D373D" w14:paraId="002CA645" w14:textId="77777777" w:rsidTr="005808FC">
        <w:trPr>
          <w:trHeight w:val="227"/>
        </w:trPr>
        <w:tc>
          <w:tcPr>
            <w:tcW w:w="3235" w:type="dxa"/>
            <w:shd w:val="clear" w:color="auto" w:fill="F2DBDB" w:themeFill="accent2" w:themeFillTint="33"/>
          </w:tcPr>
          <w:p w14:paraId="16D0D98D" w14:textId="77777777" w:rsidR="00C44370" w:rsidRPr="005808FC" w:rsidRDefault="00C44370">
            <w:pPr>
              <w:rPr>
                <w:b/>
                <w:bCs/>
              </w:rPr>
            </w:pPr>
            <w:r w:rsidRPr="00291DF5">
              <w:rPr>
                <w:b/>
                <w:bCs/>
              </w:rPr>
              <w:t>Nositelj aktivnosti:</w:t>
            </w:r>
          </w:p>
        </w:tc>
        <w:tc>
          <w:tcPr>
            <w:tcW w:w="5781" w:type="dxa"/>
          </w:tcPr>
          <w:p w14:paraId="6536BE3A" w14:textId="77777777" w:rsidR="00C44370" w:rsidRPr="00235BFE" w:rsidRDefault="00C44370" w:rsidP="005808FC">
            <w:pPr>
              <w:numPr>
                <w:ilvl w:val="0"/>
                <w:numId w:val="9"/>
              </w:numPr>
              <w:spacing w:after="0"/>
              <w:ind w:left="482" w:hanging="357"/>
              <w:jc w:val="left"/>
            </w:pPr>
            <w:r w:rsidRPr="00291DF5">
              <w:t>Gradski ured za zdravstvo</w:t>
            </w:r>
          </w:p>
        </w:tc>
      </w:tr>
      <w:tr w:rsidR="00C44370" w:rsidRPr="003D373D" w14:paraId="370F200E" w14:textId="77777777" w:rsidTr="005808FC">
        <w:trPr>
          <w:trHeight w:val="227"/>
        </w:trPr>
        <w:tc>
          <w:tcPr>
            <w:tcW w:w="3235" w:type="dxa"/>
            <w:shd w:val="clear" w:color="auto" w:fill="F2DBDB" w:themeFill="accent2" w:themeFillTint="33"/>
          </w:tcPr>
          <w:p w14:paraId="4BF34775" w14:textId="77777777" w:rsidR="00C44370" w:rsidRPr="005808FC" w:rsidRDefault="00C44370">
            <w:pPr>
              <w:rPr>
                <w:b/>
                <w:bCs/>
              </w:rPr>
            </w:pPr>
            <w:r w:rsidRPr="00291DF5">
              <w:rPr>
                <w:b/>
                <w:bCs/>
              </w:rPr>
              <w:t>Partneri u provođenju aktivnosti:</w:t>
            </w:r>
          </w:p>
        </w:tc>
        <w:tc>
          <w:tcPr>
            <w:tcW w:w="5781" w:type="dxa"/>
          </w:tcPr>
          <w:p w14:paraId="4F093BA8" w14:textId="0A395327" w:rsidR="00C44370" w:rsidRDefault="00C44370" w:rsidP="005808FC">
            <w:pPr>
              <w:numPr>
                <w:ilvl w:val="0"/>
                <w:numId w:val="9"/>
              </w:numPr>
              <w:spacing w:after="0"/>
              <w:ind w:left="482" w:hanging="357"/>
              <w:jc w:val="left"/>
            </w:pPr>
            <w:r w:rsidRPr="00291DF5">
              <w:t xml:space="preserve">Ured za upravljanje u hitnim situacijama </w:t>
            </w:r>
          </w:p>
          <w:p w14:paraId="7063201F" w14:textId="77777777" w:rsidR="00D061F3" w:rsidRDefault="00D061F3" w:rsidP="00D061F3">
            <w:pPr>
              <w:numPr>
                <w:ilvl w:val="0"/>
                <w:numId w:val="9"/>
              </w:numPr>
              <w:spacing w:after="0"/>
              <w:ind w:left="482" w:hanging="357"/>
              <w:jc w:val="left"/>
            </w:pPr>
            <w:r>
              <w:t xml:space="preserve">Nastavni zavod za hitnu medicinu Grada Zagreba </w:t>
            </w:r>
          </w:p>
          <w:p w14:paraId="25D43C2D" w14:textId="77777777" w:rsidR="00D061F3" w:rsidRDefault="00D061F3" w:rsidP="00D061F3">
            <w:pPr>
              <w:numPr>
                <w:ilvl w:val="0"/>
                <w:numId w:val="9"/>
              </w:numPr>
              <w:spacing w:after="0"/>
              <w:ind w:left="482" w:hanging="357"/>
              <w:jc w:val="left"/>
            </w:pPr>
            <w:r>
              <w:t>Poliklinika za prevenciju kardiovaskularnih bolesti i rehabilitaciju „Srčana“</w:t>
            </w:r>
          </w:p>
          <w:p w14:paraId="5DD7CADB" w14:textId="77777777" w:rsidR="00C44370" w:rsidRDefault="00C44370" w:rsidP="005808FC">
            <w:pPr>
              <w:numPr>
                <w:ilvl w:val="0"/>
                <w:numId w:val="9"/>
              </w:numPr>
              <w:spacing w:after="0"/>
              <w:ind w:left="482" w:hanging="357"/>
              <w:jc w:val="left"/>
            </w:pPr>
            <w:r w:rsidRPr="00291DF5">
              <w:t>Ustanova za hitnu medicinsku pomoć grada Zagreba</w:t>
            </w:r>
          </w:p>
          <w:p w14:paraId="3A8E2EF7" w14:textId="77777777" w:rsidR="00D061F3" w:rsidRDefault="00D061F3" w:rsidP="00D061F3">
            <w:pPr>
              <w:numPr>
                <w:ilvl w:val="0"/>
                <w:numId w:val="9"/>
              </w:numPr>
              <w:spacing w:after="0"/>
              <w:ind w:left="482" w:hanging="357"/>
              <w:jc w:val="left"/>
            </w:pPr>
            <w:r>
              <w:t>Gradsko  društvo crvenog križa</w:t>
            </w:r>
            <w:r w:rsidRPr="00291DF5">
              <w:t xml:space="preserve"> </w:t>
            </w:r>
          </w:p>
          <w:p w14:paraId="7BAC99C9" w14:textId="77777777" w:rsidR="00D061F3" w:rsidRDefault="00D061F3" w:rsidP="00D061F3">
            <w:pPr>
              <w:numPr>
                <w:ilvl w:val="0"/>
                <w:numId w:val="9"/>
              </w:numPr>
              <w:spacing w:after="0"/>
              <w:ind w:left="482" w:hanging="357"/>
              <w:jc w:val="left"/>
            </w:pPr>
            <w:r w:rsidRPr="00291DF5">
              <w:t>Nas</w:t>
            </w:r>
            <w:r>
              <w:t>tavni zavod za javno zdravstvo d</w:t>
            </w:r>
            <w:r w:rsidRPr="00291DF5">
              <w:t xml:space="preserve">r. Andrija Štampar </w:t>
            </w:r>
          </w:p>
          <w:p w14:paraId="2794AEFB" w14:textId="77777777" w:rsidR="00D061F3" w:rsidRDefault="00D061F3" w:rsidP="00D061F3">
            <w:pPr>
              <w:numPr>
                <w:ilvl w:val="0"/>
                <w:numId w:val="9"/>
              </w:numPr>
              <w:spacing w:after="0"/>
              <w:ind w:left="482" w:hanging="357"/>
              <w:jc w:val="left"/>
            </w:pPr>
            <w:r>
              <w:t>Zdravstvene i socijalne ustanove</w:t>
            </w:r>
          </w:p>
          <w:p w14:paraId="0E098983" w14:textId="77777777" w:rsidR="00D061F3" w:rsidRDefault="00D061F3" w:rsidP="00D061F3">
            <w:pPr>
              <w:numPr>
                <w:ilvl w:val="0"/>
                <w:numId w:val="9"/>
              </w:numPr>
              <w:spacing w:after="0"/>
              <w:ind w:left="482" w:hanging="357"/>
              <w:jc w:val="left"/>
            </w:pPr>
            <w:r>
              <w:t>Ustanove za odgoj i obrazovanje</w:t>
            </w:r>
          </w:p>
          <w:p w14:paraId="1EED0E28" w14:textId="77777777" w:rsidR="00D061F3" w:rsidRDefault="00D061F3" w:rsidP="00D061F3">
            <w:pPr>
              <w:numPr>
                <w:ilvl w:val="0"/>
                <w:numId w:val="9"/>
              </w:numPr>
              <w:spacing w:after="0"/>
              <w:ind w:left="482" w:hanging="357"/>
              <w:jc w:val="left"/>
            </w:pPr>
            <w:r>
              <w:t>Hrvatski zavod za javno zdravstvo</w:t>
            </w:r>
          </w:p>
          <w:p w14:paraId="0744C46A" w14:textId="77777777" w:rsidR="00D061F3" w:rsidRDefault="00D061F3" w:rsidP="00D061F3">
            <w:pPr>
              <w:numPr>
                <w:ilvl w:val="0"/>
                <w:numId w:val="9"/>
              </w:numPr>
              <w:spacing w:after="0"/>
              <w:ind w:left="482" w:hanging="357"/>
              <w:jc w:val="left"/>
            </w:pPr>
            <w:r>
              <w:t>Ministarstvo zdravstva</w:t>
            </w:r>
          </w:p>
          <w:p w14:paraId="742FCC9A" w14:textId="77777777" w:rsidR="00D061F3" w:rsidRDefault="00D061F3" w:rsidP="00D061F3">
            <w:pPr>
              <w:numPr>
                <w:ilvl w:val="0"/>
                <w:numId w:val="9"/>
              </w:numPr>
              <w:spacing w:after="0"/>
              <w:ind w:left="482" w:hanging="357"/>
              <w:jc w:val="left"/>
            </w:pPr>
            <w:r>
              <w:lastRenderedPageBreak/>
              <w:t>Ured Svjetske zdravstvene organizacije u RH</w:t>
            </w:r>
          </w:p>
          <w:p w14:paraId="7FDC0740" w14:textId="3F67C7F9" w:rsidR="00D061F3" w:rsidRPr="003D373D" w:rsidDel="00436CBA" w:rsidRDefault="00D061F3" w:rsidP="00887BFC">
            <w:pPr>
              <w:numPr>
                <w:ilvl w:val="0"/>
                <w:numId w:val="9"/>
              </w:numPr>
              <w:spacing w:after="0"/>
              <w:ind w:left="482" w:hanging="357"/>
              <w:jc w:val="left"/>
            </w:pPr>
            <w:r>
              <w:t>Udruge</w:t>
            </w:r>
          </w:p>
        </w:tc>
      </w:tr>
      <w:tr w:rsidR="00C44370" w:rsidRPr="003D373D" w14:paraId="44087953" w14:textId="77777777" w:rsidTr="005808FC">
        <w:trPr>
          <w:trHeight w:val="227"/>
        </w:trPr>
        <w:tc>
          <w:tcPr>
            <w:tcW w:w="3235" w:type="dxa"/>
            <w:shd w:val="clear" w:color="auto" w:fill="F2DBDB" w:themeFill="accent2" w:themeFillTint="33"/>
          </w:tcPr>
          <w:p w14:paraId="7641FEED" w14:textId="1FB0CDA5" w:rsidR="00C44370" w:rsidRPr="005808FC" w:rsidRDefault="00C44370">
            <w:pPr>
              <w:rPr>
                <w:b/>
                <w:bCs/>
              </w:rPr>
            </w:pPr>
            <w:r w:rsidRPr="00291DF5">
              <w:rPr>
                <w:b/>
                <w:bCs/>
              </w:rPr>
              <w:lastRenderedPageBreak/>
              <w:t>Ostali uključeni dionici:</w:t>
            </w:r>
          </w:p>
        </w:tc>
        <w:tc>
          <w:tcPr>
            <w:tcW w:w="5781" w:type="dxa"/>
          </w:tcPr>
          <w:p w14:paraId="6E030063" w14:textId="14A09C71" w:rsidR="00C44370" w:rsidRDefault="00C44370" w:rsidP="005808FC">
            <w:pPr>
              <w:numPr>
                <w:ilvl w:val="0"/>
                <w:numId w:val="9"/>
              </w:numPr>
              <w:spacing w:after="0"/>
              <w:ind w:left="482" w:hanging="357"/>
              <w:jc w:val="left"/>
            </w:pPr>
            <w:r w:rsidRPr="00291DF5">
              <w:t>Državni hidrometeorološki Zavod</w:t>
            </w:r>
          </w:p>
          <w:p w14:paraId="05C13100" w14:textId="77777777" w:rsidR="00D061F3" w:rsidRDefault="00D061F3" w:rsidP="00D061F3">
            <w:pPr>
              <w:numPr>
                <w:ilvl w:val="0"/>
                <w:numId w:val="9"/>
              </w:numPr>
              <w:spacing w:after="0"/>
              <w:ind w:left="482" w:hanging="357"/>
              <w:jc w:val="left"/>
            </w:pPr>
            <w:r>
              <w:t>ZET</w:t>
            </w:r>
          </w:p>
          <w:p w14:paraId="5CDDCCD9" w14:textId="71D1E8D2" w:rsidR="00C44370" w:rsidRPr="00887BFC" w:rsidRDefault="00D061F3" w:rsidP="00887BFC">
            <w:pPr>
              <w:numPr>
                <w:ilvl w:val="0"/>
                <w:numId w:val="9"/>
              </w:numPr>
              <w:spacing w:after="0"/>
              <w:ind w:left="482" w:hanging="357"/>
              <w:jc w:val="left"/>
            </w:pPr>
            <w:r>
              <w:t>Turistička zajednica Grada Zagreba</w:t>
            </w:r>
          </w:p>
        </w:tc>
      </w:tr>
      <w:tr w:rsidR="00C44370" w:rsidRPr="003D373D" w14:paraId="16BBEB45" w14:textId="77777777" w:rsidTr="005808FC">
        <w:trPr>
          <w:trHeight w:val="227"/>
        </w:trPr>
        <w:tc>
          <w:tcPr>
            <w:tcW w:w="3235" w:type="dxa"/>
            <w:shd w:val="clear" w:color="auto" w:fill="F2DBDB" w:themeFill="accent2" w:themeFillTint="33"/>
          </w:tcPr>
          <w:p w14:paraId="5A4D9206" w14:textId="77777777" w:rsidR="00C44370" w:rsidRPr="005808FC" w:rsidRDefault="00C44370">
            <w:pPr>
              <w:rPr>
                <w:b/>
                <w:bCs/>
              </w:rPr>
            </w:pPr>
            <w:r w:rsidRPr="00291DF5">
              <w:rPr>
                <w:b/>
                <w:bCs/>
              </w:rPr>
              <w:t>Početak/kraj provedbe (godine)</w:t>
            </w:r>
          </w:p>
        </w:tc>
        <w:tc>
          <w:tcPr>
            <w:tcW w:w="5781" w:type="dxa"/>
          </w:tcPr>
          <w:p w14:paraId="6CE7E152" w14:textId="0139F075" w:rsidR="00C44370" w:rsidRPr="005808FC" w:rsidRDefault="00C44370">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C44370" w:rsidRPr="003D373D" w14:paraId="02A44D6F" w14:textId="77777777" w:rsidTr="005808FC">
        <w:trPr>
          <w:trHeight w:val="227"/>
        </w:trPr>
        <w:tc>
          <w:tcPr>
            <w:tcW w:w="3235" w:type="dxa"/>
            <w:shd w:val="clear" w:color="auto" w:fill="F2DBDB" w:themeFill="accent2" w:themeFillTint="33"/>
          </w:tcPr>
          <w:p w14:paraId="423D7FDF" w14:textId="77777777" w:rsidR="00C44370" w:rsidRPr="005808FC" w:rsidRDefault="00C44370">
            <w:pPr>
              <w:rPr>
                <w:b/>
                <w:bCs/>
              </w:rPr>
            </w:pPr>
            <w:r w:rsidRPr="00291DF5">
              <w:rPr>
                <w:b/>
                <w:bCs/>
              </w:rPr>
              <w:t>Procjena troškova (jedinična ili ukupna po mjeri)</w:t>
            </w:r>
          </w:p>
        </w:tc>
        <w:tc>
          <w:tcPr>
            <w:tcW w:w="5781" w:type="dxa"/>
          </w:tcPr>
          <w:p w14:paraId="4C5F64A1" w14:textId="0F26E66B" w:rsidR="00C44370" w:rsidRPr="005808FC" w:rsidRDefault="00C44370">
            <w:pPr>
              <w:rPr>
                <w:rFonts w:eastAsia="Calibri"/>
              </w:rPr>
            </w:pPr>
            <w:r w:rsidRPr="005808FC">
              <w:rPr>
                <w:rFonts w:eastAsia="Calibri"/>
                <w:b/>
                <w:bCs/>
              </w:rPr>
              <w:t>1.000.000</w:t>
            </w:r>
          </w:p>
        </w:tc>
      </w:tr>
      <w:tr w:rsidR="00C44370" w:rsidRPr="003D373D" w14:paraId="63BC0253" w14:textId="77777777" w:rsidTr="005808FC">
        <w:trPr>
          <w:trHeight w:val="227"/>
        </w:trPr>
        <w:tc>
          <w:tcPr>
            <w:tcW w:w="3235" w:type="dxa"/>
            <w:shd w:val="clear" w:color="auto" w:fill="F2DBDB" w:themeFill="accent2" w:themeFillTint="33"/>
          </w:tcPr>
          <w:p w14:paraId="743B3FBD" w14:textId="77777777" w:rsidR="00C44370" w:rsidRPr="005808FC" w:rsidRDefault="00C44370">
            <w:pPr>
              <w:rPr>
                <w:b/>
                <w:bCs/>
              </w:rPr>
            </w:pPr>
            <w:r w:rsidRPr="00291DF5">
              <w:rPr>
                <w:b/>
                <w:bCs/>
              </w:rPr>
              <w:t>Izvor sredstava za provedbu</w:t>
            </w:r>
          </w:p>
        </w:tc>
        <w:tc>
          <w:tcPr>
            <w:tcW w:w="5781" w:type="dxa"/>
          </w:tcPr>
          <w:p w14:paraId="20091A25" w14:textId="77777777" w:rsidR="00C44370" w:rsidRPr="003D373D" w:rsidRDefault="00C44370" w:rsidP="005808FC">
            <w:pPr>
              <w:numPr>
                <w:ilvl w:val="0"/>
                <w:numId w:val="9"/>
              </w:numPr>
              <w:spacing w:after="0"/>
              <w:ind w:left="482" w:hanging="357"/>
              <w:jc w:val="left"/>
            </w:pPr>
            <w:r w:rsidRPr="00291DF5">
              <w:t>Proračun Grada Zagreba</w:t>
            </w:r>
          </w:p>
          <w:p w14:paraId="183CB7D0" w14:textId="77777777" w:rsidR="00C44370" w:rsidRPr="003D373D" w:rsidRDefault="00C44370" w:rsidP="005808FC">
            <w:pPr>
              <w:numPr>
                <w:ilvl w:val="0"/>
                <w:numId w:val="9"/>
              </w:numPr>
              <w:spacing w:after="0"/>
              <w:ind w:left="482" w:hanging="357"/>
              <w:jc w:val="left"/>
            </w:pPr>
            <w:r w:rsidRPr="00291DF5">
              <w:t>Državni proračun</w:t>
            </w:r>
          </w:p>
          <w:p w14:paraId="6C646D24" w14:textId="5E7A0476" w:rsidR="00C44370" w:rsidRPr="003D373D" w:rsidRDefault="00C42B1B" w:rsidP="00C42B1B">
            <w:pPr>
              <w:numPr>
                <w:ilvl w:val="0"/>
                <w:numId w:val="9"/>
              </w:numPr>
              <w:spacing w:after="0"/>
              <w:ind w:left="482" w:hanging="357"/>
              <w:jc w:val="left"/>
            </w:pPr>
            <w:r>
              <w:t>Europski strukturni i investicijski fondovi</w:t>
            </w:r>
          </w:p>
        </w:tc>
      </w:tr>
      <w:tr w:rsidR="00C44370" w:rsidRPr="003D373D" w14:paraId="128D812E" w14:textId="77777777" w:rsidTr="005808FC">
        <w:trPr>
          <w:trHeight w:val="620"/>
        </w:trPr>
        <w:tc>
          <w:tcPr>
            <w:tcW w:w="3235" w:type="dxa"/>
            <w:shd w:val="clear" w:color="auto" w:fill="F2DBDB" w:themeFill="accent2" w:themeFillTint="33"/>
          </w:tcPr>
          <w:p w14:paraId="3EB21AEB" w14:textId="77777777" w:rsidR="00C44370" w:rsidRPr="005808FC" w:rsidRDefault="00C44370">
            <w:pPr>
              <w:rPr>
                <w:b/>
                <w:bCs/>
              </w:rPr>
            </w:pPr>
            <w:r w:rsidRPr="00291DF5">
              <w:rPr>
                <w:b/>
                <w:bCs/>
              </w:rPr>
              <w:t>Kratki opis/komentar</w:t>
            </w:r>
          </w:p>
        </w:tc>
        <w:tc>
          <w:tcPr>
            <w:tcW w:w="5781" w:type="dxa"/>
          </w:tcPr>
          <w:p w14:paraId="51BF915F" w14:textId="798D442B" w:rsidR="00C44370" w:rsidRPr="003D373D" w:rsidRDefault="00C44370">
            <w:pPr>
              <w:autoSpaceDE w:val="0"/>
              <w:autoSpaceDN w:val="0"/>
              <w:adjustRightInd w:val="0"/>
            </w:pPr>
            <w:r w:rsidRPr="00291DF5">
              <w:t xml:space="preserve">Cilj je smanjiti rizik za stanovništvo sustavnom implementacijom mjera pomoći za vrijeme toplinskih </w:t>
            </w:r>
            <w:r w:rsidRPr="005808FC">
              <w:t>valova, koje su definirane Protokolom o postupanju</w:t>
            </w:r>
            <w:r w:rsidR="000509A0">
              <w:t xml:space="preserve"> i </w:t>
            </w:r>
            <w:r w:rsidRPr="00291DF5">
              <w:t>preporukama za zaštitu od vrućina.</w:t>
            </w:r>
          </w:p>
          <w:p w14:paraId="3D38C7D9" w14:textId="77777777" w:rsidR="00C44370" w:rsidRDefault="00C44370">
            <w:pPr>
              <w:autoSpaceDE w:val="0"/>
              <w:autoSpaceDN w:val="0"/>
              <w:adjustRightInd w:val="0"/>
            </w:pPr>
            <w:r w:rsidRPr="00291DF5">
              <w:t>U cilju smanjenja rizika za stanovništvo potrebno je planirati mjere pomoći za vrijeme toplinskih valova:</w:t>
            </w:r>
          </w:p>
          <w:p w14:paraId="46579D9C" w14:textId="49F30F0E" w:rsidR="00C44370" w:rsidRPr="007F57CA" w:rsidRDefault="000509A0" w:rsidP="005808FC">
            <w:pPr>
              <w:pStyle w:val="ListParagraph"/>
              <w:numPr>
                <w:ilvl w:val="0"/>
                <w:numId w:val="90"/>
              </w:numPr>
              <w:autoSpaceDE w:val="0"/>
              <w:autoSpaceDN w:val="0"/>
              <w:adjustRightInd w:val="0"/>
              <w:spacing w:after="0" w:line="240" w:lineRule="auto"/>
              <w:ind w:left="316" w:hanging="180"/>
            </w:pPr>
            <w:r>
              <w:t>u</w:t>
            </w:r>
            <w:r w:rsidR="00C44370" w:rsidRPr="005808FC">
              <w:t>naprijediti sustav ranog upozorenja na toplinske valove na način da je olakšan protok informacija do svih skupina društva</w:t>
            </w:r>
            <w:r>
              <w:t>;</w:t>
            </w:r>
          </w:p>
          <w:p w14:paraId="2A4631FB" w14:textId="0C9557C4" w:rsidR="00C44370" w:rsidRPr="003D373D" w:rsidRDefault="00C44370">
            <w:pPr>
              <w:autoSpaceDE w:val="0"/>
              <w:autoSpaceDN w:val="0"/>
              <w:adjustRightInd w:val="0"/>
              <w:ind w:left="223" w:hanging="133"/>
            </w:pPr>
            <w:r w:rsidRPr="00291DF5">
              <w:t>•</w:t>
            </w:r>
            <w:r w:rsidR="000509A0">
              <w:t xml:space="preserve"> </w:t>
            </w:r>
            <w:r w:rsidRPr="005808FC">
              <w:t>povećana briga za osobe kojima je potrebna pomoć (rodbina, susjedi, socijalne službe)</w:t>
            </w:r>
            <w:r w:rsidR="000509A0">
              <w:t>;</w:t>
            </w:r>
          </w:p>
          <w:p w14:paraId="61F82886" w14:textId="79C7EEA5" w:rsidR="00C44370" w:rsidRDefault="00C44370">
            <w:pPr>
              <w:autoSpaceDE w:val="0"/>
              <w:autoSpaceDN w:val="0"/>
              <w:adjustRightInd w:val="0"/>
              <w:ind w:left="223" w:hanging="133"/>
            </w:pPr>
            <w:r w:rsidRPr="00291DF5">
              <w:t>• posebna obuka za osoblje koje se brine o starijim osobama</w:t>
            </w:r>
            <w:r w:rsidR="000509A0">
              <w:t>;</w:t>
            </w:r>
          </w:p>
          <w:p w14:paraId="061B2CDA" w14:textId="6F7B6E64" w:rsidR="00D061F3" w:rsidRPr="003D373D" w:rsidRDefault="00D061F3" w:rsidP="00D061F3">
            <w:pPr>
              <w:pStyle w:val="ListParagraph"/>
              <w:numPr>
                <w:ilvl w:val="0"/>
                <w:numId w:val="90"/>
              </w:numPr>
              <w:autoSpaceDE w:val="0"/>
              <w:autoSpaceDN w:val="0"/>
              <w:adjustRightInd w:val="0"/>
              <w:ind w:left="223" w:hanging="133"/>
            </w:pPr>
            <w:r>
              <w:t>Posebna briga o vulnerabilnim skupinama građana (djeca, trudnice, starije osobe, kronični bolesnici i dr.)</w:t>
            </w:r>
          </w:p>
          <w:p w14:paraId="08377B51" w14:textId="77E754DC" w:rsidR="00C44370" w:rsidRPr="003D373D" w:rsidRDefault="00C44370">
            <w:pPr>
              <w:autoSpaceDE w:val="0"/>
              <w:autoSpaceDN w:val="0"/>
              <w:adjustRightInd w:val="0"/>
              <w:ind w:left="223" w:hanging="133"/>
            </w:pPr>
            <w:r w:rsidRPr="00291DF5">
              <w:t>• identificirati osobe kod koj</w:t>
            </w:r>
            <w:r w:rsidRPr="005808FC">
              <w:t>ih postoji povećani rizik te onih kojima je potrebna posebna pomoć (</w:t>
            </w:r>
            <w:r w:rsidR="00D061F3">
              <w:t xml:space="preserve">kronični </w:t>
            </w:r>
            <w:r w:rsidRPr="005808FC">
              <w:t xml:space="preserve">bolesnici, samci) </w:t>
            </w:r>
            <w:r w:rsidR="00D061F3">
              <w:t>;</w:t>
            </w:r>
          </w:p>
          <w:p w14:paraId="538295B6" w14:textId="0A0A09E6" w:rsidR="00C44370" w:rsidRPr="003D373D" w:rsidRDefault="00C44370">
            <w:pPr>
              <w:autoSpaceDE w:val="0"/>
              <w:autoSpaceDN w:val="0"/>
              <w:adjustRightInd w:val="0"/>
              <w:ind w:left="223" w:hanging="133"/>
            </w:pPr>
            <w:r w:rsidRPr="00291DF5">
              <w:t>•</w:t>
            </w:r>
            <w:r w:rsidR="00C42B1B">
              <w:t xml:space="preserve"> </w:t>
            </w:r>
            <w:r w:rsidRPr="00291DF5">
              <w:t>ustanoviti raspoloživost ljudskih</w:t>
            </w:r>
            <w:r w:rsidR="000509A0">
              <w:t xml:space="preserve"> i </w:t>
            </w:r>
            <w:r w:rsidRPr="00291DF5">
              <w:t>zdravstvenih kapaciteta u slučaju toplinskog vala</w:t>
            </w:r>
            <w:r w:rsidR="000509A0">
              <w:t>;</w:t>
            </w:r>
          </w:p>
          <w:p w14:paraId="61E8EBC8" w14:textId="77777777" w:rsidR="00C44370" w:rsidRDefault="00C44370" w:rsidP="00D061F3">
            <w:pPr>
              <w:autoSpaceDE w:val="0"/>
              <w:autoSpaceDN w:val="0"/>
              <w:adjustRightInd w:val="0"/>
              <w:ind w:left="136" w:hanging="81"/>
            </w:pPr>
            <w:r w:rsidRPr="00291DF5">
              <w:t>•</w:t>
            </w:r>
            <w:r w:rsidR="00C42B1B">
              <w:t xml:space="preserve"> </w:t>
            </w:r>
            <w:r w:rsidR="00D061F3" w:rsidRPr="00291DF5">
              <w:t xml:space="preserve">priprema javnog gradskog prijevoza </w:t>
            </w:r>
            <w:r w:rsidR="00D061F3">
              <w:t>–</w:t>
            </w:r>
            <w:r w:rsidR="00D061F3" w:rsidRPr="00291DF5">
              <w:t xml:space="preserve"> </w:t>
            </w:r>
            <w:r w:rsidR="00D061F3" w:rsidRPr="005808FC">
              <w:t xml:space="preserve">pojačani </w:t>
            </w:r>
            <w:r w:rsidR="00D061F3">
              <w:t xml:space="preserve">i besplatni javni </w:t>
            </w:r>
            <w:r w:rsidR="00D061F3" w:rsidRPr="005808FC">
              <w:t>gradski prijevoz</w:t>
            </w:r>
            <w:r w:rsidR="00D061F3">
              <w:t xml:space="preserve"> za vrijeme toplinskih udara kako bi zaštitili zdravlje svih skupina građana</w:t>
            </w:r>
            <w:r w:rsidR="00D061F3" w:rsidRPr="005808FC">
              <w:t>, osiguranje klimatiziranosti vozila javnog gradskog prijevoza, zaštita od sunca na stajalištima</w:t>
            </w:r>
            <w:r w:rsidR="00D061F3">
              <w:t>.</w:t>
            </w:r>
          </w:p>
          <w:p w14:paraId="3FAA3B50" w14:textId="50BF8502" w:rsidR="00D061F3" w:rsidRDefault="00D061F3" w:rsidP="00D061F3">
            <w:pPr>
              <w:pStyle w:val="ListParagraph"/>
              <w:numPr>
                <w:ilvl w:val="0"/>
                <w:numId w:val="90"/>
              </w:numPr>
              <w:autoSpaceDE w:val="0"/>
              <w:autoSpaceDN w:val="0"/>
              <w:adjustRightInd w:val="0"/>
              <w:ind w:left="333" w:hanging="142"/>
            </w:pPr>
            <w:r>
              <w:lastRenderedPageBreak/>
              <w:t xml:space="preserve"> Dostupnost besplatne pitke vode na javnim mjestima za vrijeme toplinskih udara (postaviti dostupnu javnu vodu na više mjesta s najvećom fluktuacijom građana)</w:t>
            </w:r>
          </w:p>
          <w:p w14:paraId="00B235DF" w14:textId="5E5E7757" w:rsidR="00D061F3" w:rsidRDefault="00D061F3" w:rsidP="00D061F3">
            <w:pPr>
              <w:pStyle w:val="ListParagraph"/>
              <w:numPr>
                <w:ilvl w:val="0"/>
                <w:numId w:val="90"/>
              </w:numPr>
              <w:autoSpaceDE w:val="0"/>
              <w:autoSpaceDN w:val="0"/>
              <w:adjustRightInd w:val="0"/>
              <w:ind w:left="333" w:hanging="142"/>
            </w:pPr>
            <w:r>
              <w:t xml:space="preserve"> Unapređenje mreže mjerača UV indeksa na području grada </w:t>
            </w:r>
          </w:p>
          <w:p w14:paraId="4FC95C44" w14:textId="4F0AABF5" w:rsidR="00D061F3" w:rsidRDefault="00D061F3" w:rsidP="00D061F3">
            <w:pPr>
              <w:pStyle w:val="ListParagraph"/>
              <w:numPr>
                <w:ilvl w:val="0"/>
                <w:numId w:val="90"/>
              </w:numPr>
              <w:autoSpaceDE w:val="0"/>
              <w:autoSpaceDN w:val="0"/>
              <w:adjustRightInd w:val="0"/>
              <w:ind w:left="333" w:hanging="142"/>
            </w:pPr>
            <w:r>
              <w:t xml:space="preserve"> Prikaz UV indeksa u vozilima javnog prijevoza s preporučenim faktorom zaštite</w:t>
            </w:r>
          </w:p>
          <w:p w14:paraId="7AE575A4" w14:textId="6773AD71" w:rsidR="00D061F3" w:rsidRDefault="00D061F3" w:rsidP="00D061F3">
            <w:pPr>
              <w:pStyle w:val="ListParagraph"/>
              <w:numPr>
                <w:ilvl w:val="0"/>
                <w:numId w:val="90"/>
              </w:numPr>
              <w:autoSpaceDE w:val="0"/>
              <w:autoSpaceDN w:val="0"/>
              <w:adjustRightInd w:val="0"/>
              <w:ind w:left="333" w:hanging="142"/>
            </w:pPr>
            <w:r>
              <w:t xml:space="preserve"> Edukacija građana o zdravstveno prihvatljivom ponašanju na suncu (izrada materijala na engleskom i hrvatskom u suradnji sa stručnim udrugama i TZGZ)</w:t>
            </w:r>
          </w:p>
          <w:p w14:paraId="53B6454D" w14:textId="50575E3C" w:rsidR="00D061F3" w:rsidRPr="00887BFC" w:rsidRDefault="00D061F3" w:rsidP="00887BFC">
            <w:pPr>
              <w:pStyle w:val="ListParagraph"/>
              <w:numPr>
                <w:ilvl w:val="0"/>
                <w:numId w:val="90"/>
              </w:numPr>
              <w:autoSpaceDE w:val="0"/>
              <w:autoSpaceDN w:val="0"/>
              <w:adjustRightInd w:val="0"/>
              <w:ind w:left="333" w:hanging="142"/>
            </w:pPr>
            <w:r>
              <w:t xml:space="preserve"> Osiguranje javnozdravstvenih preventivnih pregleda madeža i kože u cilju prevencije malignih tumora kože </w:t>
            </w:r>
          </w:p>
        </w:tc>
      </w:tr>
    </w:tbl>
    <w:p w14:paraId="21B51987" w14:textId="3BA116DA" w:rsidR="008828E2" w:rsidRDefault="008828E2" w:rsidP="00AE5E1A">
      <w:pPr>
        <w:spacing w:after="160" w:line="259" w:lineRule="auto"/>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5781"/>
      </w:tblGrid>
      <w:tr w:rsidR="008828E2" w:rsidRPr="003D373D" w14:paraId="706BBE7A" w14:textId="77777777" w:rsidTr="005808FC">
        <w:trPr>
          <w:trHeight w:val="227"/>
        </w:trPr>
        <w:tc>
          <w:tcPr>
            <w:tcW w:w="3235" w:type="dxa"/>
            <w:shd w:val="clear" w:color="auto" w:fill="C6D9F1" w:themeFill="text2" w:themeFillTint="33"/>
          </w:tcPr>
          <w:p w14:paraId="630B3917" w14:textId="77777777" w:rsidR="008828E2" w:rsidRPr="005808FC" w:rsidRDefault="008828E2">
            <w:pPr>
              <w:rPr>
                <w:b/>
                <w:bCs/>
              </w:rPr>
            </w:pPr>
            <w:r w:rsidRPr="00291DF5">
              <w:rPr>
                <w:b/>
                <w:bCs/>
              </w:rPr>
              <w:t>Redni broj mjere</w:t>
            </w:r>
          </w:p>
        </w:tc>
        <w:tc>
          <w:tcPr>
            <w:tcW w:w="5781" w:type="dxa"/>
            <w:shd w:val="clear" w:color="auto" w:fill="C6D9F1" w:themeFill="text2" w:themeFillTint="33"/>
          </w:tcPr>
          <w:p w14:paraId="409A0983" w14:textId="0615D556" w:rsidR="008828E2" w:rsidRPr="005808FC" w:rsidRDefault="008828E2">
            <w:pPr>
              <w:rPr>
                <w:rFonts w:eastAsia="Calibri"/>
                <w:b/>
                <w:bCs/>
              </w:rPr>
            </w:pPr>
            <w:r w:rsidRPr="00291DF5">
              <w:rPr>
                <w:rFonts w:eastAsia="Calibri"/>
                <w:b/>
                <w:bCs/>
              </w:rPr>
              <w:t>30</w:t>
            </w:r>
          </w:p>
        </w:tc>
      </w:tr>
      <w:tr w:rsidR="008828E2" w:rsidRPr="003D373D" w14:paraId="2387C88E" w14:textId="77777777" w:rsidTr="005808FC">
        <w:trPr>
          <w:trHeight w:val="593"/>
        </w:trPr>
        <w:tc>
          <w:tcPr>
            <w:tcW w:w="3235" w:type="dxa"/>
            <w:shd w:val="clear" w:color="auto" w:fill="C6D9F1" w:themeFill="text2" w:themeFillTint="33"/>
          </w:tcPr>
          <w:p w14:paraId="707750FE" w14:textId="77777777" w:rsidR="008828E2" w:rsidRPr="005808FC" w:rsidRDefault="008828E2">
            <w:pPr>
              <w:rPr>
                <w:b/>
                <w:bCs/>
              </w:rPr>
            </w:pPr>
            <w:r w:rsidRPr="00291DF5">
              <w:rPr>
                <w:b/>
                <w:bCs/>
              </w:rPr>
              <w:br w:type="page"/>
              <w:t>Ime mjere/aktivnost</w:t>
            </w:r>
          </w:p>
        </w:tc>
        <w:tc>
          <w:tcPr>
            <w:tcW w:w="5781" w:type="dxa"/>
            <w:shd w:val="clear" w:color="auto" w:fill="C6D9F1" w:themeFill="text2" w:themeFillTint="33"/>
          </w:tcPr>
          <w:p w14:paraId="2C6B1816" w14:textId="29B8C45C" w:rsidR="008828E2" w:rsidRPr="005808FC" w:rsidRDefault="008828E2">
            <w:pPr>
              <w:autoSpaceDE w:val="0"/>
              <w:autoSpaceDN w:val="0"/>
              <w:adjustRightInd w:val="0"/>
              <w:rPr>
                <w:rFonts w:eastAsia="Calibri"/>
                <w:b/>
                <w:bCs/>
              </w:rPr>
            </w:pPr>
            <w:r w:rsidRPr="00291DF5">
              <w:rPr>
                <w:rFonts w:eastAsia="Calibri"/>
                <w:b/>
                <w:bCs/>
              </w:rPr>
              <w:t>Izrada analize povećanja učestalosti bolesti uslijed učinaka klimatskih promjena</w:t>
            </w:r>
          </w:p>
        </w:tc>
      </w:tr>
      <w:tr w:rsidR="008828E2" w:rsidRPr="003D373D" w14:paraId="5708FF2C" w14:textId="77777777" w:rsidTr="005808FC">
        <w:trPr>
          <w:trHeight w:val="227"/>
        </w:trPr>
        <w:tc>
          <w:tcPr>
            <w:tcW w:w="3235" w:type="dxa"/>
            <w:shd w:val="clear" w:color="auto" w:fill="F2DBDB" w:themeFill="accent2" w:themeFillTint="33"/>
          </w:tcPr>
          <w:p w14:paraId="2B25AAC8" w14:textId="77777777" w:rsidR="008828E2" w:rsidRPr="005808FC" w:rsidRDefault="008828E2">
            <w:pPr>
              <w:rPr>
                <w:b/>
                <w:bCs/>
              </w:rPr>
            </w:pPr>
            <w:r w:rsidRPr="00291DF5">
              <w:rPr>
                <w:b/>
                <w:bCs/>
              </w:rPr>
              <w:t>Nositelj aktivnosti:</w:t>
            </w:r>
          </w:p>
        </w:tc>
        <w:tc>
          <w:tcPr>
            <w:tcW w:w="5781" w:type="dxa"/>
          </w:tcPr>
          <w:p w14:paraId="5F15812A" w14:textId="77777777" w:rsidR="008828E2" w:rsidRPr="00235BFE" w:rsidRDefault="008828E2" w:rsidP="005808FC">
            <w:pPr>
              <w:numPr>
                <w:ilvl w:val="0"/>
                <w:numId w:val="9"/>
              </w:numPr>
              <w:spacing w:after="0"/>
              <w:ind w:left="482" w:hanging="357"/>
              <w:jc w:val="left"/>
            </w:pPr>
            <w:r w:rsidRPr="00291DF5">
              <w:t>Gradski ured za zdravstvo</w:t>
            </w:r>
          </w:p>
        </w:tc>
      </w:tr>
      <w:tr w:rsidR="008828E2" w:rsidRPr="003D373D" w14:paraId="73A644B7" w14:textId="77777777" w:rsidTr="005808FC">
        <w:trPr>
          <w:trHeight w:val="227"/>
        </w:trPr>
        <w:tc>
          <w:tcPr>
            <w:tcW w:w="3235" w:type="dxa"/>
            <w:shd w:val="clear" w:color="auto" w:fill="F2DBDB" w:themeFill="accent2" w:themeFillTint="33"/>
          </w:tcPr>
          <w:p w14:paraId="0F322FCD" w14:textId="77777777" w:rsidR="008828E2" w:rsidRPr="005808FC" w:rsidRDefault="008828E2">
            <w:pPr>
              <w:rPr>
                <w:b/>
                <w:bCs/>
              </w:rPr>
            </w:pPr>
            <w:r w:rsidRPr="00291DF5">
              <w:rPr>
                <w:b/>
                <w:bCs/>
              </w:rPr>
              <w:t xml:space="preserve">Partneri u </w:t>
            </w:r>
            <w:r w:rsidRPr="005808FC">
              <w:rPr>
                <w:b/>
                <w:bCs/>
              </w:rPr>
              <w:t>provođenju aktivnosti:</w:t>
            </w:r>
          </w:p>
        </w:tc>
        <w:tc>
          <w:tcPr>
            <w:tcW w:w="5781" w:type="dxa"/>
          </w:tcPr>
          <w:p w14:paraId="5D9EAF8C" w14:textId="77777777" w:rsidR="00D061F3" w:rsidRDefault="00D061F3" w:rsidP="00D061F3">
            <w:pPr>
              <w:numPr>
                <w:ilvl w:val="0"/>
                <w:numId w:val="9"/>
              </w:numPr>
              <w:spacing w:after="0"/>
              <w:ind w:left="482" w:hanging="357"/>
              <w:jc w:val="left"/>
            </w:pPr>
            <w:r>
              <w:t xml:space="preserve">Nastavni zavod za hitnu medicinu Grada Zagreba </w:t>
            </w:r>
          </w:p>
          <w:p w14:paraId="2BC16454" w14:textId="77777777" w:rsidR="00D061F3" w:rsidRDefault="00D061F3" w:rsidP="00D061F3">
            <w:pPr>
              <w:numPr>
                <w:ilvl w:val="0"/>
                <w:numId w:val="9"/>
              </w:numPr>
              <w:spacing w:after="0"/>
              <w:ind w:left="482" w:hanging="357"/>
              <w:jc w:val="left"/>
            </w:pPr>
            <w:r>
              <w:t>Poliklinika za prevenciju kardiovaskularnih bolesti i rehabilitaciju „Srčana“</w:t>
            </w:r>
          </w:p>
          <w:p w14:paraId="3532B585" w14:textId="77777777" w:rsidR="00D061F3" w:rsidRDefault="00D061F3" w:rsidP="00D061F3">
            <w:pPr>
              <w:numPr>
                <w:ilvl w:val="0"/>
                <w:numId w:val="9"/>
              </w:numPr>
              <w:spacing w:after="0"/>
              <w:ind w:left="482" w:hanging="357"/>
              <w:jc w:val="left"/>
            </w:pPr>
            <w:r w:rsidRPr="00291DF5">
              <w:t>Nas</w:t>
            </w:r>
            <w:r>
              <w:t>tavni zavod za javno zdravstvo d</w:t>
            </w:r>
            <w:r w:rsidRPr="00291DF5">
              <w:t xml:space="preserve">r. Andrija Štampar </w:t>
            </w:r>
          </w:p>
          <w:p w14:paraId="78F8962D" w14:textId="178D214F" w:rsidR="008828E2" w:rsidRPr="003D373D" w:rsidDel="00436CBA" w:rsidRDefault="008828E2" w:rsidP="005808FC">
            <w:pPr>
              <w:numPr>
                <w:ilvl w:val="0"/>
                <w:numId w:val="9"/>
              </w:numPr>
              <w:spacing w:after="0"/>
              <w:ind w:left="482" w:hanging="357"/>
              <w:jc w:val="left"/>
            </w:pPr>
          </w:p>
        </w:tc>
      </w:tr>
      <w:tr w:rsidR="008828E2" w:rsidRPr="003D373D" w14:paraId="4E665C8B" w14:textId="77777777" w:rsidTr="005808FC">
        <w:trPr>
          <w:trHeight w:val="227"/>
        </w:trPr>
        <w:tc>
          <w:tcPr>
            <w:tcW w:w="3235" w:type="dxa"/>
            <w:shd w:val="clear" w:color="auto" w:fill="F2DBDB" w:themeFill="accent2" w:themeFillTint="33"/>
          </w:tcPr>
          <w:p w14:paraId="4CA710CC" w14:textId="77777777" w:rsidR="008828E2" w:rsidRPr="005808FC" w:rsidRDefault="008828E2">
            <w:pPr>
              <w:rPr>
                <w:b/>
                <w:bCs/>
              </w:rPr>
            </w:pPr>
            <w:r w:rsidRPr="00291DF5">
              <w:rPr>
                <w:b/>
                <w:bCs/>
              </w:rPr>
              <w:t>Ostali uključeni dionici:</w:t>
            </w:r>
          </w:p>
        </w:tc>
        <w:tc>
          <w:tcPr>
            <w:tcW w:w="5781" w:type="dxa"/>
          </w:tcPr>
          <w:p w14:paraId="59B4D66D" w14:textId="77777777" w:rsidR="00D061F3" w:rsidRDefault="00D061F3" w:rsidP="00D061F3">
            <w:pPr>
              <w:numPr>
                <w:ilvl w:val="0"/>
                <w:numId w:val="9"/>
              </w:numPr>
              <w:spacing w:after="0"/>
              <w:ind w:left="482" w:hanging="357"/>
              <w:jc w:val="left"/>
            </w:pPr>
            <w:r>
              <w:t>Hrvatski zavod za javno zdravstvo</w:t>
            </w:r>
          </w:p>
          <w:p w14:paraId="099304E5" w14:textId="77777777" w:rsidR="00D061F3" w:rsidRPr="00953825" w:rsidRDefault="00D061F3" w:rsidP="00D061F3">
            <w:pPr>
              <w:numPr>
                <w:ilvl w:val="0"/>
                <w:numId w:val="9"/>
              </w:numPr>
              <w:spacing w:after="0"/>
              <w:ind w:left="482" w:hanging="357"/>
              <w:jc w:val="left"/>
              <w:rPr>
                <w:rFonts w:cstheme="minorHAnsi"/>
              </w:rPr>
            </w:pPr>
            <w:r>
              <w:t>Ministarstvo zdravstva</w:t>
            </w:r>
            <w:r w:rsidRPr="00291DF5">
              <w:t xml:space="preserve"> </w:t>
            </w:r>
          </w:p>
          <w:p w14:paraId="682F6AE1" w14:textId="77777777" w:rsidR="00D061F3" w:rsidRDefault="00D061F3" w:rsidP="00D061F3">
            <w:pPr>
              <w:numPr>
                <w:ilvl w:val="0"/>
                <w:numId w:val="9"/>
              </w:numPr>
              <w:spacing w:after="0"/>
              <w:ind w:left="482" w:hanging="357"/>
              <w:jc w:val="left"/>
            </w:pPr>
            <w:r>
              <w:t>Zdravstvene ustanove</w:t>
            </w:r>
          </w:p>
          <w:p w14:paraId="3E4A95EC" w14:textId="382BB656" w:rsidR="008828E2" w:rsidRPr="003D373D" w:rsidRDefault="008828E2" w:rsidP="005808FC">
            <w:pPr>
              <w:numPr>
                <w:ilvl w:val="0"/>
                <w:numId w:val="9"/>
              </w:numPr>
              <w:spacing w:after="0"/>
              <w:ind w:left="482" w:hanging="357"/>
              <w:jc w:val="left"/>
              <w:rPr>
                <w:rFonts w:cstheme="minorHAnsi"/>
              </w:rPr>
            </w:pPr>
            <w:r w:rsidRPr="00291DF5">
              <w:t>Državni hidrometeorološki Zavod</w:t>
            </w:r>
          </w:p>
        </w:tc>
      </w:tr>
      <w:tr w:rsidR="008828E2" w:rsidRPr="003D373D" w14:paraId="67556937" w14:textId="77777777" w:rsidTr="005808FC">
        <w:trPr>
          <w:trHeight w:val="227"/>
        </w:trPr>
        <w:tc>
          <w:tcPr>
            <w:tcW w:w="3235" w:type="dxa"/>
            <w:shd w:val="clear" w:color="auto" w:fill="F2DBDB" w:themeFill="accent2" w:themeFillTint="33"/>
          </w:tcPr>
          <w:p w14:paraId="47F92A38" w14:textId="77777777" w:rsidR="008828E2" w:rsidRPr="005808FC" w:rsidRDefault="008828E2">
            <w:pPr>
              <w:rPr>
                <w:b/>
                <w:bCs/>
              </w:rPr>
            </w:pPr>
            <w:r w:rsidRPr="00291DF5">
              <w:rPr>
                <w:b/>
                <w:bCs/>
              </w:rPr>
              <w:t>Početak/kraj provedbe (godine)</w:t>
            </w:r>
          </w:p>
        </w:tc>
        <w:tc>
          <w:tcPr>
            <w:tcW w:w="5781" w:type="dxa"/>
          </w:tcPr>
          <w:p w14:paraId="3CD58B7F" w14:textId="3B3D2299" w:rsidR="008828E2" w:rsidRPr="005808FC" w:rsidRDefault="008828E2">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2030</w:t>
            </w:r>
          </w:p>
        </w:tc>
      </w:tr>
      <w:tr w:rsidR="008828E2" w:rsidRPr="003D373D" w14:paraId="1F73E6CA" w14:textId="77777777" w:rsidTr="005808FC">
        <w:trPr>
          <w:trHeight w:val="227"/>
        </w:trPr>
        <w:tc>
          <w:tcPr>
            <w:tcW w:w="3235" w:type="dxa"/>
            <w:shd w:val="clear" w:color="auto" w:fill="F2DBDB" w:themeFill="accent2" w:themeFillTint="33"/>
          </w:tcPr>
          <w:p w14:paraId="52B25A44" w14:textId="77777777" w:rsidR="008828E2" w:rsidRPr="005808FC" w:rsidRDefault="008828E2">
            <w:pPr>
              <w:rPr>
                <w:b/>
                <w:bCs/>
              </w:rPr>
            </w:pPr>
            <w:r w:rsidRPr="00291DF5">
              <w:rPr>
                <w:b/>
                <w:bCs/>
              </w:rPr>
              <w:t xml:space="preserve">Procjena </w:t>
            </w:r>
            <w:r w:rsidRPr="005808FC">
              <w:rPr>
                <w:b/>
                <w:bCs/>
              </w:rPr>
              <w:t>troškova (jedinična ili ukupna po mjeri)</w:t>
            </w:r>
          </w:p>
        </w:tc>
        <w:tc>
          <w:tcPr>
            <w:tcW w:w="5781" w:type="dxa"/>
          </w:tcPr>
          <w:p w14:paraId="1F3DC323" w14:textId="14B94EF6" w:rsidR="008828E2" w:rsidRPr="005808FC" w:rsidRDefault="008828E2">
            <w:pPr>
              <w:rPr>
                <w:rFonts w:eastAsia="Calibri"/>
              </w:rPr>
            </w:pPr>
            <w:r w:rsidRPr="00291DF5">
              <w:rPr>
                <w:rFonts w:eastAsia="Calibri"/>
                <w:b/>
                <w:bCs/>
              </w:rPr>
              <w:t>5</w:t>
            </w:r>
            <w:r w:rsidRPr="005808FC">
              <w:rPr>
                <w:rFonts w:eastAsia="Calibri"/>
                <w:b/>
                <w:bCs/>
              </w:rPr>
              <w:t>00.000</w:t>
            </w:r>
          </w:p>
        </w:tc>
      </w:tr>
      <w:tr w:rsidR="008828E2" w:rsidRPr="003D373D" w14:paraId="69646F69" w14:textId="77777777" w:rsidTr="005808FC">
        <w:trPr>
          <w:trHeight w:val="227"/>
        </w:trPr>
        <w:tc>
          <w:tcPr>
            <w:tcW w:w="3235" w:type="dxa"/>
            <w:shd w:val="clear" w:color="auto" w:fill="F2DBDB" w:themeFill="accent2" w:themeFillTint="33"/>
          </w:tcPr>
          <w:p w14:paraId="3C699B64" w14:textId="77777777" w:rsidR="008828E2" w:rsidRPr="005808FC" w:rsidRDefault="008828E2">
            <w:pPr>
              <w:rPr>
                <w:b/>
                <w:bCs/>
              </w:rPr>
            </w:pPr>
            <w:r w:rsidRPr="00291DF5">
              <w:rPr>
                <w:b/>
                <w:bCs/>
              </w:rPr>
              <w:t>Izvor sredstava za provedbu</w:t>
            </w:r>
          </w:p>
        </w:tc>
        <w:tc>
          <w:tcPr>
            <w:tcW w:w="5781" w:type="dxa"/>
          </w:tcPr>
          <w:p w14:paraId="3A7B1429" w14:textId="77777777" w:rsidR="008828E2" w:rsidRPr="003D373D" w:rsidRDefault="008828E2" w:rsidP="005808FC">
            <w:pPr>
              <w:numPr>
                <w:ilvl w:val="0"/>
                <w:numId w:val="9"/>
              </w:numPr>
              <w:spacing w:after="0"/>
              <w:ind w:left="482" w:hanging="357"/>
              <w:jc w:val="left"/>
            </w:pPr>
            <w:r w:rsidRPr="00291DF5">
              <w:t>Proračun Grada Zagreba</w:t>
            </w:r>
          </w:p>
          <w:p w14:paraId="1EC131A7" w14:textId="77777777" w:rsidR="008828E2" w:rsidRPr="003D373D" w:rsidRDefault="008828E2" w:rsidP="005808FC">
            <w:pPr>
              <w:numPr>
                <w:ilvl w:val="0"/>
                <w:numId w:val="9"/>
              </w:numPr>
              <w:spacing w:after="0"/>
              <w:ind w:left="482" w:hanging="357"/>
              <w:jc w:val="left"/>
            </w:pPr>
            <w:r w:rsidRPr="00291DF5">
              <w:t>Državni proračun</w:t>
            </w:r>
          </w:p>
          <w:p w14:paraId="749A9574" w14:textId="6D8DC220" w:rsidR="008828E2" w:rsidRPr="003D373D" w:rsidRDefault="00C42B1B" w:rsidP="00C42B1B">
            <w:pPr>
              <w:numPr>
                <w:ilvl w:val="0"/>
                <w:numId w:val="9"/>
              </w:numPr>
              <w:spacing w:after="0"/>
              <w:ind w:left="482" w:hanging="357"/>
              <w:jc w:val="left"/>
            </w:pPr>
            <w:r>
              <w:t>Europski strukturni i investicijski fondovi</w:t>
            </w:r>
          </w:p>
        </w:tc>
      </w:tr>
      <w:tr w:rsidR="008828E2" w:rsidRPr="003D373D" w14:paraId="475FC2ED" w14:textId="77777777" w:rsidTr="005808FC">
        <w:trPr>
          <w:trHeight w:val="620"/>
        </w:trPr>
        <w:tc>
          <w:tcPr>
            <w:tcW w:w="3235" w:type="dxa"/>
            <w:shd w:val="clear" w:color="auto" w:fill="F2DBDB" w:themeFill="accent2" w:themeFillTint="33"/>
          </w:tcPr>
          <w:p w14:paraId="4D12FB1E" w14:textId="77777777" w:rsidR="008828E2" w:rsidRPr="005808FC" w:rsidRDefault="008828E2">
            <w:pPr>
              <w:rPr>
                <w:b/>
                <w:bCs/>
              </w:rPr>
            </w:pPr>
            <w:r w:rsidRPr="00291DF5">
              <w:rPr>
                <w:b/>
                <w:bCs/>
              </w:rPr>
              <w:t>Kratki opis/komentar</w:t>
            </w:r>
          </w:p>
        </w:tc>
        <w:tc>
          <w:tcPr>
            <w:tcW w:w="5781" w:type="dxa"/>
          </w:tcPr>
          <w:p w14:paraId="2F5768E4" w14:textId="3D544020" w:rsidR="008828E2" w:rsidRPr="005808FC" w:rsidRDefault="008828E2" w:rsidP="005808FC">
            <w:pPr>
              <w:autoSpaceDE w:val="0"/>
              <w:autoSpaceDN w:val="0"/>
              <w:adjustRightInd w:val="0"/>
              <w:rPr>
                <w:color w:val="02213D"/>
              </w:rPr>
            </w:pPr>
            <w:r w:rsidRPr="00291DF5">
              <w:t xml:space="preserve">Cilj </w:t>
            </w:r>
            <w:r w:rsidRPr="005808FC">
              <w:t>mjere je izraditi sveobuhvatnu analizu povećanja učestalosti bolesti koje se povezuju s učincima klimatskih promjena</w:t>
            </w:r>
            <w:r w:rsidR="000509A0">
              <w:t xml:space="preserve"> i </w:t>
            </w:r>
            <w:r w:rsidRPr="00291DF5">
              <w:t>preporuka za ublažavanje istih. U izradu analize potrebno je uk</w:t>
            </w:r>
            <w:r w:rsidRPr="005808FC">
              <w:t>ljučiti sve relevantne dionike</w:t>
            </w:r>
            <w:r w:rsidR="000509A0">
              <w:t xml:space="preserve"> i </w:t>
            </w:r>
            <w:r w:rsidRPr="00291DF5">
              <w:t xml:space="preserve">pravovremeno </w:t>
            </w:r>
            <w:r w:rsidRPr="005808FC">
              <w:t>komunicirati rezultate u svrhu olakšanja planiranja aktivnosti u svrhu pripreme sustava.</w:t>
            </w:r>
          </w:p>
        </w:tc>
      </w:tr>
    </w:tbl>
    <w:p w14:paraId="229240CF" w14:textId="0D4B8DDE" w:rsidR="00AE5E1A" w:rsidRDefault="00AE5E1A" w:rsidP="00D065D7">
      <w:pPr>
        <w:pStyle w:val="Heading2"/>
      </w:pPr>
      <w:bookmarkStart w:id="269" w:name="_Toc4156116"/>
      <w:r w:rsidRPr="00987806">
        <w:lastRenderedPageBreak/>
        <w:t>Civilna zaštita</w:t>
      </w:r>
      <w:r w:rsidR="000509A0">
        <w:t xml:space="preserve"> i </w:t>
      </w:r>
      <w:r w:rsidRPr="00987806">
        <w:t>krizna stanja</w:t>
      </w:r>
      <w:bookmarkEnd w:id="269"/>
    </w:p>
    <w:p w14:paraId="76A20307" w14:textId="75668566" w:rsidR="003758FA" w:rsidRPr="003758FA" w:rsidRDefault="00E23C97" w:rsidP="003758FA">
      <w:r>
        <w:t xml:space="preserve">Civilna zaštita predstavlja osnovni alat za zaštitu </w:t>
      </w:r>
      <w:r w:rsidR="00D94C49">
        <w:t xml:space="preserve">lokalne zajednice od ekstremnih uvjeta. Identificiran rizik uslijed klimatskih promjena može se opisati na sljedeći način: </w:t>
      </w:r>
    </w:p>
    <w:p w14:paraId="5FCD14EC" w14:textId="7712CA0E" w:rsidR="00AE5E1A" w:rsidRDefault="003758FA" w:rsidP="2866E90D">
      <w:pPr>
        <w:pStyle w:val="ListParagraph"/>
        <w:numPr>
          <w:ilvl w:val="0"/>
          <w:numId w:val="83"/>
        </w:numPr>
      </w:pPr>
      <w:r w:rsidRPr="00FF4F06">
        <w:rPr>
          <w:lang w:eastAsia="hr-HR"/>
        </w:rPr>
        <w:t>Povećanje potrebe za angažmanom postrojbi civilne zaštite uslijed ekstremnih vremenskih događaja</w:t>
      </w:r>
    </w:p>
    <w:p w14:paraId="09B453D1" w14:textId="77777777" w:rsidR="00E122FE" w:rsidRPr="003D373D" w:rsidRDefault="00E122FE" w:rsidP="00E122FE">
      <w:pPr>
        <w:pStyle w:val="ListParagraph"/>
        <w:spacing w:before="120"/>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E122FE" w:rsidRPr="003D373D" w14:paraId="71E93E18" w14:textId="77777777" w:rsidTr="005808FC">
        <w:trPr>
          <w:trHeight w:val="227"/>
        </w:trPr>
        <w:tc>
          <w:tcPr>
            <w:tcW w:w="3325" w:type="dxa"/>
            <w:shd w:val="clear" w:color="auto" w:fill="C6D9F1" w:themeFill="text2" w:themeFillTint="33"/>
          </w:tcPr>
          <w:p w14:paraId="66001F23" w14:textId="77777777" w:rsidR="00E122FE" w:rsidRPr="005808FC" w:rsidRDefault="00E122FE">
            <w:pPr>
              <w:rPr>
                <w:b/>
                <w:bCs/>
              </w:rPr>
            </w:pPr>
            <w:r w:rsidRPr="00291DF5">
              <w:rPr>
                <w:b/>
                <w:bCs/>
              </w:rPr>
              <w:t>Redni broj mjere</w:t>
            </w:r>
          </w:p>
        </w:tc>
        <w:tc>
          <w:tcPr>
            <w:tcW w:w="5691" w:type="dxa"/>
            <w:shd w:val="clear" w:color="auto" w:fill="C6D9F1" w:themeFill="text2" w:themeFillTint="33"/>
          </w:tcPr>
          <w:p w14:paraId="2DB773FB" w14:textId="02DE09F2" w:rsidR="00E122FE" w:rsidRPr="005808FC" w:rsidRDefault="00E122FE">
            <w:pPr>
              <w:rPr>
                <w:rFonts w:eastAsia="Calibri"/>
                <w:b/>
                <w:bCs/>
              </w:rPr>
            </w:pPr>
            <w:r w:rsidRPr="00291DF5">
              <w:rPr>
                <w:rFonts w:eastAsia="Calibri"/>
                <w:b/>
                <w:bCs/>
              </w:rPr>
              <w:t>31</w:t>
            </w:r>
          </w:p>
        </w:tc>
      </w:tr>
      <w:tr w:rsidR="00E122FE" w:rsidRPr="003D373D" w14:paraId="327151CB" w14:textId="77777777" w:rsidTr="005808FC">
        <w:trPr>
          <w:trHeight w:val="818"/>
        </w:trPr>
        <w:tc>
          <w:tcPr>
            <w:tcW w:w="3325" w:type="dxa"/>
            <w:shd w:val="clear" w:color="auto" w:fill="C6D9F1" w:themeFill="text2" w:themeFillTint="33"/>
          </w:tcPr>
          <w:p w14:paraId="1C001DBA" w14:textId="77777777" w:rsidR="00E122FE" w:rsidRPr="005808FC" w:rsidRDefault="00E122FE">
            <w:pPr>
              <w:rPr>
                <w:b/>
                <w:bCs/>
              </w:rPr>
            </w:pPr>
            <w:r w:rsidRPr="00291DF5">
              <w:rPr>
                <w:b/>
                <w:bCs/>
              </w:rPr>
              <w:br w:type="page"/>
              <w:t xml:space="preserve">Ime </w:t>
            </w:r>
            <w:r w:rsidRPr="005808FC">
              <w:rPr>
                <w:b/>
                <w:bCs/>
              </w:rPr>
              <w:t>mjere/aktivnost</w:t>
            </w:r>
          </w:p>
        </w:tc>
        <w:tc>
          <w:tcPr>
            <w:tcW w:w="5691" w:type="dxa"/>
            <w:shd w:val="clear" w:color="auto" w:fill="C6D9F1" w:themeFill="text2" w:themeFillTint="33"/>
          </w:tcPr>
          <w:p w14:paraId="4B81178D" w14:textId="2C1A9BA3" w:rsidR="00E122FE" w:rsidRPr="005808FC" w:rsidRDefault="00E122FE">
            <w:pPr>
              <w:autoSpaceDE w:val="0"/>
              <w:autoSpaceDN w:val="0"/>
              <w:adjustRightInd w:val="0"/>
              <w:rPr>
                <w:rFonts w:eastAsia="Calibri"/>
                <w:b/>
                <w:bCs/>
              </w:rPr>
            </w:pPr>
            <w:r w:rsidRPr="00291DF5">
              <w:rPr>
                <w:rFonts w:eastAsia="Calibri"/>
                <w:b/>
                <w:bCs/>
              </w:rPr>
              <w:t>Planiranje</w:t>
            </w:r>
            <w:r w:rsidR="000509A0">
              <w:rPr>
                <w:rFonts w:eastAsia="Calibri"/>
                <w:b/>
                <w:bCs/>
              </w:rPr>
              <w:t xml:space="preserve"> i </w:t>
            </w:r>
            <w:r w:rsidRPr="00291DF5">
              <w:rPr>
                <w:rFonts w:eastAsia="Calibri"/>
                <w:b/>
                <w:bCs/>
              </w:rPr>
              <w:t>izgradnja sigurnih točaka u slučaju ekstremnih meteo</w:t>
            </w:r>
            <w:r w:rsidR="001125C4">
              <w:rPr>
                <w:rFonts w:eastAsia="Calibri"/>
                <w:b/>
                <w:bCs/>
              </w:rPr>
              <w:t>roloških</w:t>
            </w:r>
            <w:r w:rsidRPr="00291DF5">
              <w:rPr>
                <w:rFonts w:eastAsia="Calibri"/>
                <w:b/>
                <w:bCs/>
              </w:rPr>
              <w:t xml:space="preserve"> uvjeta </w:t>
            </w:r>
          </w:p>
        </w:tc>
      </w:tr>
      <w:tr w:rsidR="00E122FE" w:rsidRPr="003D373D" w14:paraId="3B977C27" w14:textId="77777777" w:rsidTr="005808FC">
        <w:trPr>
          <w:trHeight w:val="227"/>
        </w:trPr>
        <w:tc>
          <w:tcPr>
            <w:tcW w:w="3325" w:type="dxa"/>
            <w:shd w:val="clear" w:color="auto" w:fill="F2DBDB" w:themeFill="accent2" w:themeFillTint="33"/>
          </w:tcPr>
          <w:p w14:paraId="405B9CDB" w14:textId="77777777" w:rsidR="00E122FE" w:rsidRPr="005808FC" w:rsidRDefault="00E122FE">
            <w:pPr>
              <w:rPr>
                <w:b/>
                <w:bCs/>
              </w:rPr>
            </w:pPr>
            <w:r w:rsidRPr="00291DF5">
              <w:rPr>
                <w:b/>
                <w:bCs/>
              </w:rPr>
              <w:t>Nositelj aktivnosti:</w:t>
            </w:r>
          </w:p>
        </w:tc>
        <w:tc>
          <w:tcPr>
            <w:tcW w:w="5691" w:type="dxa"/>
          </w:tcPr>
          <w:p w14:paraId="38AC0DBA" w14:textId="49714994" w:rsidR="00E122FE" w:rsidRPr="003D373D" w:rsidRDefault="00E122FE" w:rsidP="005808FC">
            <w:pPr>
              <w:numPr>
                <w:ilvl w:val="0"/>
                <w:numId w:val="9"/>
              </w:numPr>
              <w:spacing w:after="0"/>
              <w:ind w:left="482" w:hanging="357"/>
              <w:jc w:val="left"/>
            </w:pPr>
            <w:r w:rsidRPr="00291DF5">
              <w:t>Ured za upravljanje u hitnim situacijama</w:t>
            </w:r>
          </w:p>
        </w:tc>
      </w:tr>
      <w:tr w:rsidR="00E122FE" w:rsidRPr="003D373D" w14:paraId="70E1F60C" w14:textId="77777777" w:rsidTr="005808FC">
        <w:trPr>
          <w:trHeight w:val="227"/>
        </w:trPr>
        <w:tc>
          <w:tcPr>
            <w:tcW w:w="3325" w:type="dxa"/>
            <w:shd w:val="clear" w:color="auto" w:fill="F2DBDB" w:themeFill="accent2" w:themeFillTint="33"/>
          </w:tcPr>
          <w:p w14:paraId="3D82A701" w14:textId="77777777" w:rsidR="00E122FE" w:rsidRPr="005808FC" w:rsidRDefault="00E122FE">
            <w:pPr>
              <w:rPr>
                <w:b/>
                <w:bCs/>
              </w:rPr>
            </w:pPr>
            <w:r w:rsidRPr="00291DF5">
              <w:rPr>
                <w:b/>
                <w:bCs/>
              </w:rPr>
              <w:t>Partneri u provođenju aktivnosti:</w:t>
            </w:r>
          </w:p>
        </w:tc>
        <w:tc>
          <w:tcPr>
            <w:tcW w:w="5691" w:type="dxa"/>
          </w:tcPr>
          <w:p w14:paraId="195B8094" w14:textId="7D3B4A5B" w:rsidR="00E122FE" w:rsidRPr="00036175" w:rsidRDefault="00E122FE" w:rsidP="005808FC">
            <w:pPr>
              <w:numPr>
                <w:ilvl w:val="0"/>
                <w:numId w:val="9"/>
              </w:numPr>
              <w:spacing w:after="0"/>
              <w:ind w:left="482" w:hanging="357"/>
              <w:jc w:val="left"/>
            </w:pPr>
            <w:r w:rsidRPr="00036175">
              <w:t>Gradski ured za zdravstvo</w:t>
            </w:r>
          </w:p>
          <w:p w14:paraId="3616F93F" w14:textId="77777777" w:rsidR="00F55ABC" w:rsidRPr="00036175" w:rsidRDefault="00F55ABC" w:rsidP="00F55ABC">
            <w:pPr>
              <w:numPr>
                <w:ilvl w:val="0"/>
                <w:numId w:val="9"/>
              </w:numPr>
              <w:spacing w:after="0"/>
              <w:ind w:left="482" w:hanging="357"/>
              <w:jc w:val="left"/>
            </w:pPr>
            <w:r w:rsidRPr="00036175">
              <w:t>Zavod za prostorno uređenje Grada Zagreba</w:t>
            </w:r>
          </w:p>
          <w:p w14:paraId="66A07E37" w14:textId="584B74AB" w:rsidR="00F55ABC" w:rsidRPr="00036175" w:rsidRDefault="00F55ABC" w:rsidP="00F55ABC">
            <w:pPr>
              <w:numPr>
                <w:ilvl w:val="0"/>
                <w:numId w:val="9"/>
              </w:numPr>
              <w:spacing w:after="0"/>
              <w:ind w:left="482" w:hanging="357"/>
              <w:jc w:val="left"/>
            </w:pPr>
            <w:r w:rsidRPr="00036175">
              <w:t>Gradski ured za strategijsko planiranje i razvoj Grada</w:t>
            </w:r>
          </w:p>
          <w:p w14:paraId="6D4E5363" w14:textId="077C0FF1" w:rsidR="00E122FE" w:rsidRPr="003D373D" w:rsidDel="00436CBA" w:rsidRDefault="00E122FE" w:rsidP="005808FC">
            <w:pPr>
              <w:numPr>
                <w:ilvl w:val="0"/>
                <w:numId w:val="9"/>
              </w:numPr>
              <w:spacing w:after="0"/>
              <w:ind w:left="482" w:hanging="357"/>
              <w:jc w:val="left"/>
            </w:pPr>
            <w:r w:rsidRPr="00036175">
              <w:t>Gradski ured za prostorno uređenje, izgradnju Grada, graditeljstvo, komunalne poslove</w:t>
            </w:r>
            <w:r w:rsidR="000509A0" w:rsidRPr="00036175">
              <w:t xml:space="preserve"> i </w:t>
            </w:r>
            <w:r w:rsidRPr="00036175">
              <w:t>promet</w:t>
            </w:r>
          </w:p>
        </w:tc>
      </w:tr>
      <w:tr w:rsidR="00E122FE" w:rsidRPr="003D373D" w14:paraId="08E9A57A" w14:textId="77777777" w:rsidTr="005808FC">
        <w:trPr>
          <w:trHeight w:val="227"/>
        </w:trPr>
        <w:tc>
          <w:tcPr>
            <w:tcW w:w="3325" w:type="dxa"/>
            <w:shd w:val="clear" w:color="auto" w:fill="F2DBDB" w:themeFill="accent2" w:themeFillTint="33"/>
          </w:tcPr>
          <w:p w14:paraId="7E92C41F" w14:textId="225B36FB" w:rsidR="00E122FE" w:rsidRPr="005808FC" w:rsidRDefault="00E122FE">
            <w:pPr>
              <w:rPr>
                <w:b/>
                <w:bCs/>
              </w:rPr>
            </w:pPr>
            <w:r w:rsidRPr="00291DF5">
              <w:rPr>
                <w:b/>
                <w:bCs/>
              </w:rPr>
              <w:t>Ostali uključeni dionici:</w:t>
            </w:r>
          </w:p>
        </w:tc>
        <w:tc>
          <w:tcPr>
            <w:tcW w:w="5691" w:type="dxa"/>
          </w:tcPr>
          <w:p w14:paraId="17664253" w14:textId="77777777" w:rsidR="00E122FE" w:rsidRDefault="00E122FE" w:rsidP="005808FC">
            <w:pPr>
              <w:numPr>
                <w:ilvl w:val="0"/>
                <w:numId w:val="9"/>
              </w:numPr>
              <w:spacing w:after="0"/>
              <w:ind w:left="482" w:hanging="357"/>
              <w:jc w:val="left"/>
            </w:pPr>
            <w:r w:rsidRPr="00291DF5">
              <w:t xml:space="preserve">Nastavni zavod za javno zdravstvo Dr. Andrija Štampar </w:t>
            </w:r>
          </w:p>
          <w:p w14:paraId="490B15D6" w14:textId="77777777" w:rsidR="00E122FE" w:rsidRPr="003D373D" w:rsidRDefault="00E122FE" w:rsidP="005808FC">
            <w:pPr>
              <w:numPr>
                <w:ilvl w:val="0"/>
                <w:numId w:val="9"/>
              </w:numPr>
              <w:spacing w:after="0"/>
              <w:ind w:left="482" w:hanging="357"/>
              <w:jc w:val="left"/>
            </w:pPr>
            <w:r w:rsidRPr="00291DF5">
              <w:t>Državni hidrometeorološki Zavod</w:t>
            </w:r>
          </w:p>
          <w:p w14:paraId="5F7AE680" w14:textId="4951889C" w:rsidR="00E122FE" w:rsidRPr="003D373D" w:rsidRDefault="00E122FE" w:rsidP="005808FC">
            <w:pPr>
              <w:numPr>
                <w:ilvl w:val="0"/>
                <w:numId w:val="9"/>
              </w:numPr>
              <w:spacing w:after="0"/>
              <w:ind w:left="482" w:hanging="357"/>
              <w:jc w:val="left"/>
            </w:pPr>
            <w:r w:rsidRPr="00291DF5">
              <w:t>Ustanova za hitnu medicinsku pomoć grada Zagreba</w:t>
            </w:r>
          </w:p>
        </w:tc>
      </w:tr>
      <w:tr w:rsidR="00E122FE" w:rsidRPr="003D373D" w14:paraId="0D82E20D" w14:textId="77777777" w:rsidTr="005808FC">
        <w:trPr>
          <w:trHeight w:val="227"/>
        </w:trPr>
        <w:tc>
          <w:tcPr>
            <w:tcW w:w="3325" w:type="dxa"/>
            <w:shd w:val="clear" w:color="auto" w:fill="F2DBDB" w:themeFill="accent2" w:themeFillTint="33"/>
          </w:tcPr>
          <w:p w14:paraId="27A91895" w14:textId="77777777" w:rsidR="00E122FE" w:rsidRPr="005808FC" w:rsidRDefault="00E122FE">
            <w:pPr>
              <w:rPr>
                <w:b/>
                <w:bCs/>
              </w:rPr>
            </w:pPr>
            <w:r w:rsidRPr="00291DF5">
              <w:rPr>
                <w:b/>
                <w:bCs/>
              </w:rPr>
              <w:t>Početak/kraj provedbe (godine)</w:t>
            </w:r>
          </w:p>
        </w:tc>
        <w:tc>
          <w:tcPr>
            <w:tcW w:w="5691" w:type="dxa"/>
          </w:tcPr>
          <w:p w14:paraId="1D20C71A" w14:textId="336525FE" w:rsidR="00E122FE" w:rsidRPr="005808FC" w:rsidRDefault="00E122FE">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2025</w:t>
            </w:r>
          </w:p>
        </w:tc>
      </w:tr>
      <w:tr w:rsidR="00E122FE" w:rsidRPr="003D373D" w14:paraId="74DC3A23" w14:textId="77777777" w:rsidTr="005808FC">
        <w:trPr>
          <w:trHeight w:val="227"/>
        </w:trPr>
        <w:tc>
          <w:tcPr>
            <w:tcW w:w="3325" w:type="dxa"/>
            <w:shd w:val="clear" w:color="auto" w:fill="F2DBDB" w:themeFill="accent2" w:themeFillTint="33"/>
          </w:tcPr>
          <w:p w14:paraId="7126C9A3" w14:textId="77777777" w:rsidR="00E122FE" w:rsidRPr="005808FC" w:rsidRDefault="00E122FE">
            <w:pPr>
              <w:rPr>
                <w:b/>
                <w:bCs/>
              </w:rPr>
            </w:pPr>
            <w:r w:rsidRPr="00291DF5">
              <w:rPr>
                <w:b/>
                <w:bCs/>
              </w:rPr>
              <w:t>Procjena troškova (jedinična ili ukupna po mjeri)</w:t>
            </w:r>
          </w:p>
        </w:tc>
        <w:tc>
          <w:tcPr>
            <w:tcW w:w="5691" w:type="dxa"/>
          </w:tcPr>
          <w:p w14:paraId="26DD2D23" w14:textId="77777777" w:rsidR="00E122FE" w:rsidRPr="005808FC" w:rsidRDefault="00E122FE">
            <w:pPr>
              <w:rPr>
                <w:rFonts w:eastAsia="Calibri"/>
                <w:b/>
                <w:bCs/>
              </w:rPr>
            </w:pPr>
            <w:r w:rsidRPr="005808FC">
              <w:rPr>
                <w:rFonts w:eastAsia="Calibri"/>
                <w:b/>
                <w:bCs/>
              </w:rPr>
              <w:t>Detaljni troškovi izgradnje biti će dostupni nakon provedbe analize</w:t>
            </w:r>
          </w:p>
          <w:p w14:paraId="781265E7" w14:textId="0B78E8F8" w:rsidR="00E122FE" w:rsidRPr="005808FC" w:rsidRDefault="00E122FE">
            <w:pPr>
              <w:rPr>
                <w:rFonts w:eastAsia="Calibri"/>
              </w:rPr>
            </w:pPr>
            <w:r w:rsidRPr="005808FC">
              <w:rPr>
                <w:rFonts w:eastAsia="Calibri"/>
                <w:b/>
                <w:bCs/>
              </w:rPr>
              <w:t>Trošak osnovne analize cca 250.000 HRK</w:t>
            </w:r>
          </w:p>
        </w:tc>
      </w:tr>
      <w:tr w:rsidR="00E122FE" w:rsidRPr="003D373D" w14:paraId="5791F279" w14:textId="77777777" w:rsidTr="005808FC">
        <w:trPr>
          <w:trHeight w:val="227"/>
        </w:trPr>
        <w:tc>
          <w:tcPr>
            <w:tcW w:w="3325" w:type="dxa"/>
            <w:shd w:val="clear" w:color="auto" w:fill="F2DBDB" w:themeFill="accent2" w:themeFillTint="33"/>
          </w:tcPr>
          <w:p w14:paraId="3FAF4E38" w14:textId="77777777" w:rsidR="00E122FE" w:rsidRPr="005808FC" w:rsidRDefault="00E122FE">
            <w:pPr>
              <w:rPr>
                <w:b/>
                <w:bCs/>
              </w:rPr>
            </w:pPr>
            <w:r w:rsidRPr="00291DF5">
              <w:rPr>
                <w:b/>
                <w:bCs/>
              </w:rPr>
              <w:t>Izvor sredstava za provedbu</w:t>
            </w:r>
          </w:p>
        </w:tc>
        <w:tc>
          <w:tcPr>
            <w:tcW w:w="5691" w:type="dxa"/>
          </w:tcPr>
          <w:p w14:paraId="43589DC6" w14:textId="77777777" w:rsidR="00E122FE" w:rsidRPr="003D373D" w:rsidRDefault="00E122FE" w:rsidP="005808FC">
            <w:pPr>
              <w:numPr>
                <w:ilvl w:val="0"/>
                <w:numId w:val="9"/>
              </w:numPr>
              <w:spacing w:after="0"/>
              <w:ind w:left="482" w:hanging="357"/>
              <w:jc w:val="left"/>
            </w:pPr>
            <w:r w:rsidRPr="00291DF5">
              <w:t xml:space="preserve">Proračun Grada </w:t>
            </w:r>
            <w:r w:rsidRPr="005808FC">
              <w:t>Zagreba</w:t>
            </w:r>
          </w:p>
          <w:p w14:paraId="39A99031" w14:textId="77777777" w:rsidR="00E122FE" w:rsidRPr="003D373D" w:rsidRDefault="00E122FE" w:rsidP="005808FC">
            <w:pPr>
              <w:numPr>
                <w:ilvl w:val="0"/>
                <w:numId w:val="9"/>
              </w:numPr>
              <w:spacing w:after="0"/>
              <w:ind w:left="482" w:hanging="357"/>
              <w:jc w:val="left"/>
            </w:pPr>
            <w:r w:rsidRPr="00291DF5">
              <w:t>Državni proračun</w:t>
            </w:r>
          </w:p>
          <w:p w14:paraId="390D8AC8" w14:textId="4F088BA2" w:rsidR="00E122FE" w:rsidRPr="003D373D" w:rsidRDefault="00C42B1B" w:rsidP="00C42B1B">
            <w:pPr>
              <w:numPr>
                <w:ilvl w:val="0"/>
                <w:numId w:val="9"/>
              </w:numPr>
              <w:spacing w:after="0"/>
              <w:ind w:left="482" w:hanging="357"/>
              <w:jc w:val="left"/>
            </w:pPr>
            <w:r>
              <w:t>Europski strukturni i investicijski fondovi</w:t>
            </w:r>
          </w:p>
        </w:tc>
      </w:tr>
      <w:tr w:rsidR="00E122FE" w:rsidRPr="003D373D" w14:paraId="32AAC49B" w14:textId="77777777" w:rsidTr="005808FC">
        <w:trPr>
          <w:trHeight w:val="620"/>
        </w:trPr>
        <w:tc>
          <w:tcPr>
            <w:tcW w:w="3325" w:type="dxa"/>
            <w:shd w:val="clear" w:color="auto" w:fill="F2DBDB" w:themeFill="accent2" w:themeFillTint="33"/>
          </w:tcPr>
          <w:p w14:paraId="150FE14E" w14:textId="77777777" w:rsidR="00E122FE" w:rsidRPr="005808FC" w:rsidRDefault="00E122FE">
            <w:pPr>
              <w:rPr>
                <w:b/>
                <w:bCs/>
              </w:rPr>
            </w:pPr>
            <w:r w:rsidRPr="00291DF5">
              <w:rPr>
                <w:b/>
                <w:bCs/>
              </w:rPr>
              <w:t>Kratki opis/komentar</w:t>
            </w:r>
          </w:p>
        </w:tc>
        <w:tc>
          <w:tcPr>
            <w:tcW w:w="5691" w:type="dxa"/>
          </w:tcPr>
          <w:p w14:paraId="1D431C8B" w14:textId="3F173AD1" w:rsidR="00E122FE" w:rsidRPr="005808FC" w:rsidRDefault="00E122FE">
            <w:pPr>
              <w:autoSpaceDE w:val="0"/>
              <w:autoSpaceDN w:val="0"/>
              <w:adjustRightInd w:val="0"/>
              <w:rPr>
                <w:color w:val="02213D"/>
                <w:shd w:val="clear" w:color="auto" w:fill="FFFFFF"/>
              </w:rPr>
            </w:pPr>
            <w:r w:rsidRPr="005808FC">
              <w:rPr>
                <w:shd w:val="clear" w:color="auto" w:fill="FFFFFF"/>
              </w:rPr>
              <w:t>Modeliranje mikroklime</w:t>
            </w:r>
            <w:r w:rsidR="000509A0" w:rsidRPr="005808FC">
              <w:rPr>
                <w:shd w:val="clear" w:color="auto" w:fill="FFFFFF"/>
              </w:rPr>
              <w:t xml:space="preserve"> i </w:t>
            </w:r>
            <w:r w:rsidRPr="005808FC">
              <w:rPr>
                <w:shd w:val="clear" w:color="auto" w:fill="FFFFFF"/>
              </w:rPr>
              <w:t>drugi analitički dokumenti trebali bi dati pregled područja u Gradu Zagrebu koja su najugroženija ekstremnim vremenskim događajima, po tipu</w:t>
            </w:r>
            <w:r w:rsidR="000509A0" w:rsidRPr="005808FC">
              <w:rPr>
                <w:shd w:val="clear" w:color="auto" w:fill="FFFFFF"/>
              </w:rPr>
              <w:t xml:space="preserve"> i </w:t>
            </w:r>
            <w:r w:rsidRPr="005808FC">
              <w:rPr>
                <w:shd w:val="clear" w:color="auto" w:fill="FFFFFF"/>
              </w:rPr>
              <w:t>po učestalosti. Cilj ove mjere je planiranje</w:t>
            </w:r>
            <w:r w:rsidR="000509A0" w:rsidRPr="005808FC">
              <w:rPr>
                <w:shd w:val="clear" w:color="auto" w:fill="FFFFFF"/>
              </w:rPr>
              <w:t xml:space="preserve"> i </w:t>
            </w:r>
            <w:r w:rsidRPr="005808FC">
              <w:rPr>
                <w:shd w:val="clear" w:color="auto" w:fill="FFFFFF"/>
              </w:rPr>
              <w:t>izgradnja „sigurnih“ točaka koje bi u situacijama ekstremnih vremenskih događaja pružile građanima zaštitu i/ili umanjenje potencijalnih posljedica po zdravlje</w:t>
            </w:r>
            <w:r w:rsidR="000509A0" w:rsidRPr="005808FC">
              <w:rPr>
                <w:shd w:val="clear" w:color="auto" w:fill="FFFFFF"/>
              </w:rPr>
              <w:t xml:space="preserve"> i </w:t>
            </w:r>
            <w:r w:rsidRPr="005808FC">
              <w:rPr>
                <w:shd w:val="clear" w:color="auto" w:fill="FFFFFF"/>
              </w:rPr>
              <w:t>sigurnost.</w:t>
            </w:r>
          </w:p>
        </w:tc>
      </w:tr>
    </w:tbl>
    <w:p w14:paraId="5C454C6B" w14:textId="77777777" w:rsidR="000509A0" w:rsidRDefault="000509A0" w:rsidP="00E122FE">
      <w:pPr>
        <w:spacing w:before="120"/>
        <w:rPr>
          <w:rFonts w:cstheme="minorHAnsi"/>
          <w:b/>
        </w:rPr>
      </w:pPr>
    </w:p>
    <w:p w14:paraId="4D25E15F" w14:textId="77777777" w:rsidR="000509A0" w:rsidRDefault="000509A0">
      <w:pPr>
        <w:jc w:val="left"/>
        <w:rPr>
          <w:rFonts w:cstheme="minorHAnsi"/>
          <w:b/>
        </w:rPr>
      </w:pPr>
      <w:r>
        <w:rPr>
          <w:rFonts w:cstheme="minorHAnsi"/>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91"/>
      </w:tblGrid>
      <w:tr w:rsidR="00E122FE" w:rsidRPr="003D373D" w14:paraId="3F352FE6" w14:textId="77777777" w:rsidTr="005808FC">
        <w:trPr>
          <w:trHeight w:val="227"/>
        </w:trPr>
        <w:tc>
          <w:tcPr>
            <w:tcW w:w="3325" w:type="dxa"/>
            <w:shd w:val="clear" w:color="auto" w:fill="C6D9F1" w:themeFill="text2" w:themeFillTint="33"/>
          </w:tcPr>
          <w:p w14:paraId="6991841A" w14:textId="77777777" w:rsidR="00E122FE" w:rsidRPr="005808FC" w:rsidRDefault="00E122FE">
            <w:pPr>
              <w:rPr>
                <w:b/>
                <w:bCs/>
              </w:rPr>
            </w:pPr>
            <w:r w:rsidRPr="00291DF5">
              <w:rPr>
                <w:b/>
                <w:bCs/>
              </w:rPr>
              <w:lastRenderedPageBreak/>
              <w:t>Redni broj mjere</w:t>
            </w:r>
          </w:p>
        </w:tc>
        <w:tc>
          <w:tcPr>
            <w:tcW w:w="5691" w:type="dxa"/>
            <w:shd w:val="clear" w:color="auto" w:fill="C6D9F1" w:themeFill="text2" w:themeFillTint="33"/>
          </w:tcPr>
          <w:p w14:paraId="0E85D47B" w14:textId="6ECC5D94" w:rsidR="00E122FE" w:rsidRPr="005808FC" w:rsidRDefault="00E122FE">
            <w:pPr>
              <w:rPr>
                <w:rFonts w:eastAsia="Calibri"/>
                <w:b/>
                <w:bCs/>
              </w:rPr>
            </w:pPr>
            <w:r w:rsidRPr="00291DF5">
              <w:rPr>
                <w:rFonts w:eastAsia="Calibri"/>
                <w:b/>
                <w:bCs/>
              </w:rPr>
              <w:t>3</w:t>
            </w:r>
            <w:r w:rsidR="006041E3" w:rsidRPr="005808FC">
              <w:rPr>
                <w:rFonts w:eastAsia="Calibri"/>
                <w:b/>
                <w:bCs/>
              </w:rPr>
              <w:t>2</w:t>
            </w:r>
          </w:p>
        </w:tc>
      </w:tr>
      <w:tr w:rsidR="00E122FE" w:rsidRPr="003D373D" w14:paraId="2C633316" w14:textId="77777777" w:rsidTr="005808FC">
        <w:trPr>
          <w:trHeight w:val="818"/>
        </w:trPr>
        <w:tc>
          <w:tcPr>
            <w:tcW w:w="3325" w:type="dxa"/>
            <w:shd w:val="clear" w:color="auto" w:fill="C6D9F1" w:themeFill="text2" w:themeFillTint="33"/>
          </w:tcPr>
          <w:p w14:paraId="767B73C0" w14:textId="77777777" w:rsidR="00E122FE" w:rsidRPr="005808FC" w:rsidRDefault="00E122FE">
            <w:pPr>
              <w:rPr>
                <w:b/>
                <w:bCs/>
              </w:rPr>
            </w:pPr>
            <w:r w:rsidRPr="00291DF5">
              <w:rPr>
                <w:b/>
                <w:bCs/>
              </w:rPr>
              <w:br w:type="page"/>
              <w:t xml:space="preserve">Ime </w:t>
            </w:r>
            <w:r w:rsidRPr="005808FC">
              <w:rPr>
                <w:b/>
                <w:bCs/>
              </w:rPr>
              <w:t>mjere/aktivnost</w:t>
            </w:r>
          </w:p>
        </w:tc>
        <w:tc>
          <w:tcPr>
            <w:tcW w:w="5691" w:type="dxa"/>
            <w:shd w:val="clear" w:color="auto" w:fill="C6D9F1" w:themeFill="text2" w:themeFillTint="33"/>
          </w:tcPr>
          <w:p w14:paraId="2492BCD6" w14:textId="7C394A4C" w:rsidR="00E122FE" w:rsidRPr="005808FC" w:rsidRDefault="00E122FE">
            <w:pPr>
              <w:autoSpaceDE w:val="0"/>
              <w:autoSpaceDN w:val="0"/>
              <w:adjustRightInd w:val="0"/>
              <w:rPr>
                <w:rFonts w:eastAsia="Calibri"/>
                <w:b/>
                <w:bCs/>
              </w:rPr>
            </w:pPr>
            <w:r w:rsidRPr="00291DF5">
              <w:rPr>
                <w:rFonts w:eastAsia="Calibri"/>
                <w:b/>
                <w:bCs/>
              </w:rPr>
              <w:t>Razvoj modela za predvi</w:t>
            </w:r>
            <w:r w:rsidRPr="005808FC">
              <w:rPr>
                <w:rFonts w:eastAsia="Calibri" w:hint="eastAsia"/>
                <w:b/>
                <w:bCs/>
              </w:rPr>
              <w:t>đ</w:t>
            </w:r>
            <w:r w:rsidRPr="005808FC">
              <w:rPr>
                <w:rFonts w:eastAsia="Calibri"/>
                <w:b/>
                <w:bCs/>
              </w:rPr>
              <w:t xml:space="preserve">anje opasnosti od </w:t>
            </w:r>
            <w:r w:rsidR="000509A0">
              <w:rPr>
                <w:rFonts w:eastAsia="Calibri"/>
                <w:b/>
                <w:bCs/>
              </w:rPr>
              <w:t xml:space="preserve">pojave </w:t>
            </w:r>
            <w:r w:rsidRPr="00291DF5">
              <w:rPr>
                <w:rFonts w:eastAsia="Calibri"/>
                <w:b/>
                <w:bCs/>
              </w:rPr>
              <w:t>kliz</w:t>
            </w:r>
            <w:r w:rsidR="000509A0">
              <w:rPr>
                <w:rFonts w:eastAsia="Calibri"/>
                <w:b/>
                <w:bCs/>
              </w:rPr>
              <w:t>išta</w:t>
            </w:r>
            <w:r w:rsidRPr="005808FC">
              <w:rPr>
                <w:rFonts w:eastAsia="Calibri"/>
                <w:b/>
                <w:bCs/>
              </w:rPr>
              <w:t xml:space="preserve"> na temelju prognoze oborina</w:t>
            </w:r>
            <w:r w:rsidR="000509A0">
              <w:rPr>
                <w:rFonts w:eastAsia="Calibri"/>
                <w:b/>
                <w:bCs/>
              </w:rPr>
              <w:t xml:space="preserve"> i </w:t>
            </w:r>
            <w:r w:rsidRPr="00291DF5">
              <w:rPr>
                <w:rFonts w:eastAsia="Calibri"/>
                <w:b/>
                <w:bCs/>
              </w:rPr>
              <w:t>postojećih karti klizišta</w:t>
            </w:r>
          </w:p>
        </w:tc>
      </w:tr>
      <w:tr w:rsidR="00E122FE" w:rsidRPr="003D373D" w14:paraId="70220825" w14:textId="77777777" w:rsidTr="005808FC">
        <w:trPr>
          <w:trHeight w:val="227"/>
        </w:trPr>
        <w:tc>
          <w:tcPr>
            <w:tcW w:w="3325" w:type="dxa"/>
            <w:shd w:val="clear" w:color="auto" w:fill="F2DBDB" w:themeFill="accent2" w:themeFillTint="33"/>
          </w:tcPr>
          <w:p w14:paraId="74ABA88F" w14:textId="77777777" w:rsidR="00E122FE" w:rsidRPr="005808FC" w:rsidRDefault="00E122FE">
            <w:pPr>
              <w:rPr>
                <w:b/>
                <w:bCs/>
              </w:rPr>
            </w:pPr>
            <w:r w:rsidRPr="00291DF5">
              <w:rPr>
                <w:b/>
                <w:bCs/>
              </w:rPr>
              <w:t>Nositelj aktivnosti:</w:t>
            </w:r>
          </w:p>
        </w:tc>
        <w:tc>
          <w:tcPr>
            <w:tcW w:w="5691" w:type="dxa"/>
          </w:tcPr>
          <w:p w14:paraId="786E606B" w14:textId="77777777" w:rsidR="00E122FE" w:rsidRPr="003D373D" w:rsidRDefault="00E122FE" w:rsidP="005808FC">
            <w:pPr>
              <w:numPr>
                <w:ilvl w:val="0"/>
                <w:numId w:val="9"/>
              </w:numPr>
              <w:spacing w:after="0"/>
              <w:ind w:left="482" w:hanging="357"/>
              <w:jc w:val="left"/>
            </w:pPr>
            <w:r w:rsidRPr="00291DF5">
              <w:t>Ured za upravljanje u hitnim situacijama</w:t>
            </w:r>
          </w:p>
          <w:p w14:paraId="3D75ED6B" w14:textId="365080D2" w:rsidR="00E122FE" w:rsidRPr="003D373D" w:rsidRDefault="00E122FE" w:rsidP="005808FC">
            <w:pPr>
              <w:spacing w:after="0"/>
              <w:ind w:left="482"/>
              <w:jc w:val="left"/>
              <w:rPr>
                <w:rFonts w:cstheme="minorHAnsi"/>
              </w:rPr>
            </w:pPr>
          </w:p>
        </w:tc>
      </w:tr>
      <w:tr w:rsidR="00E122FE" w:rsidRPr="003D373D" w14:paraId="3D1E2288" w14:textId="77777777" w:rsidTr="005808FC">
        <w:trPr>
          <w:trHeight w:val="227"/>
        </w:trPr>
        <w:tc>
          <w:tcPr>
            <w:tcW w:w="3325" w:type="dxa"/>
            <w:shd w:val="clear" w:color="auto" w:fill="F2DBDB" w:themeFill="accent2" w:themeFillTint="33"/>
          </w:tcPr>
          <w:p w14:paraId="1DB21557" w14:textId="2EE967F4" w:rsidR="00E122FE" w:rsidRPr="005808FC" w:rsidRDefault="00E122FE">
            <w:pPr>
              <w:rPr>
                <w:b/>
                <w:bCs/>
              </w:rPr>
            </w:pPr>
            <w:r w:rsidRPr="00291DF5">
              <w:rPr>
                <w:b/>
                <w:bCs/>
              </w:rPr>
              <w:t>Partneri u provođenju aktivnosti:</w:t>
            </w:r>
          </w:p>
        </w:tc>
        <w:tc>
          <w:tcPr>
            <w:tcW w:w="5691" w:type="dxa"/>
          </w:tcPr>
          <w:p w14:paraId="53E96D97" w14:textId="3CE437BA" w:rsidR="00E122FE" w:rsidRPr="003D373D" w:rsidRDefault="00E122FE" w:rsidP="005808FC">
            <w:pPr>
              <w:numPr>
                <w:ilvl w:val="0"/>
                <w:numId w:val="9"/>
              </w:numPr>
              <w:spacing w:after="0"/>
              <w:ind w:left="482" w:hanging="357"/>
              <w:jc w:val="left"/>
            </w:pPr>
            <w:r w:rsidRPr="00291DF5">
              <w:t xml:space="preserve">Gradski ured za </w:t>
            </w:r>
            <w:r w:rsidRPr="005808FC">
              <w:t>prostorno uređenje, izgradnju Grada, graditeljstvo, komunalne poslove</w:t>
            </w:r>
            <w:r w:rsidR="000509A0">
              <w:t xml:space="preserve"> i </w:t>
            </w:r>
            <w:r w:rsidRPr="00291DF5">
              <w:t>promet</w:t>
            </w:r>
          </w:p>
        </w:tc>
      </w:tr>
      <w:tr w:rsidR="00E122FE" w:rsidRPr="003D373D" w14:paraId="0664AF8A" w14:textId="77777777" w:rsidTr="005808FC">
        <w:trPr>
          <w:trHeight w:val="227"/>
        </w:trPr>
        <w:tc>
          <w:tcPr>
            <w:tcW w:w="3325" w:type="dxa"/>
            <w:shd w:val="clear" w:color="auto" w:fill="F2DBDB" w:themeFill="accent2" w:themeFillTint="33"/>
          </w:tcPr>
          <w:p w14:paraId="649F7152" w14:textId="52505F7A" w:rsidR="00E122FE" w:rsidRPr="005808FC" w:rsidRDefault="00E122FE">
            <w:pPr>
              <w:rPr>
                <w:b/>
                <w:bCs/>
              </w:rPr>
            </w:pPr>
            <w:r w:rsidRPr="00291DF5">
              <w:rPr>
                <w:b/>
                <w:bCs/>
              </w:rPr>
              <w:t>Ostali uključeni dionici:</w:t>
            </w:r>
          </w:p>
        </w:tc>
        <w:tc>
          <w:tcPr>
            <w:tcW w:w="5691" w:type="dxa"/>
          </w:tcPr>
          <w:p w14:paraId="53CB369F" w14:textId="77777777" w:rsidR="00E122FE" w:rsidRPr="003D373D" w:rsidRDefault="00E122FE" w:rsidP="005808FC">
            <w:pPr>
              <w:numPr>
                <w:ilvl w:val="0"/>
                <w:numId w:val="9"/>
              </w:numPr>
              <w:spacing w:after="0"/>
              <w:ind w:left="482" w:hanging="357"/>
              <w:jc w:val="left"/>
            </w:pPr>
            <w:r w:rsidRPr="00291DF5">
              <w:t>Državni hidrometeorološki Zavod</w:t>
            </w:r>
          </w:p>
          <w:p w14:paraId="35FB57D1" w14:textId="77777777" w:rsidR="00E122FE" w:rsidRPr="003D373D" w:rsidDel="00436CBA" w:rsidRDefault="00E122FE" w:rsidP="005808FC">
            <w:pPr>
              <w:numPr>
                <w:ilvl w:val="0"/>
                <w:numId w:val="9"/>
              </w:numPr>
              <w:spacing w:after="0"/>
              <w:ind w:left="482" w:hanging="357"/>
              <w:jc w:val="left"/>
            </w:pPr>
            <w:r w:rsidRPr="00291DF5">
              <w:t>Rudarsko geološki naftni fakultet</w:t>
            </w:r>
          </w:p>
        </w:tc>
      </w:tr>
      <w:tr w:rsidR="00E122FE" w:rsidRPr="003D373D" w14:paraId="36911E92" w14:textId="77777777" w:rsidTr="005808FC">
        <w:trPr>
          <w:trHeight w:val="227"/>
        </w:trPr>
        <w:tc>
          <w:tcPr>
            <w:tcW w:w="3325" w:type="dxa"/>
            <w:shd w:val="clear" w:color="auto" w:fill="F2DBDB" w:themeFill="accent2" w:themeFillTint="33"/>
          </w:tcPr>
          <w:p w14:paraId="5FAF06F7" w14:textId="77777777" w:rsidR="00E122FE" w:rsidRPr="005808FC" w:rsidRDefault="00E122FE">
            <w:pPr>
              <w:rPr>
                <w:b/>
                <w:bCs/>
              </w:rPr>
            </w:pPr>
            <w:r w:rsidRPr="00291DF5">
              <w:rPr>
                <w:b/>
                <w:bCs/>
              </w:rPr>
              <w:t>Početak/kraj provedbe (godine)</w:t>
            </w:r>
          </w:p>
        </w:tc>
        <w:tc>
          <w:tcPr>
            <w:tcW w:w="5691" w:type="dxa"/>
          </w:tcPr>
          <w:p w14:paraId="58AB16A8" w14:textId="4A6F5604" w:rsidR="00E122FE" w:rsidRPr="005808FC" w:rsidRDefault="00E122FE">
            <w:pPr>
              <w:rPr>
                <w:rFonts w:eastAsia="Calibri"/>
                <w:b/>
                <w:bCs/>
              </w:rPr>
            </w:pPr>
            <w:r w:rsidRPr="00291DF5">
              <w:rPr>
                <w:rFonts w:eastAsia="Calibri"/>
                <w:b/>
                <w:bCs/>
              </w:rPr>
              <w:t xml:space="preserve">2020 </w:t>
            </w:r>
            <w:r w:rsidR="00D05D04">
              <w:rPr>
                <w:rFonts w:eastAsia="Calibri"/>
                <w:b/>
                <w:bCs/>
              </w:rPr>
              <w:t>–</w:t>
            </w:r>
            <w:r w:rsidRPr="00291DF5">
              <w:rPr>
                <w:rFonts w:eastAsia="Calibri"/>
                <w:b/>
                <w:bCs/>
              </w:rPr>
              <w:t xml:space="preserve"> 2023</w:t>
            </w:r>
          </w:p>
        </w:tc>
      </w:tr>
      <w:tr w:rsidR="00E122FE" w:rsidRPr="003D373D" w14:paraId="15DD0182" w14:textId="77777777" w:rsidTr="00C42B1B">
        <w:trPr>
          <w:trHeight w:val="648"/>
        </w:trPr>
        <w:tc>
          <w:tcPr>
            <w:tcW w:w="3325" w:type="dxa"/>
            <w:shd w:val="clear" w:color="auto" w:fill="F2DBDB" w:themeFill="accent2" w:themeFillTint="33"/>
          </w:tcPr>
          <w:p w14:paraId="784EA452" w14:textId="77777777" w:rsidR="00E122FE" w:rsidRPr="005808FC" w:rsidRDefault="00E122FE">
            <w:pPr>
              <w:rPr>
                <w:b/>
                <w:bCs/>
              </w:rPr>
            </w:pPr>
            <w:r w:rsidRPr="00291DF5">
              <w:rPr>
                <w:b/>
                <w:bCs/>
              </w:rPr>
              <w:t xml:space="preserve">Procjena troškova </w:t>
            </w:r>
            <w:r w:rsidRPr="005808FC">
              <w:rPr>
                <w:b/>
                <w:bCs/>
              </w:rPr>
              <w:t>(jedinična ili ukupna po mjeri)</w:t>
            </w:r>
          </w:p>
        </w:tc>
        <w:tc>
          <w:tcPr>
            <w:tcW w:w="5691" w:type="dxa"/>
          </w:tcPr>
          <w:p w14:paraId="7C02E375" w14:textId="5986536B" w:rsidR="00E122FE" w:rsidRPr="005808FC" w:rsidRDefault="00E122FE">
            <w:pPr>
              <w:rPr>
                <w:rFonts w:eastAsia="Calibri"/>
                <w:b/>
                <w:bCs/>
              </w:rPr>
            </w:pPr>
            <w:r w:rsidRPr="005808FC">
              <w:rPr>
                <w:rFonts w:eastAsia="Calibri"/>
                <w:b/>
                <w:bCs/>
              </w:rPr>
              <w:t>500.000</w:t>
            </w:r>
          </w:p>
        </w:tc>
      </w:tr>
      <w:tr w:rsidR="00E122FE" w:rsidRPr="003D373D" w14:paraId="78FAB8B1" w14:textId="77777777" w:rsidTr="005808FC">
        <w:trPr>
          <w:trHeight w:val="227"/>
        </w:trPr>
        <w:tc>
          <w:tcPr>
            <w:tcW w:w="3325" w:type="dxa"/>
            <w:shd w:val="clear" w:color="auto" w:fill="F2DBDB" w:themeFill="accent2" w:themeFillTint="33"/>
          </w:tcPr>
          <w:p w14:paraId="5A8F9165" w14:textId="77777777" w:rsidR="00E122FE" w:rsidRPr="005808FC" w:rsidRDefault="00E122FE">
            <w:pPr>
              <w:rPr>
                <w:b/>
                <w:bCs/>
              </w:rPr>
            </w:pPr>
            <w:r w:rsidRPr="00291DF5">
              <w:rPr>
                <w:b/>
                <w:bCs/>
              </w:rPr>
              <w:t>Izvor sredstava za provedbu</w:t>
            </w:r>
          </w:p>
        </w:tc>
        <w:tc>
          <w:tcPr>
            <w:tcW w:w="5691" w:type="dxa"/>
          </w:tcPr>
          <w:p w14:paraId="50C9C03C" w14:textId="77777777" w:rsidR="00E122FE" w:rsidRPr="003D373D" w:rsidRDefault="00E122FE" w:rsidP="005808FC">
            <w:pPr>
              <w:numPr>
                <w:ilvl w:val="0"/>
                <w:numId w:val="9"/>
              </w:numPr>
              <w:spacing w:after="0"/>
              <w:ind w:left="482" w:hanging="357"/>
              <w:jc w:val="left"/>
            </w:pPr>
            <w:r w:rsidRPr="00291DF5">
              <w:t>Proračun Grada Zagreba</w:t>
            </w:r>
          </w:p>
          <w:p w14:paraId="66E090E4" w14:textId="77777777" w:rsidR="00E122FE" w:rsidRPr="003D373D" w:rsidRDefault="00E122FE" w:rsidP="005808FC">
            <w:pPr>
              <w:numPr>
                <w:ilvl w:val="0"/>
                <w:numId w:val="9"/>
              </w:numPr>
              <w:spacing w:after="0"/>
              <w:ind w:left="482" w:hanging="357"/>
              <w:jc w:val="left"/>
            </w:pPr>
            <w:r w:rsidRPr="00291DF5">
              <w:t>Državni proračun</w:t>
            </w:r>
          </w:p>
          <w:p w14:paraId="50236586" w14:textId="1064C837" w:rsidR="00E122FE" w:rsidRPr="003D373D" w:rsidRDefault="00C42B1B" w:rsidP="00C42B1B">
            <w:pPr>
              <w:numPr>
                <w:ilvl w:val="0"/>
                <w:numId w:val="9"/>
              </w:numPr>
              <w:spacing w:after="0"/>
              <w:ind w:left="482" w:hanging="357"/>
              <w:jc w:val="left"/>
            </w:pPr>
            <w:r>
              <w:t>Europski strukturni i investicijski fondovi</w:t>
            </w:r>
          </w:p>
        </w:tc>
      </w:tr>
      <w:tr w:rsidR="00E122FE" w:rsidRPr="003D373D" w14:paraId="4298CA4B" w14:textId="77777777" w:rsidTr="005808FC">
        <w:trPr>
          <w:trHeight w:val="620"/>
        </w:trPr>
        <w:tc>
          <w:tcPr>
            <w:tcW w:w="3325" w:type="dxa"/>
            <w:shd w:val="clear" w:color="auto" w:fill="F2DBDB" w:themeFill="accent2" w:themeFillTint="33"/>
          </w:tcPr>
          <w:p w14:paraId="458C5789" w14:textId="77777777" w:rsidR="00E122FE" w:rsidRPr="005808FC" w:rsidRDefault="00E122FE">
            <w:pPr>
              <w:rPr>
                <w:b/>
                <w:bCs/>
              </w:rPr>
            </w:pPr>
            <w:r w:rsidRPr="00291DF5">
              <w:rPr>
                <w:b/>
                <w:bCs/>
              </w:rPr>
              <w:t>Kratki opis/komentar</w:t>
            </w:r>
          </w:p>
        </w:tc>
        <w:tc>
          <w:tcPr>
            <w:tcW w:w="5691" w:type="dxa"/>
          </w:tcPr>
          <w:p w14:paraId="75E68D0A" w14:textId="0BBC1584" w:rsidR="00E122FE" w:rsidRPr="007F57CA" w:rsidRDefault="00E122FE">
            <w:pPr>
              <w:autoSpaceDE w:val="0"/>
              <w:autoSpaceDN w:val="0"/>
              <w:adjustRightInd w:val="0"/>
            </w:pPr>
            <w:r w:rsidRPr="00291DF5">
              <w:t>Razvoj</w:t>
            </w:r>
            <w:r w:rsidR="000509A0">
              <w:t xml:space="preserve"> i </w:t>
            </w:r>
            <w:r w:rsidRPr="00291DF5">
              <w:t xml:space="preserve">uspostavljanje sustava modeliranja vremenske vjerojatnosti opasnosti od klizanja na osnovi </w:t>
            </w:r>
            <w:r w:rsidRPr="005808FC">
              <w:t>integracije statičkih</w:t>
            </w:r>
            <w:r w:rsidR="000509A0">
              <w:t xml:space="preserve"> i </w:t>
            </w:r>
            <w:r w:rsidRPr="00291DF5">
              <w:t>dinamičkih ulaznih podataka. Statički podaci podrazumijevaju kartografske prikaze podložnosti klizanju</w:t>
            </w:r>
            <w:r w:rsidR="000509A0">
              <w:t xml:space="preserve"> i </w:t>
            </w:r>
            <w:r w:rsidRPr="00291DF5">
              <w:t>graničnih vrijednosti kritičnih oborina. Dinamički podaci podrazumijevaju predviđanje oborina u realnom vremenu na temelj</w:t>
            </w:r>
            <w:r w:rsidRPr="005808FC">
              <w:t>u odgovarajućeg meteorološkog modela s prikazom podataka u GIS-u.</w:t>
            </w:r>
            <w:r w:rsidR="00C42B1B">
              <w:t xml:space="preserve"> </w:t>
            </w:r>
            <w:r w:rsidRPr="00291DF5">
              <w:t xml:space="preserve">Model prognoze vremenske vjerojatnosti klizanja također treba rezultirati kartografskim prikazom vremenske vjerojatnosti u GIS-u odgovarajuće rezolucije. Planira se razviti model koji će </w:t>
            </w:r>
            <w:r w:rsidRPr="005808FC">
              <w:t>omogućiti ažuriranje podataka nekoliko puta dnevno kako bi se dobila prognoza vjerojatnosti klizanja za 24 sata unaprijed, u obliku kvalitativnog opisa opasnosti od klizanja, npr. “vrlo niska”, “niska”, “srednja”, “visoka”</w:t>
            </w:r>
            <w:r w:rsidR="000509A0">
              <w:t xml:space="preserve"> i </w:t>
            </w:r>
            <w:r w:rsidRPr="00291DF5">
              <w:t>“vrlo visoka” s vizualizacij</w:t>
            </w:r>
            <w:r w:rsidRPr="005808FC">
              <w:t>om podataka preko web modula aplikacije, s mogućnošću nadogradnje sustava ranog upozoravanja. Cilj je izraditi dinamičku prognoza opasnosti klizanja za 24 sata unaprijed, s dnevnim ažuriranjem podataka, dostupnu preko interneta putem portala</w:t>
            </w:r>
            <w:r w:rsidR="000509A0">
              <w:t xml:space="preserve"> i </w:t>
            </w:r>
            <w:r w:rsidRPr="00291DF5">
              <w:t>aplikacij</w:t>
            </w:r>
            <w:r w:rsidRPr="005808FC">
              <w:t>e ''MojZagreb'' za brdovito</w:t>
            </w:r>
            <w:r w:rsidR="000509A0">
              <w:t xml:space="preserve"> i </w:t>
            </w:r>
            <w:r w:rsidRPr="00291DF5">
              <w:t>planinskog područje Grada Zagreba.</w:t>
            </w:r>
          </w:p>
          <w:p w14:paraId="127F8EDF" w14:textId="312EE5A9" w:rsidR="00E122FE" w:rsidRPr="005808FC" w:rsidRDefault="00E122FE">
            <w:pPr>
              <w:autoSpaceDE w:val="0"/>
              <w:autoSpaceDN w:val="0"/>
              <w:adjustRightInd w:val="0"/>
              <w:rPr>
                <w:color w:val="02213D"/>
                <w:shd w:val="clear" w:color="auto" w:fill="FFFFFF"/>
              </w:rPr>
            </w:pPr>
            <w:r w:rsidRPr="00291DF5">
              <w:t>Primarni korisnici ove prognoze su sustavi civilne zaštite (npr. Ured za upravljanje u hitnim situacijama).</w:t>
            </w:r>
          </w:p>
        </w:tc>
      </w:tr>
    </w:tbl>
    <w:p w14:paraId="5EAE5956" w14:textId="52D84B55" w:rsidR="003758FA" w:rsidRDefault="003758FA">
      <w:pPr>
        <w:rPr>
          <w:rFonts w:cstheme="minorHAnsi"/>
          <w:b/>
        </w:rPr>
      </w:pPr>
    </w:p>
    <w:p w14:paraId="583196AF" w14:textId="4ECEE0BB" w:rsidR="00AE5E1A" w:rsidRPr="00987806" w:rsidRDefault="00AE5E1A" w:rsidP="00D065D7">
      <w:pPr>
        <w:pStyle w:val="Heading2"/>
      </w:pPr>
      <w:bookmarkStart w:id="270" w:name="_Toc4156117"/>
      <w:r w:rsidRPr="00987806">
        <w:lastRenderedPageBreak/>
        <w:t>Gospodarstvo</w:t>
      </w:r>
      <w:r w:rsidR="000509A0">
        <w:t xml:space="preserve"> i </w:t>
      </w:r>
      <w:r w:rsidRPr="00987806">
        <w:t>turizam</w:t>
      </w:r>
      <w:bookmarkEnd w:id="270"/>
    </w:p>
    <w:p w14:paraId="45D95C3E" w14:textId="48BA0045" w:rsidR="003758FA" w:rsidRPr="00987806" w:rsidRDefault="003758FA" w:rsidP="003758FA">
      <w:pPr>
        <w:autoSpaceDE w:val="0"/>
        <w:autoSpaceDN w:val="0"/>
        <w:adjustRightInd w:val="0"/>
        <w:spacing w:line="256" w:lineRule="auto"/>
        <w:rPr>
          <w:rFonts w:cstheme="minorHAnsi"/>
          <w:shd w:val="clear" w:color="auto" w:fill="FFFFFF"/>
        </w:rPr>
      </w:pPr>
      <w:r w:rsidRPr="00291DF5">
        <w:rPr>
          <w:shd w:val="clear" w:color="auto" w:fill="FFFFFF"/>
        </w:rPr>
        <w:t>Turizam je izdvojen kao jedan od sektora koji je izrazito ranjiv na klimatske promjene. Kao posljedica klimatskih prom</w:t>
      </w:r>
      <w:r w:rsidRPr="005808FC">
        <w:rPr>
          <w:shd w:val="clear" w:color="auto" w:fill="FFFFFF"/>
        </w:rPr>
        <w:t>jena, sektor turizma će biti suočen s novim zahtjevima kako bi održao razinu kvalitete. Neki od utjecaja klimatskih promjena na turizam: povećani zahtjevi za energijom radi održavanja jednake razine ugodnosti uslijed povećanja temperaturnih ekstrema; povećani zahtjevi za medicinskim intervencijama; utjecaj klimatskih promjena na atraktivnost lokaliteta</w:t>
      </w:r>
      <w:r w:rsidR="000509A0">
        <w:rPr>
          <w:shd w:val="clear" w:color="auto" w:fill="FFFFFF"/>
        </w:rPr>
        <w:t xml:space="preserve"> i </w:t>
      </w:r>
      <w:r w:rsidRPr="00291DF5">
        <w:rPr>
          <w:shd w:val="clear" w:color="auto" w:fill="FFFFFF"/>
        </w:rPr>
        <w:t>turističkih sadržaja (zagađenost zraka, negativni utjecaji na bioraznolikost</w:t>
      </w:r>
      <w:r w:rsidR="000509A0">
        <w:rPr>
          <w:shd w:val="clear" w:color="auto" w:fill="FFFFFF"/>
        </w:rPr>
        <w:t xml:space="preserve"> i </w:t>
      </w:r>
      <w:r w:rsidRPr="00291DF5">
        <w:rPr>
          <w:shd w:val="clear" w:color="auto" w:fill="FFFFFF"/>
        </w:rPr>
        <w:t>održavanje prirodnog krajobraza).</w:t>
      </w:r>
    </w:p>
    <w:p w14:paraId="016EA187" w14:textId="77777777" w:rsidR="00AE5E1A" w:rsidRPr="00987806" w:rsidRDefault="00AE5E1A" w:rsidP="00AE5E1A">
      <w:pPr>
        <w:spacing w:before="120"/>
        <w:rPr>
          <w:rFonts w:cstheme="minorHAnsi"/>
          <w:b/>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5850"/>
      </w:tblGrid>
      <w:tr w:rsidR="00AE5E1A" w:rsidRPr="00987806" w14:paraId="566649C4" w14:textId="77777777" w:rsidTr="005808FC">
        <w:trPr>
          <w:trHeight w:val="227"/>
        </w:trPr>
        <w:tc>
          <w:tcPr>
            <w:tcW w:w="3235" w:type="dxa"/>
            <w:shd w:val="clear" w:color="auto" w:fill="C6D9F1" w:themeFill="text2" w:themeFillTint="33"/>
          </w:tcPr>
          <w:p w14:paraId="0C376561" w14:textId="77777777" w:rsidR="00AE5E1A" w:rsidRPr="005808FC" w:rsidRDefault="00AE5E1A" w:rsidP="005808FC">
            <w:pPr>
              <w:spacing w:line="240" w:lineRule="auto"/>
              <w:rPr>
                <w:b/>
                <w:bCs/>
              </w:rPr>
            </w:pPr>
            <w:r w:rsidRPr="00291DF5">
              <w:rPr>
                <w:b/>
                <w:bCs/>
              </w:rPr>
              <w:t>Redni broj mjere</w:t>
            </w:r>
          </w:p>
        </w:tc>
        <w:tc>
          <w:tcPr>
            <w:tcW w:w="5850" w:type="dxa"/>
            <w:shd w:val="clear" w:color="auto" w:fill="C6D9F1" w:themeFill="text2" w:themeFillTint="33"/>
          </w:tcPr>
          <w:p w14:paraId="4438E998" w14:textId="22A93601" w:rsidR="00AE5E1A" w:rsidRPr="005808FC" w:rsidRDefault="006041E3" w:rsidP="005808FC">
            <w:pPr>
              <w:spacing w:line="240" w:lineRule="auto"/>
              <w:rPr>
                <w:rFonts w:eastAsia="Calibri"/>
                <w:b/>
                <w:bCs/>
              </w:rPr>
            </w:pPr>
            <w:r w:rsidRPr="00291DF5">
              <w:rPr>
                <w:rFonts w:eastAsia="Calibri"/>
                <w:b/>
                <w:bCs/>
              </w:rPr>
              <w:t>3</w:t>
            </w:r>
            <w:r w:rsidR="00C30836" w:rsidRPr="00291DF5">
              <w:rPr>
                <w:rFonts w:eastAsia="Calibri"/>
                <w:b/>
                <w:bCs/>
              </w:rPr>
              <w:t>3</w:t>
            </w:r>
          </w:p>
        </w:tc>
      </w:tr>
      <w:tr w:rsidR="00AE5E1A" w:rsidRPr="00987806" w14:paraId="79AA08DF" w14:textId="77777777" w:rsidTr="005808FC">
        <w:trPr>
          <w:trHeight w:val="1097"/>
        </w:trPr>
        <w:tc>
          <w:tcPr>
            <w:tcW w:w="3235" w:type="dxa"/>
            <w:shd w:val="clear" w:color="auto" w:fill="C6D9F1" w:themeFill="text2" w:themeFillTint="33"/>
          </w:tcPr>
          <w:p w14:paraId="2D28C8C2" w14:textId="77777777" w:rsidR="00AE5E1A" w:rsidRPr="005808FC" w:rsidRDefault="00AE5E1A" w:rsidP="005808FC">
            <w:pPr>
              <w:spacing w:line="240" w:lineRule="auto"/>
              <w:rPr>
                <w:b/>
                <w:bCs/>
              </w:rPr>
            </w:pPr>
            <w:r w:rsidRPr="00291DF5">
              <w:rPr>
                <w:b/>
                <w:bCs/>
              </w:rPr>
              <w:br w:type="page"/>
              <w:t xml:space="preserve">Ime </w:t>
            </w:r>
            <w:r w:rsidRPr="005808FC">
              <w:rPr>
                <w:b/>
                <w:bCs/>
              </w:rPr>
              <w:t>mjere/aktivnost</w:t>
            </w:r>
          </w:p>
        </w:tc>
        <w:tc>
          <w:tcPr>
            <w:tcW w:w="5850" w:type="dxa"/>
            <w:shd w:val="clear" w:color="auto" w:fill="C6D9F1" w:themeFill="text2" w:themeFillTint="33"/>
          </w:tcPr>
          <w:p w14:paraId="10AA8B2D" w14:textId="50897D29" w:rsidR="00AE5E1A" w:rsidRPr="005808FC" w:rsidRDefault="00AE5E1A" w:rsidP="005808FC">
            <w:pPr>
              <w:autoSpaceDE w:val="0"/>
              <w:autoSpaceDN w:val="0"/>
              <w:adjustRightInd w:val="0"/>
              <w:spacing w:line="240" w:lineRule="auto"/>
              <w:rPr>
                <w:rFonts w:eastAsia="Calibri"/>
                <w:b/>
                <w:bCs/>
              </w:rPr>
            </w:pPr>
            <w:r w:rsidRPr="00291DF5">
              <w:rPr>
                <w:rFonts w:eastAsia="Calibri"/>
                <w:b/>
                <w:bCs/>
              </w:rPr>
              <w:t>Poticanje poduzetništva</w:t>
            </w:r>
            <w:r w:rsidR="000509A0">
              <w:rPr>
                <w:rFonts w:eastAsia="Calibri"/>
                <w:b/>
                <w:bCs/>
              </w:rPr>
              <w:t xml:space="preserve"> i </w:t>
            </w:r>
            <w:r w:rsidRPr="00291DF5">
              <w:rPr>
                <w:rFonts w:eastAsia="Calibri"/>
                <w:b/>
                <w:bCs/>
              </w:rPr>
              <w:t>osnivanja gospodarskih subjekata vezanih uz sektore: klimatskih promjena, energetske učinkovitosti, ekološke proizvodnje, održivog razvoja</w:t>
            </w:r>
          </w:p>
        </w:tc>
      </w:tr>
      <w:tr w:rsidR="00AE5E1A" w:rsidRPr="00987806" w14:paraId="7F4038AD" w14:textId="77777777" w:rsidTr="005808FC">
        <w:trPr>
          <w:trHeight w:val="227"/>
        </w:trPr>
        <w:tc>
          <w:tcPr>
            <w:tcW w:w="3235" w:type="dxa"/>
            <w:shd w:val="clear" w:color="auto" w:fill="F2DBDB" w:themeFill="accent2" w:themeFillTint="33"/>
          </w:tcPr>
          <w:p w14:paraId="0B2356D0" w14:textId="77777777" w:rsidR="00AE5E1A" w:rsidRPr="005808FC" w:rsidRDefault="00AE5E1A" w:rsidP="005808FC">
            <w:pPr>
              <w:spacing w:line="240" w:lineRule="auto"/>
              <w:rPr>
                <w:b/>
                <w:bCs/>
              </w:rPr>
            </w:pPr>
            <w:r w:rsidRPr="00291DF5">
              <w:rPr>
                <w:b/>
                <w:bCs/>
              </w:rPr>
              <w:t>Nositelji aktivnosti:</w:t>
            </w:r>
          </w:p>
        </w:tc>
        <w:tc>
          <w:tcPr>
            <w:tcW w:w="5850" w:type="dxa"/>
          </w:tcPr>
          <w:p w14:paraId="65C63085" w14:textId="45935B98" w:rsidR="00AE5E1A" w:rsidRPr="00987806" w:rsidRDefault="00AE5E1A" w:rsidP="005808FC">
            <w:pPr>
              <w:numPr>
                <w:ilvl w:val="0"/>
                <w:numId w:val="9"/>
              </w:numPr>
              <w:spacing w:after="0" w:line="240" w:lineRule="auto"/>
              <w:ind w:left="482" w:hanging="357"/>
            </w:pPr>
            <w:r w:rsidRPr="00291DF5">
              <w:t>Gradski ured za gospodarstvo, energetiku</w:t>
            </w:r>
            <w:r w:rsidR="000509A0">
              <w:t xml:space="preserve"> i </w:t>
            </w:r>
            <w:r w:rsidRPr="00291DF5">
              <w:t>zaštitu okoliša</w:t>
            </w:r>
          </w:p>
        </w:tc>
      </w:tr>
      <w:tr w:rsidR="00AE5E1A" w:rsidRPr="00987806" w14:paraId="26557696" w14:textId="77777777" w:rsidTr="005808FC">
        <w:trPr>
          <w:trHeight w:val="227"/>
        </w:trPr>
        <w:tc>
          <w:tcPr>
            <w:tcW w:w="3235" w:type="dxa"/>
            <w:shd w:val="clear" w:color="auto" w:fill="F2DBDB" w:themeFill="accent2" w:themeFillTint="33"/>
          </w:tcPr>
          <w:p w14:paraId="5DCB474C" w14:textId="77777777" w:rsidR="00AE5E1A" w:rsidRPr="005808FC" w:rsidRDefault="00AE5E1A" w:rsidP="005808FC">
            <w:pPr>
              <w:spacing w:line="240" w:lineRule="auto"/>
              <w:rPr>
                <w:b/>
                <w:bCs/>
              </w:rPr>
            </w:pPr>
            <w:r w:rsidRPr="00291DF5">
              <w:rPr>
                <w:b/>
                <w:bCs/>
              </w:rPr>
              <w:t>Partneri u provođenju aktivnosti:</w:t>
            </w:r>
          </w:p>
        </w:tc>
        <w:tc>
          <w:tcPr>
            <w:tcW w:w="5850" w:type="dxa"/>
          </w:tcPr>
          <w:p w14:paraId="5A7B1197" w14:textId="77777777" w:rsidR="00AE5E1A" w:rsidRPr="00987806" w:rsidRDefault="00AE5E1A" w:rsidP="005808FC">
            <w:pPr>
              <w:numPr>
                <w:ilvl w:val="0"/>
                <w:numId w:val="9"/>
              </w:numPr>
              <w:spacing w:after="0" w:line="240" w:lineRule="auto"/>
              <w:ind w:left="482" w:hanging="357"/>
            </w:pPr>
            <w:r w:rsidRPr="00291DF5">
              <w:t>REGEA</w:t>
            </w:r>
          </w:p>
          <w:p w14:paraId="50068CD4" w14:textId="00205969" w:rsidR="00AE5E1A" w:rsidRPr="000509A0" w:rsidDel="00436CBA" w:rsidRDefault="00AE5E1A">
            <w:pPr>
              <w:numPr>
                <w:ilvl w:val="0"/>
                <w:numId w:val="9"/>
              </w:numPr>
              <w:spacing w:after="0" w:line="240" w:lineRule="auto"/>
              <w:ind w:left="482" w:hanging="357"/>
              <w:rPr>
                <w:rFonts w:cstheme="minorHAnsi"/>
              </w:rPr>
            </w:pPr>
            <w:r w:rsidRPr="00291DF5">
              <w:t>Razvojna agencija Zagreb</w:t>
            </w:r>
          </w:p>
        </w:tc>
      </w:tr>
      <w:tr w:rsidR="006041E3" w:rsidRPr="00987806" w14:paraId="07C9E332" w14:textId="77777777" w:rsidTr="005808FC">
        <w:trPr>
          <w:trHeight w:val="227"/>
        </w:trPr>
        <w:tc>
          <w:tcPr>
            <w:tcW w:w="3235" w:type="dxa"/>
            <w:shd w:val="clear" w:color="auto" w:fill="F2DBDB" w:themeFill="accent2" w:themeFillTint="33"/>
          </w:tcPr>
          <w:p w14:paraId="4CED20AB" w14:textId="1382A9E7" w:rsidR="006041E3" w:rsidRPr="005808FC" w:rsidRDefault="006041E3" w:rsidP="005808FC">
            <w:pPr>
              <w:spacing w:line="240" w:lineRule="auto"/>
              <w:rPr>
                <w:b/>
                <w:bCs/>
              </w:rPr>
            </w:pPr>
            <w:r w:rsidRPr="00291DF5">
              <w:rPr>
                <w:b/>
                <w:bCs/>
              </w:rPr>
              <w:t>Ostali uključeni dionici:</w:t>
            </w:r>
          </w:p>
        </w:tc>
        <w:tc>
          <w:tcPr>
            <w:tcW w:w="5850" w:type="dxa"/>
          </w:tcPr>
          <w:p w14:paraId="400B2CFE" w14:textId="1B153884" w:rsidR="006041E3" w:rsidRPr="00987806" w:rsidRDefault="006041E3" w:rsidP="005808FC">
            <w:pPr>
              <w:numPr>
                <w:ilvl w:val="0"/>
                <w:numId w:val="9"/>
              </w:numPr>
              <w:spacing w:after="0" w:line="240" w:lineRule="auto"/>
              <w:ind w:left="482" w:hanging="357"/>
            </w:pPr>
            <w:r w:rsidRPr="00291DF5">
              <w:t>Sveučilište u Zagrebu</w:t>
            </w:r>
          </w:p>
        </w:tc>
      </w:tr>
      <w:tr w:rsidR="00AE5E1A" w:rsidRPr="00987806" w14:paraId="2856DE52" w14:textId="77777777" w:rsidTr="005808FC">
        <w:trPr>
          <w:trHeight w:val="227"/>
        </w:trPr>
        <w:tc>
          <w:tcPr>
            <w:tcW w:w="3235" w:type="dxa"/>
            <w:shd w:val="clear" w:color="auto" w:fill="F2DBDB" w:themeFill="accent2" w:themeFillTint="33"/>
          </w:tcPr>
          <w:p w14:paraId="37B31C9A" w14:textId="77777777" w:rsidR="00AE5E1A" w:rsidRPr="005808FC" w:rsidRDefault="00AE5E1A" w:rsidP="005808FC">
            <w:pPr>
              <w:spacing w:line="240" w:lineRule="auto"/>
              <w:rPr>
                <w:b/>
                <w:bCs/>
              </w:rPr>
            </w:pPr>
            <w:r w:rsidRPr="00291DF5">
              <w:rPr>
                <w:b/>
                <w:bCs/>
              </w:rPr>
              <w:t>Početak/kraj provedbe (godine)</w:t>
            </w:r>
          </w:p>
        </w:tc>
        <w:tc>
          <w:tcPr>
            <w:tcW w:w="5850" w:type="dxa"/>
          </w:tcPr>
          <w:p w14:paraId="6D5D1E0E" w14:textId="77777777" w:rsidR="00AE5E1A" w:rsidRPr="005808FC" w:rsidRDefault="00AE5E1A" w:rsidP="005808FC">
            <w:pPr>
              <w:spacing w:line="240" w:lineRule="auto"/>
              <w:rPr>
                <w:rFonts w:eastAsia="Calibri"/>
              </w:rPr>
            </w:pPr>
            <w:r w:rsidRPr="00291DF5">
              <w:rPr>
                <w:rFonts w:eastAsia="Calibri"/>
              </w:rPr>
              <w:t>2020-2030</w:t>
            </w:r>
          </w:p>
        </w:tc>
      </w:tr>
      <w:tr w:rsidR="006041E3" w:rsidRPr="00987806" w14:paraId="301872E8" w14:textId="77777777" w:rsidTr="005808FC">
        <w:trPr>
          <w:trHeight w:val="227"/>
        </w:trPr>
        <w:tc>
          <w:tcPr>
            <w:tcW w:w="3235" w:type="dxa"/>
            <w:shd w:val="clear" w:color="auto" w:fill="F2DBDB" w:themeFill="accent2" w:themeFillTint="33"/>
          </w:tcPr>
          <w:p w14:paraId="2B1400A8" w14:textId="66B526E5" w:rsidR="006041E3" w:rsidRPr="005808FC" w:rsidRDefault="006041E3" w:rsidP="005808FC">
            <w:pPr>
              <w:spacing w:line="240" w:lineRule="auto"/>
              <w:rPr>
                <w:b/>
                <w:bCs/>
              </w:rPr>
            </w:pPr>
            <w:r w:rsidRPr="00291DF5">
              <w:rPr>
                <w:b/>
                <w:bCs/>
              </w:rPr>
              <w:t>Procjena troškova (jedinična ili ukupna po mjeri)</w:t>
            </w:r>
          </w:p>
        </w:tc>
        <w:tc>
          <w:tcPr>
            <w:tcW w:w="5850" w:type="dxa"/>
          </w:tcPr>
          <w:p w14:paraId="3969EF91" w14:textId="5F6BF9D6" w:rsidR="006041E3" w:rsidRPr="005808FC" w:rsidRDefault="006041E3" w:rsidP="005808FC">
            <w:pPr>
              <w:spacing w:line="240" w:lineRule="auto"/>
              <w:rPr>
                <w:rFonts w:eastAsia="Calibri"/>
                <w:b/>
                <w:bCs/>
              </w:rPr>
            </w:pPr>
            <w:r w:rsidRPr="005808FC">
              <w:rPr>
                <w:rFonts w:eastAsia="Calibri"/>
                <w:b/>
                <w:bCs/>
              </w:rPr>
              <w:t>Određivati će se konkretno godišnjim programima</w:t>
            </w:r>
            <w:r w:rsidR="000509A0">
              <w:rPr>
                <w:rFonts w:eastAsia="Calibri"/>
                <w:b/>
                <w:bCs/>
              </w:rPr>
              <w:t>.</w:t>
            </w:r>
          </w:p>
        </w:tc>
      </w:tr>
      <w:tr w:rsidR="00AE5E1A" w:rsidRPr="00987806" w14:paraId="44FD345B" w14:textId="77777777" w:rsidTr="005808FC">
        <w:trPr>
          <w:trHeight w:val="227"/>
        </w:trPr>
        <w:tc>
          <w:tcPr>
            <w:tcW w:w="3235" w:type="dxa"/>
            <w:shd w:val="clear" w:color="auto" w:fill="F2DBDB" w:themeFill="accent2" w:themeFillTint="33"/>
          </w:tcPr>
          <w:p w14:paraId="2D2BA5F5" w14:textId="77777777" w:rsidR="00AE5E1A" w:rsidRPr="005808FC" w:rsidRDefault="00AE5E1A" w:rsidP="005808FC">
            <w:pPr>
              <w:spacing w:line="240" w:lineRule="auto"/>
              <w:rPr>
                <w:b/>
                <w:bCs/>
              </w:rPr>
            </w:pPr>
            <w:r w:rsidRPr="00291DF5">
              <w:rPr>
                <w:b/>
                <w:bCs/>
              </w:rPr>
              <w:t>Izvor sredstava za provedbu</w:t>
            </w:r>
          </w:p>
        </w:tc>
        <w:tc>
          <w:tcPr>
            <w:tcW w:w="5850" w:type="dxa"/>
          </w:tcPr>
          <w:p w14:paraId="7E8A7D0B" w14:textId="77777777" w:rsidR="00AE5E1A" w:rsidRPr="00987806" w:rsidRDefault="00AE5E1A" w:rsidP="005808FC">
            <w:pPr>
              <w:numPr>
                <w:ilvl w:val="0"/>
                <w:numId w:val="9"/>
              </w:numPr>
              <w:spacing w:after="0" w:line="240" w:lineRule="auto"/>
              <w:ind w:left="482" w:hanging="357"/>
            </w:pPr>
            <w:r w:rsidRPr="00291DF5">
              <w:t>Proračun Grada Zagreba</w:t>
            </w:r>
          </w:p>
          <w:p w14:paraId="21EC156B" w14:textId="77777777" w:rsidR="00AE5E1A" w:rsidRPr="00987806" w:rsidRDefault="00AE5E1A" w:rsidP="005808FC">
            <w:pPr>
              <w:numPr>
                <w:ilvl w:val="0"/>
                <w:numId w:val="9"/>
              </w:numPr>
              <w:spacing w:after="0" w:line="240" w:lineRule="auto"/>
              <w:ind w:left="482" w:hanging="357"/>
            </w:pPr>
            <w:r w:rsidRPr="00291DF5">
              <w:t>Državni proračun</w:t>
            </w:r>
          </w:p>
          <w:p w14:paraId="65DA4D1A" w14:textId="77777777" w:rsidR="00C42B1B" w:rsidRPr="003D373D" w:rsidRDefault="00C42B1B" w:rsidP="00C42B1B">
            <w:pPr>
              <w:numPr>
                <w:ilvl w:val="0"/>
                <w:numId w:val="9"/>
              </w:numPr>
              <w:spacing w:after="0"/>
              <w:ind w:left="482" w:hanging="357"/>
              <w:jc w:val="left"/>
            </w:pPr>
            <w:r>
              <w:t>Europski strukturni i investicijski fondovi</w:t>
            </w:r>
          </w:p>
          <w:p w14:paraId="7DF936F5" w14:textId="77777777" w:rsidR="00AE5E1A" w:rsidRDefault="00AE5E1A" w:rsidP="005808FC">
            <w:pPr>
              <w:numPr>
                <w:ilvl w:val="0"/>
                <w:numId w:val="9"/>
              </w:numPr>
              <w:spacing w:after="0" w:line="240" w:lineRule="auto"/>
              <w:ind w:left="482" w:hanging="357"/>
            </w:pPr>
            <w:r w:rsidRPr="00291DF5">
              <w:t>Programi unije</w:t>
            </w:r>
          </w:p>
          <w:p w14:paraId="564C3795" w14:textId="6FE85F6A" w:rsidR="006041E3" w:rsidRPr="00987806" w:rsidRDefault="006041E3" w:rsidP="005808FC">
            <w:pPr>
              <w:numPr>
                <w:ilvl w:val="0"/>
                <w:numId w:val="9"/>
              </w:numPr>
              <w:spacing w:after="0" w:line="240" w:lineRule="auto"/>
              <w:ind w:left="482" w:hanging="357"/>
            </w:pPr>
            <w:r w:rsidRPr="00291DF5">
              <w:t>EIT/Climate KIC</w:t>
            </w:r>
          </w:p>
        </w:tc>
      </w:tr>
      <w:tr w:rsidR="00AE5E1A" w:rsidRPr="00987806" w14:paraId="67A7BE22" w14:textId="77777777" w:rsidTr="005808FC">
        <w:trPr>
          <w:trHeight w:val="620"/>
        </w:trPr>
        <w:tc>
          <w:tcPr>
            <w:tcW w:w="3235" w:type="dxa"/>
            <w:shd w:val="clear" w:color="auto" w:fill="F2DBDB" w:themeFill="accent2" w:themeFillTint="33"/>
          </w:tcPr>
          <w:p w14:paraId="40CE701C" w14:textId="77777777" w:rsidR="00AE5E1A" w:rsidRPr="005808FC" w:rsidRDefault="00AE5E1A" w:rsidP="005808FC">
            <w:pPr>
              <w:spacing w:line="240" w:lineRule="auto"/>
              <w:rPr>
                <w:b/>
                <w:bCs/>
              </w:rPr>
            </w:pPr>
            <w:r w:rsidRPr="00291DF5">
              <w:rPr>
                <w:b/>
                <w:bCs/>
              </w:rPr>
              <w:t>Kratki opis/komentar</w:t>
            </w:r>
          </w:p>
        </w:tc>
        <w:tc>
          <w:tcPr>
            <w:tcW w:w="5850" w:type="dxa"/>
          </w:tcPr>
          <w:p w14:paraId="4AAFAEF9" w14:textId="0D0B5096"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Poticanje poduzetništva</w:t>
            </w:r>
            <w:r w:rsidR="000509A0">
              <w:rPr>
                <w:shd w:val="clear" w:color="auto" w:fill="FFFFFF"/>
              </w:rPr>
              <w:t xml:space="preserve"> i </w:t>
            </w:r>
            <w:r w:rsidRPr="00291DF5">
              <w:rPr>
                <w:shd w:val="clear" w:color="auto" w:fill="FFFFFF"/>
              </w:rPr>
              <w:t>osnivanja gospodarskih subjekata vezanih uz sektore</w:t>
            </w:r>
            <w:r w:rsidRPr="005808FC">
              <w:rPr>
                <w:shd w:val="clear" w:color="auto" w:fill="FFFFFF"/>
              </w:rPr>
              <w:t xml:space="preserve"> klimatskih promjena, energetske učinkovitosti, ekološke proizvodnje, održivog razvoja svojevrstan je katalizator tranzicije</w:t>
            </w:r>
            <w:r w:rsidR="00B25B9E" w:rsidRPr="005808FC">
              <w:rPr>
                <w:shd w:val="clear" w:color="auto" w:fill="FFFFFF"/>
              </w:rPr>
              <w:t xml:space="preserve"> </w:t>
            </w:r>
            <w:r w:rsidRPr="005808FC">
              <w:rPr>
                <w:shd w:val="clear" w:color="auto" w:fill="FFFFFF"/>
              </w:rPr>
              <w:t>iz karbonskog u održivo društvo. Iz tog razloga je izrazito važno potaknuti inovacije u ovom području, omogućiti im primjenu u realnom sektoru te potaknuti osnivanje gospodarskih subjekata koji su nositelji društvenih promjena koje želimo vidjeti u našem društvu. Time potičemo stvaranje održive slike grada</w:t>
            </w:r>
            <w:r w:rsidR="000509A0">
              <w:rPr>
                <w:shd w:val="clear" w:color="auto" w:fill="FFFFFF"/>
              </w:rPr>
              <w:t xml:space="preserve"> i </w:t>
            </w:r>
            <w:r w:rsidRPr="00291DF5">
              <w:rPr>
                <w:shd w:val="clear" w:color="auto" w:fill="FFFFFF"/>
              </w:rPr>
              <w:t>gospodarski prosperitet.</w:t>
            </w:r>
          </w:p>
          <w:p w14:paraId="50D86744" w14:textId="77777777"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Unutar ove mjere podrazumijevaju s</w:t>
            </w:r>
            <w:r w:rsidRPr="005808FC">
              <w:rPr>
                <w:shd w:val="clear" w:color="auto" w:fill="FFFFFF"/>
              </w:rPr>
              <w:t>e aktivnosti :</w:t>
            </w:r>
          </w:p>
          <w:p w14:paraId="18FE6942" w14:textId="4DC9E6F9" w:rsidR="00AE5E1A" w:rsidRPr="00987806" w:rsidRDefault="00AE5E1A" w:rsidP="005808FC">
            <w:pPr>
              <w:pStyle w:val="ListParagraph"/>
              <w:numPr>
                <w:ilvl w:val="0"/>
                <w:numId w:val="23"/>
              </w:numPr>
              <w:autoSpaceDE w:val="0"/>
              <w:autoSpaceDN w:val="0"/>
              <w:adjustRightInd w:val="0"/>
              <w:spacing w:after="0" w:line="240" w:lineRule="auto"/>
              <w:rPr>
                <w:shd w:val="clear" w:color="auto" w:fill="FFFFFF"/>
              </w:rPr>
            </w:pPr>
            <w:r w:rsidRPr="00291DF5">
              <w:rPr>
                <w:shd w:val="clear" w:color="auto" w:fill="FFFFFF"/>
              </w:rPr>
              <w:t xml:space="preserve">Razvoj </w:t>
            </w:r>
            <w:r w:rsidR="00C42B1B">
              <w:rPr>
                <w:shd w:val="clear" w:color="auto" w:fill="FFFFFF"/>
              </w:rPr>
              <w:t>sustava potpore</w:t>
            </w:r>
            <w:r w:rsidRPr="00291DF5">
              <w:rPr>
                <w:shd w:val="clear" w:color="auto" w:fill="FFFFFF"/>
              </w:rPr>
              <w:t>/natječaja za inovacije koji rješavaju pitanja od važnosti za Grad Zagreb u području klimatskih promjena</w:t>
            </w:r>
            <w:r w:rsidR="000509A0">
              <w:rPr>
                <w:shd w:val="clear" w:color="auto" w:fill="FFFFFF"/>
              </w:rPr>
              <w:t>;</w:t>
            </w:r>
          </w:p>
          <w:p w14:paraId="7318BC60" w14:textId="061F54C0" w:rsidR="00AE5E1A" w:rsidRPr="00987806" w:rsidRDefault="00AE5E1A" w:rsidP="005808FC">
            <w:pPr>
              <w:pStyle w:val="ListParagraph"/>
              <w:numPr>
                <w:ilvl w:val="0"/>
                <w:numId w:val="23"/>
              </w:numPr>
              <w:autoSpaceDE w:val="0"/>
              <w:autoSpaceDN w:val="0"/>
              <w:adjustRightInd w:val="0"/>
              <w:spacing w:after="0" w:line="240" w:lineRule="auto"/>
              <w:rPr>
                <w:shd w:val="clear" w:color="auto" w:fill="FFFFFF"/>
              </w:rPr>
            </w:pPr>
            <w:r w:rsidRPr="00291DF5">
              <w:rPr>
                <w:shd w:val="clear" w:color="auto" w:fill="FFFFFF"/>
              </w:rPr>
              <w:lastRenderedPageBreak/>
              <w:t xml:space="preserve">Uvođenje novih mjera poticanja </w:t>
            </w:r>
            <w:r w:rsidRPr="00C42B1B">
              <w:rPr>
                <w:i/>
                <w:shd w:val="clear" w:color="auto" w:fill="FFFFFF"/>
              </w:rPr>
              <w:t>start-up</w:t>
            </w:r>
            <w:r w:rsidRPr="00291DF5">
              <w:rPr>
                <w:shd w:val="clear" w:color="auto" w:fill="FFFFFF"/>
              </w:rPr>
              <w:t xml:space="preserve"> tvrtki koje djeluju</w:t>
            </w:r>
            <w:r w:rsidR="000509A0">
              <w:rPr>
                <w:shd w:val="clear" w:color="auto" w:fill="FFFFFF"/>
              </w:rPr>
              <w:t xml:space="preserve"> i </w:t>
            </w:r>
            <w:r w:rsidRPr="00291DF5">
              <w:rPr>
                <w:shd w:val="clear" w:color="auto" w:fill="FFFFFF"/>
              </w:rPr>
              <w:t xml:space="preserve">inoviraju u području klimatskih promjena u radne </w:t>
            </w:r>
            <w:r w:rsidRPr="005808FC">
              <w:rPr>
                <w:shd w:val="clear" w:color="auto" w:fill="FFFFFF"/>
              </w:rPr>
              <w:t>programe Razvoje agencije Zagreb</w:t>
            </w:r>
            <w:r w:rsidR="000509A0">
              <w:rPr>
                <w:shd w:val="clear" w:color="auto" w:fill="FFFFFF"/>
              </w:rPr>
              <w:t>;</w:t>
            </w:r>
          </w:p>
          <w:p w14:paraId="16FF9FF2" w14:textId="0C215857" w:rsidR="00AE5E1A" w:rsidRPr="00987806" w:rsidRDefault="00AE5E1A" w:rsidP="005808FC">
            <w:pPr>
              <w:pStyle w:val="ListParagraph"/>
              <w:numPr>
                <w:ilvl w:val="0"/>
                <w:numId w:val="23"/>
              </w:numPr>
              <w:autoSpaceDE w:val="0"/>
              <w:autoSpaceDN w:val="0"/>
              <w:adjustRightInd w:val="0"/>
              <w:spacing w:after="0" w:line="240" w:lineRule="auto"/>
              <w:rPr>
                <w:shd w:val="clear" w:color="auto" w:fill="FFFFFF"/>
              </w:rPr>
            </w:pPr>
            <w:r w:rsidRPr="00291DF5">
              <w:rPr>
                <w:shd w:val="clear" w:color="auto" w:fill="FFFFFF"/>
              </w:rPr>
              <w:t>Poticati</w:t>
            </w:r>
            <w:r w:rsidR="00B25B9E" w:rsidRPr="005808FC">
              <w:rPr>
                <w:shd w:val="clear" w:color="auto" w:fill="FFFFFF"/>
              </w:rPr>
              <w:t xml:space="preserve"> </w:t>
            </w:r>
            <w:r w:rsidRPr="005808FC">
              <w:rPr>
                <w:shd w:val="clear" w:color="auto" w:fill="FFFFFF"/>
              </w:rPr>
              <w:t>za gospodarske subjekte iz područja održivosti</w:t>
            </w:r>
            <w:r w:rsidR="000509A0">
              <w:rPr>
                <w:shd w:val="clear" w:color="auto" w:fill="FFFFFF"/>
              </w:rPr>
              <w:t>.</w:t>
            </w:r>
          </w:p>
        </w:tc>
      </w:tr>
    </w:tbl>
    <w:p w14:paraId="5B65A9B1" w14:textId="77777777" w:rsidR="00AE5E1A" w:rsidRPr="00987806" w:rsidRDefault="00AE5E1A" w:rsidP="00AE5E1A">
      <w:pPr>
        <w:spacing w:before="120"/>
        <w:rPr>
          <w:rFonts w:cstheme="minorHAnsi"/>
          <w:b/>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5850"/>
      </w:tblGrid>
      <w:tr w:rsidR="00AE5E1A" w:rsidRPr="00987806" w14:paraId="22A703BC"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662BC6C9" w14:textId="77777777" w:rsidR="00AE5E1A" w:rsidRPr="005808FC" w:rsidRDefault="00AE5E1A" w:rsidP="005808FC">
            <w:pPr>
              <w:spacing w:line="240" w:lineRule="auto"/>
              <w:rPr>
                <w:b/>
                <w:bCs/>
              </w:rPr>
            </w:pPr>
            <w:r w:rsidRPr="00291DF5">
              <w:rPr>
                <w:b/>
                <w:bCs/>
              </w:rPr>
              <w:t>Redni broj mjere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387604E8" w14:textId="7B02FD72" w:rsidR="00AE5E1A" w:rsidRPr="005808FC" w:rsidRDefault="006041E3" w:rsidP="005808FC">
            <w:pPr>
              <w:spacing w:line="240" w:lineRule="auto"/>
              <w:rPr>
                <w:rFonts w:eastAsia="Calibri"/>
                <w:b/>
                <w:bCs/>
              </w:rPr>
            </w:pPr>
            <w:r w:rsidRPr="00291DF5">
              <w:rPr>
                <w:rFonts w:eastAsia="Calibri"/>
                <w:b/>
                <w:bCs/>
              </w:rPr>
              <w:t>3</w:t>
            </w:r>
            <w:r w:rsidR="00C30836" w:rsidRPr="00291DF5">
              <w:rPr>
                <w:rFonts w:eastAsia="Calibri"/>
                <w:b/>
                <w:bCs/>
              </w:rPr>
              <w:t>4</w:t>
            </w:r>
          </w:p>
        </w:tc>
      </w:tr>
      <w:tr w:rsidR="00AE5E1A" w:rsidRPr="00987806" w14:paraId="73E9A759" w14:textId="77777777" w:rsidTr="005808FC">
        <w:trPr>
          <w:trHeight w:val="818"/>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7C4719C3" w14:textId="77777777" w:rsidR="00AE5E1A" w:rsidRPr="005808FC" w:rsidRDefault="00AE5E1A" w:rsidP="005808FC">
            <w:pPr>
              <w:spacing w:line="240" w:lineRule="auto"/>
              <w:rPr>
                <w:b/>
                <w:bCs/>
              </w:rPr>
            </w:pPr>
            <w:r w:rsidRPr="00291DF5">
              <w:rPr>
                <w:b/>
                <w:bCs/>
              </w:rPr>
              <w:br w:type="page"/>
              <w:t>Ime mjere/aktivnost</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14:paraId="4EB43F35" w14:textId="77777777" w:rsidR="00AE5E1A" w:rsidRPr="005808FC" w:rsidRDefault="00AE5E1A" w:rsidP="005808FC">
            <w:pPr>
              <w:autoSpaceDE w:val="0"/>
              <w:autoSpaceDN w:val="0"/>
              <w:adjustRightInd w:val="0"/>
              <w:spacing w:line="240" w:lineRule="auto"/>
              <w:rPr>
                <w:rFonts w:eastAsia="Calibri"/>
                <w:b/>
                <w:bCs/>
              </w:rPr>
            </w:pPr>
            <w:r w:rsidRPr="00291DF5">
              <w:rPr>
                <w:rFonts w:eastAsia="Calibri"/>
                <w:b/>
                <w:bCs/>
              </w:rPr>
              <w:t>Povećanje otpornosti na klimatske promjene u sektoru turizma</w:t>
            </w:r>
          </w:p>
        </w:tc>
      </w:tr>
      <w:tr w:rsidR="00AE5E1A" w:rsidRPr="00987806" w14:paraId="019B613C"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65C5EC07" w14:textId="77777777" w:rsidR="00AE5E1A" w:rsidRPr="005808FC" w:rsidRDefault="00AE5E1A" w:rsidP="005808FC">
            <w:pPr>
              <w:spacing w:line="240" w:lineRule="auto"/>
              <w:rPr>
                <w:b/>
                <w:bCs/>
              </w:rPr>
            </w:pPr>
            <w:r w:rsidRPr="00291DF5">
              <w:rPr>
                <w:b/>
                <w:bCs/>
              </w:rPr>
              <w:t>Nositelji aktivnosti:</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2FD3" w14:textId="391FB2E5" w:rsidR="00AE5E1A" w:rsidRPr="00036175" w:rsidRDefault="00AE5E1A" w:rsidP="005808FC">
            <w:pPr>
              <w:numPr>
                <w:ilvl w:val="0"/>
                <w:numId w:val="9"/>
              </w:numPr>
              <w:spacing w:after="0" w:line="240" w:lineRule="auto"/>
              <w:ind w:left="482" w:hanging="357"/>
            </w:pPr>
            <w:r w:rsidRPr="00036175">
              <w:t>Turistička zajednica Grada Zagreba</w:t>
            </w:r>
          </w:p>
        </w:tc>
      </w:tr>
      <w:tr w:rsidR="00AE5E1A" w:rsidRPr="00987806" w14:paraId="493A82B1"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40EDFB63" w14:textId="77777777" w:rsidR="00AE5E1A" w:rsidRPr="005808FC" w:rsidRDefault="00AE5E1A" w:rsidP="005808FC">
            <w:pPr>
              <w:spacing w:line="240" w:lineRule="auto"/>
              <w:rPr>
                <w:b/>
                <w:bCs/>
              </w:rPr>
            </w:pPr>
            <w:r w:rsidRPr="00291DF5">
              <w:rPr>
                <w:b/>
                <w:bCs/>
              </w:rPr>
              <w:t>Partneri u provođenju aktivnosti:</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ABE29" w14:textId="7A102923" w:rsidR="00AE5E1A" w:rsidRPr="00036175" w:rsidRDefault="00AE5E1A" w:rsidP="005808FC">
            <w:pPr>
              <w:numPr>
                <w:ilvl w:val="0"/>
                <w:numId w:val="9"/>
              </w:numPr>
              <w:spacing w:after="0" w:line="240" w:lineRule="auto"/>
              <w:ind w:left="482" w:hanging="357"/>
            </w:pPr>
            <w:r w:rsidRPr="00036175">
              <w:t>GU za zdravstvo</w:t>
            </w:r>
          </w:p>
          <w:p w14:paraId="01EC926C" w14:textId="77777777" w:rsidR="00AE5E1A" w:rsidRPr="00036175" w:rsidRDefault="006041E3" w:rsidP="005808FC">
            <w:pPr>
              <w:numPr>
                <w:ilvl w:val="0"/>
                <w:numId w:val="9"/>
              </w:numPr>
              <w:spacing w:after="0" w:line="240" w:lineRule="auto"/>
              <w:ind w:left="482" w:hanging="357"/>
              <w:rPr>
                <w:rFonts w:cstheme="minorHAnsi"/>
              </w:rPr>
            </w:pPr>
            <w:r w:rsidRPr="00036175">
              <w:t>GU za gospodarstvo, energetiku</w:t>
            </w:r>
            <w:r w:rsidR="000509A0" w:rsidRPr="00036175">
              <w:t xml:space="preserve"> i </w:t>
            </w:r>
            <w:r w:rsidRPr="00036175">
              <w:t>zaštitu okoliša</w:t>
            </w:r>
          </w:p>
          <w:p w14:paraId="6BB9F4CD" w14:textId="3B663939" w:rsidR="00D061F3" w:rsidRPr="00036175" w:rsidRDefault="00D061F3" w:rsidP="00D061F3">
            <w:pPr>
              <w:numPr>
                <w:ilvl w:val="0"/>
                <w:numId w:val="9"/>
              </w:numPr>
              <w:spacing w:after="0" w:line="240" w:lineRule="auto"/>
              <w:ind w:left="482" w:hanging="357"/>
              <w:rPr>
                <w:rFonts w:cstheme="minorHAnsi"/>
              </w:rPr>
            </w:pPr>
            <w:r w:rsidRPr="00036175">
              <w:rPr>
                <w:shd w:val="clear" w:color="auto" w:fill="FFFFFF"/>
              </w:rPr>
              <w:t>Nastavni zavod za javno zdravstvo Dr. Andrija Štampar.</w:t>
            </w:r>
          </w:p>
          <w:p w14:paraId="6B8E32AA" w14:textId="77EAB347" w:rsidR="00D061F3" w:rsidRPr="00036175" w:rsidRDefault="00D061F3" w:rsidP="00036175">
            <w:pPr>
              <w:spacing w:after="0" w:line="240" w:lineRule="auto"/>
              <w:ind w:left="482"/>
              <w:rPr>
                <w:rFonts w:cstheme="minorHAnsi"/>
              </w:rPr>
            </w:pPr>
          </w:p>
        </w:tc>
      </w:tr>
      <w:tr w:rsidR="006041E3" w:rsidRPr="00987806" w14:paraId="566C07AA"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7A44021" w14:textId="7B57A859" w:rsidR="006041E3" w:rsidRPr="005808FC" w:rsidRDefault="006041E3" w:rsidP="005808FC">
            <w:pPr>
              <w:spacing w:line="240" w:lineRule="auto"/>
              <w:rPr>
                <w:b/>
                <w:bCs/>
              </w:rPr>
            </w:pPr>
            <w:r w:rsidRPr="00291DF5">
              <w:rPr>
                <w:b/>
                <w:bCs/>
              </w:rPr>
              <w:t>Ostali uključeni dionici</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016B" w14:textId="2C43C201" w:rsidR="006041E3" w:rsidRPr="00987806" w:rsidRDefault="006041E3" w:rsidP="005808FC">
            <w:pPr>
              <w:numPr>
                <w:ilvl w:val="0"/>
                <w:numId w:val="9"/>
              </w:numPr>
              <w:spacing w:after="0" w:line="240" w:lineRule="auto"/>
              <w:ind w:left="482" w:hanging="357"/>
            </w:pPr>
            <w:r w:rsidRPr="00291DF5">
              <w:t xml:space="preserve">Hrvatska gospodarska komora </w:t>
            </w:r>
            <w:r w:rsidR="00D05D04">
              <w:t>–</w:t>
            </w:r>
            <w:r w:rsidRPr="00291DF5">
              <w:t xml:space="preserve"> </w:t>
            </w:r>
            <w:r w:rsidRPr="005808FC">
              <w:t>Komora Zagreb – Sekcija zajednice obiteljskog smještaja</w:t>
            </w:r>
          </w:p>
        </w:tc>
      </w:tr>
      <w:tr w:rsidR="00AE5E1A" w:rsidRPr="00987806" w14:paraId="7617EF44"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64B49F88" w14:textId="77777777" w:rsidR="00AE5E1A" w:rsidRPr="005808FC" w:rsidRDefault="00AE5E1A" w:rsidP="005808FC">
            <w:pPr>
              <w:spacing w:line="240" w:lineRule="auto"/>
              <w:rPr>
                <w:b/>
                <w:bCs/>
              </w:rPr>
            </w:pPr>
            <w:r w:rsidRPr="00291DF5">
              <w:rPr>
                <w:b/>
                <w:bCs/>
              </w:rPr>
              <w:t>Početak/kraj provedbe (godine)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1F71" w14:textId="77777777" w:rsidR="00AE5E1A" w:rsidRPr="005808FC" w:rsidRDefault="00AE5E1A" w:rsidP="005808FC">
            <w:pPr>
              <w:spacing w:line="240" w:lineRule="auto"/>
              <w:rPr>
                <w:rFonts w:eastAsia="Calibri"/>
              </w:rPr>
            </w:pPr>
            <w:r w:rsidRPr="00291DF5">
              <w:rPr>
                <w:rFonts w:eastAsia="Calibri"/>
              </w:rPr>
              <w:t>2020-2030</w:t>
            </w:r>
          </w:p>
        </w:tc>
      </w:tr>
      <w:tr w:rsidR="006041E3" w:rsidRPr="00987806" w14:paraId="65CCB8E2"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22D916B" w14:textId="724FD825" w:rsidR="006041E3" w:rsidRPr="005808FC" w:rsidRDefault="006041E3" w:rsidP="005808FC">
            <w:pPr>
              <w:spacing w:line="240" w:lineRule="auto"/>
              <w:rPr>
                <w:b/>
                <w:bCs/>
              </w:rPr>
            </w:pPr>
            <w:r w:rsidRPr="00291DF5">
              <w:rPr>
                <w:b/>
                <w:bCs/>
              </w:rPr>
              <w:t>Procjena troškova (jedinična ili ukupna po mjeri):</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878B" w14:textId="5BDDFAE4" w:rsidR="006041E3" w:rsidRPr="005808FC" w:rsidRDefault="006041E3" w:rsidP="005808FC">
            <w:pPr>
              <w:spacing w:line="240" w:lineRule="auto"/>
              <w:rPr>
                <w:rFonts w:eastAsia="Calibri"/>
                <w:b/>
                <w:bCs/>
              </w:rPr>
            </w:pPr>
            <w:r w:rsidRPr="005808FC">
              <w:rPr>
                <w:rFonts w:eastAsia="Calibri"/>
                <w:b/>
                <w:bCs/>
              </w:rPr>
              <w:t>500.000</w:t>
            </w:r>
            <w:r w:rsidR="000509A0">
              <w:rPr>
                <w:rFonts w:eastAsia="Calibri"/>
                <w:b/>
                <w:bCs/>
              </w:rPr>
              <w:t xml:space="preserve"> godišnje</w:t>
            </w:r>
          </w:p>
        </w:tc>
      </w:tr>
      <w:tr w:rsidR="00AE5E1A" w:rsidRPr="00987806" w14:paraId="131CE588" w14:textId="77777777" w:rsidTr="005808FC">
        <w:trPr>
          <w:trHeight w:val="227"/>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560CCBE3" w14:textId="77777777" w:rsidR="00AE5E1A" w:rsidRPr="005808FC" w:rsidRDefault="00AE5E1A" w:rsidP="005808FC">
            <w:pPr>
              <w:spacing w:line="240" w:lineRule="auto"/>
              <w:rPr>
                <w:b/>
                <w:bCs/>
              </w:rPr>
            </w:pPr>
            <w:r w:rsidRPr="00291DF5">
              <w:rPr>
                <w:b/>
                <w:bCs/>
              </w:rPr>
              <w:t>Izvor sredstava za provedbu</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B7C1" w14:textId="77777777" w:rsidR="00AE5E1A" w:rsidRPr="00987806" w:rsidRDefault="00AE5E1A" w:rsidP="005808FC">
            <w:pPr>
              <w:numPr>
                <w:ilvl w:val="0"/>
                <w:numId w:val="9"/>
              </w:numPr>
              <w:spacing w:after="0" w:line="240" w:lineRule="auto"/>
              <w:ind w:left="482" w:hanging="357"/>
            </w:pPr>
            <w:r w:rsidRPr="00291DF5">
              <w:t>Proračun Turističke zajednice Grada Zagreba</w:t>
            </w:r>
          </w:p>
          <w:p w14:paraId="6AF448D1" w14:textId="77777777" w:rsidR="00AE5E1A" w:rsidRPr="00987806" w:rsidRDefault="00AE5E1A" w:rsidP="005808FC">
            <w:pPr>
              <w:numPr>
                <w:ilvl w:val="0"/>
                <w:numId w:val="9"/>
              </w:numPr>
              <w:spacing w:after="0" w:line="240" w:lineRule="auto"/>
              <w:ind w:left="482" w:hanging="357"/>
            </w:pPr>
            <w:r w:rsidRPr="00291DF5">
              <w:t>Proračun Grada Zagreba</w:t>
            </w:r>
          </w:p>
          <w:p w14:paraId="389A74BC" w14:textId="77777777" w:rsidR="00AE5E1A" w:rsidRPr="00987806" w:rsidRDefault="00AE5E1A" w:rsidP="005808FC">
            <w:pPr>
              <w:numPr>
                <w:ilvl w:val="0"/>
                <w:numId w:val="9"/>
              </w:numPr>
              <w:spacing w:after="0" w:line="240" w:lineRule="auto"/>
              <w:ind w:left="482" w:hanging="357"/>
            </w:pPr>
            <w:r w:rsidRPr="00291DF5">
              <w:t>Državni proračun</w:t>
            </w:r>
          </w:p>
          <w:p w14:paraId="187D1F0D" w14:textId="38BE6FAE" w:rsidR="00AE5E1A" w:rsidRPr="00987806" w:rsidRDefault="00C42B1B" w:rsidP="00C42B1B">
            <w:pPr>
              <w:numPr>
                <w:ilvl w:val="0"/>
                <w:numId w:val="9"/>
              </w:numPr>
              <w:spacing w:after="0"/>
              <w:ind w:left="482" w:hanging="357"/>
              <w:jc w:val="left"/>
            </w:pPr>
            <w:r>
              <w:t>Europski strukturni i investicijski fondovi</w:t>
            </w:r>
          </w:p>
        </w:tc>
      </w:tr>
      <w:tr w:rsidR="00AE5E1A" w:rsidRPr="00987806" w14:paraId="3DC5F25C" w14:textId="77777777" w:rsidTr="00036175">
        <w:trPr>
          <w:trHeight w:val="751"/>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569E4189" w14:textId="77777777" w:rsidR="00AE5E1A" w:rsidRPr="005808FC" w:rsidRDefault="00AE5E1A" w:rsidP="005808FC">
            <w:pPr>
              <w:spacing w:line="240" w:lineRule="auto"/>
              <w:rPr>
                <w:b/>
                <w:bCs/>
              </w:rPr>
            </w:pPr>
            <w:r w:rsidRPr="00291DF5">
              <w:rPr>
                <w:b/>
                <w:bCs/>
              </w:rPr>
              <w:t>Kratki opis/komentar</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50847" w14:textId="00773B3C"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 xml:space="preserve">Turizam je izdvojen kao jedan od sektora koji je izrazito ranjiv na klimatske promjene. Kao posljedica klimatskih promjena, sektor turizma će biti suočen s novim zahtjevima kako bi </w:t>
            </w:r>
            <w:r w:rsidRPr="005808FC">
              <w:rPr>
                <w:shd w:val="clear" w:color="auto" w:fill="FFFFFF"/>
              </w:rPr>
              <w:t>održao razinu kvalitete. Neki od utjecaja klimatskih promjena na turizam: povećani zahtjevi za energijom radi održavanja jednake razine ugodnosti uslijed povećanja temperaturnih ekstrema; povećani zahtjevi za medicinskim intervencijama; utjecaj klimatskih promjena na atraktivnost lokaliteta</w:t>
            </w:r>
            <w:r w:rsidR="000509A0">
              <w:rPr>
                <w:shd w:val="clear" w:color="auto" w:fill="FFFFFF"/>
              </w:rPr>
              <w:t xml:space="preserve"> i </w:t>
            </w:r>
            <w:r w:rsidRPr="00291DF5">
              <w:rPr>
                <w:shd w:val="clear" w:color="auto" w:fill="FFFFFF"/>
              </w:rPr>
              <w:t>turističkih sadržaja (zagađenost zraka, negativni utjecaji na bioraznolikost</w:t>
            </w:r>
            <w:r w:rsidR="000509A0">
              <w:rPr>
                <w:shd w:val="clear" w:color="auto" w:fill="FFFFFF"/>
              </w:rPr>
              <w:t xml:space="preserve"> i </w:t>
            </w:r>
            <w:r w:rsidRPr="00291DF5">
              <w:rPr>
                <w:shd w:val="clear" w:color="auto" w:fill="FFFFFF"/>
              </w:rPr>
              <w:t>održavanje prirodnog krajobraza).</w:t>
            </w:r>
          </w:p>
          <w:p w14:paraId="435B47A9" w14:textId="77777777"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Aktivnosti unutar ove mjere usmjerene na povećanje otpornosti sektora na klimatske promjene su:</w:t>
            </w:r>
          </w:p>
          <w:p w14:paraId="62787ECD" w14:textId="3E765F14" w:rsidR="00AE5E1A" w:rsidRPr="00D94C49" w:rsidRDefault="00AE5E1A" w:rsidP="005808FC">
            <w:pPr>
              <w:pStyle w:val="ListParagraph"/>
              <w:numPr>
                <w:ilvl w:val="0"/>
                <w:numId w:val="22"/>
              </w:numPr>
              <w:autoSpaceDE w:val="0"/>
              <w:autoSpaceDN w:val="0"/>
              <w:adjustRightInd w:val="0"/>
              <w:spacing w:after="0" w:line="240" w:lineRule="auto"/>
              <w:rPr>
                <w:shd w:val="clear" w:color="auto" w:fill="FFFFFF"/>
              </w:rPr>
            </w:pPr>
            <w:r w:rsidRPr="00291DF5">
              <w:rPr>
                <w:shd w:val="clear" w:color="auto" w:fill="FFFFFF"/>
              </w:rPr>
              <w:t>Edu</w:t>
            </w:r>
            <w:r w:rsidRPr="005808FC">
              <w:rPr>
                <w:shd w:val="clear" w:color="auto" w:fill="FFFFFF"/>
              </w:rPr>
              <w:t xml:space="preserve">kativne mjere </w:t>
            </w:r>
            <w:r w:rsidR="00D05D04">
              <w:rPr>
                <w:shd w:val="clear" w:color="auto" w:fill="FFFFFF"/>
              </w:rPr>
              <w:t>–</w:t>
            </w:r>
            <w:r w:rsidRPr="005808FC">
              <w:rPr>
                <w:shd w:val="clear" w:color="auto" w:fill="FFFFFF"/>
              </w:rPr>
              <w:t xml:space="preserve"> Potrebno je educirati turističke djelatnike o mogućim utjecajima klimatskih promjena na turizam radi njihove pravovremene prilagodbe.</w:t>
            </w:r>
          </w:p>
          <w:p w14:paraId="56E23537" w14:textId="77777777" w:rsidR="00AE5E1A" w:rsidRDefault="00AE5E1A" w:rsidP="005808FC">
            <w:pPr>
              <w:pStyle w:val="ListParagraph"/>
              <w:numPr>
                <w:ilvl w:val="0"/>
                <w:numId w:val="22"/>
              </w:numPr>
              <w:autoSpaceDE w:val="0"/>
              <w:autoSpaceDN w:val="0"/>
              <w:adjustRightInd w:val="0"/>
              <w:spacing w:after="0" w:line="240" w:lineRule="auto"/>
              <w:rPr>
                <w:shd w:val="clear" w:color="auto" w:fill="FFFFFF"/>
              </w:rPr>
            </w:pPr>
            <w:r w:rsidRPr="00291DF5">
              <w:rPr>
                <w:shd w:val="clear" w:color="auto" w:fill="FFFFFF"/>
              </w:rPr>
              <w:t>Izgradnja infrastrukture za ugodni boravak na gradskim površinama (npr. točke s pitkom vodom na čestim rut</w:t>
            </w:r>
            <w:r w:rsidRPr="005808FC">
              <w:rPr>
                <w:shd w:val="clear" w:color="auto" w:fill="FFFFFF"/>
              </w:rPr>
              <w:t>ama turista ili izgradnja rashladnih evaporacijskih uređaja)</w:t>
            </w:r>
            <w:r w:rsidR="000509A0">
              <w:rPr>
                <w:shd w:val="clear" w:color="auto" w:fill="FFFFFF"/>
              </w:rPr>
              <w:t>.</w:t>
            </w:r>
          </w:p>
          <w:p w14:paraId="43A576A8" w14:textId="659D1280" w:rsidR="00D061F3" w:rsidRPr="00D061F3" w:rsidRDefault="00D061F3" w:rsidP="00D061F3">
            <w:pPr>
              <w:pStyle w:val="ListParagraph"/>
              <w:numPr>
                <w:ilvl w:val="0"/>
                <w:numId w:val="22"/>
              </w:numPr>
              <w:autoSpaceDE w:val="0"/>
              <w:autoSpaceDN w:val="0"/>
              <w:adjustRightInd w:val="0"/>
              <w:spacing w:after="0" w:line="240" w:lineRule="auto"/>
              <w:rPr>
                <w:shd w:val="clear" w:color="auto" w:fill="FFFFFF"/>
              </w:rPr>
            </w:pPr>
            <w:r>
              <w:rPr>
                <w:shd w:val="clear" w:color="auto" w:fill="FFFFFF"/>
              </w:rPr>
              <w:lastRenderedPageBreak/>
              <w:t>Edukativni višejezični s preporukama o zdravstveno prihvatljivom ponašanju na suncu odnosno ponašanju prilikom izlaganja toplinskim valovima s informacija o mjestima pitke vode</w:t>
            </w:r>
          </w:p>
        </w:tc>
      </w:tr>
    </w:tbl>
    <w:p w14:paraId="0F4E5088" w14:textId="4DD0066E" w:rsidR="00AE5E1A" w:rsidRDefault="00AE5E1A" w:rsidP="00D065D7">
      <w:pPr>
        <w:pStyle w:val="Heading2"/>
      </w:pPr>
      <w:bookmarkStart w:id="271" w:name="_Toc523743147"/>
      <w:bookmarkStart w:id="272" w:name="_Toc4156118"/>
      <w:bookmarkEnd w:id="271"/>
      <w:r w:rsidRPr="00987806">
        <w:lastRenderedPageBreak/>
        <w:t>Ostalo</w:t>
      </w:r>
      <w:bookmarkEnd w:id="272"/>
    </w:p>
    <w:p w14:paraId="30C17F62" w14:textId="77777777" w:rsidR="000509A0" w:rsidRPr="00291DF5" w:rsidRDefault="000509A0" w:rsidP="005808FC"/>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670"/>
      </w:tblGrid>
      <w:tr w:rsidR="00AE5E1A" w:rsidRPr="00987806" w14:paraId="70F33239" w14:textId="77777777" w:rsidTr="005808FC">
        <w:trPr>
          <w:trHeight w:val="395"/>
        </w:trPr>
        <w:tc>
          <w:tcPr>
            <w:tcW w:w="3325" w:type="dxa"/>
            <w:shd w:val="clear" w:color="auto" w:fill="C6D9F1" w:themeFill="text2" w:themeFillTint="33"/>
          </w:tcPr>
          <w:p w14:paraId="66641080" w14:textId="77777777" w:rsidR="00AE5E1A" w:rsidRPr="005808FC" w:rsidRDefault="00AE5E1A" w:rsidP="005808FC">
            <w:pPr>
              <w:spacing w:line="240" w:lineRule="auto"/>
              <w:rPr>
                <w:b/>
                <w:bCs/>
                <w:strike/>
              </w:rPr>
            </w:pPr>
            <w:r w:rsidRPr="00291DF5">
              <w:rPr>
                <w:b/>
                <w:bCs/>
              </w:rPr>
              <w:t>Redni broj mjere</w:t>
            </w:r>
          </w:p>
        </w:tc>
        <w:tc>
          <w:tcPr>
            <w:tcW w:w="5670" w:type="dxa"/>
            <w:shd w:val="clear" w:color="auto" w:fill="C6D9F1" w:themeFill="text2" w:themeFillTint="33"/>
          </w:tcPr>
          <w:p w14:paraId="27D9FE08" w14:textId="15E39A48" w:rsidR="00AE5E1A" w:rsidRPr="005808FC" w:rsidRDefault="006041E3" w:rsidP="005808FC">
            <w:pPr>
              <w:autoSpaceDE w:val="0"/>
              <w:autoSpaceDN w:val="0"/>
              <w:adjustRightInd w:val="0"/>
              <w:spacing w:line="240" w:lineRule="auto"/>
              <w:rPr>
                <w:rFonts w:eastAsia="Calibri"/>
                <w:b/>
                <w:bCs/>
              </w:rPr>
            </w:pPr>
            <w:r w:rsidRPr="00291DF5">
              <w:rPr>
                <w:rFonts w:eastAsia="Calibri"/>
                <w:b/>
                <w:bCs/>
              </w:rPr>
              <w:t>3</w:t>
            </w:r>
            <w:r w:rsidR="00C30836" w:rsidRPr="00291DF5">
              <w:rPr>
                <w:rFonts w:eastAsia="Calibri"/>
                <w:b/>
                <w:bCs/>
              </w:rPr>
              <w:t>5</w:t>
            </w:r>
          </w:p>
        </w:tc>
      </w:tr>
      <w:tr w:rsidR="00AE5E1A" w:rsidRPr="00987806" w14:paraId="33A01955" w14:textId="77777777" w:rsidTr="005808FC">
        <w:trPr>
          <w:trHeight w:val="818"/>
        </w:trPr>
        <w:tc>
          <w:tcPr>
            <w:tcW w:w="3325" w:type="dxa"/>
            <w:shd w:val="clear" w:color="auto" w:fill="C6D9F1" w:themeFill="text2" w:themeFillTint="33"/>
          </w:tcPr>
          <w:p w14:paraId="3CDAB330" w14:textId="77777777" w:rsidR="00AE5E1A" w:rsidRPr="005808FC" w:rsidRDefault="00AE5E1A" w:rsidP="005808FC">
            <w:pPr>
              <w:spacing w:line="240" w:lineRule="auto"/>
              <w:rPr>
                <w:b/>
                <w:bCs/>
              </w:rPr>
            </w:pPr>
            <w:r w:rsidRPr="00291DF5">
              <w:rPr>
                <w:b/>
                <w:bCs/>
              </w:rPr>
              <w:br w:type="page"/>
              <w:t>Ime mjere/aktivnost</w:t>
            </w:r>
          </w:p>
        </w:tc>
        <w:tc>
          <w:tcPr>
            <w:tcW w:w="5670" w:type="dxa"/>
            <w:shd w:val="clear" w:color="auto" w:fill="C6D9F1" w:themeFill="text2" w:themeFillTint="33"/>
          </w:tcPr>
          <w:p w14:paraId="2D19034B" w14:textId="0D50EF26" w:rsidR="00AE5E1A" w:rsidRPr="005808FC" w:rsidRDefault="00AE5E1A" w:rsidP="005808FC">
            <w:pPr>
              <w:autoSpaceDE w:val="0"/>
              <w:autoSpaceDN w:val="0"/>
              <w:adjustRightInd w:val="0"/>
              <w:spacing w:line="240" w:lineRule="auto"/>
              <w:rPr>
                <w:rFonts w:eastAsia="Calibri"/>
                <w:b/>
                <w:bCs/>
              </w:rPr>
            </w:pPr>
            <w:r w:rsidRPr="00291DF5">
              <w:rPr>
                <w:rFonts w:eastAsia="Calibri"/>
                <w:b/>
                <w:bCs/>
              </w:rPr>
              <w:t>Edukacija</w:t>
            </w:r>
            <w:r w:rsidR="000509A0">
              <w:rPr>
                <w:rFonts w:eastAsia="Calibri"/>
                <w:b/>
                <w:bCs/>
              </w:rPr>
              <w:t xml:space="preserve"> i </w:t>
            </w:r>
            <w:r w:rsidR="006041E3" w:rsidRPr="00291DF5">
              <w:rPr>
                <w:rFonts w:eastAsia="Calibri"/>
                <w:b/>
                <w:bCs/>
              </w:rPr>
              <w:t>informiranje</w:t>
            </w:r>
            <w:r w:rsidR="00B25B9E" w:rsidRPr="005808FC">
              <w:rPr>
                <w:rFonts w:eastAsia="Calibri"/>
                <w:b/>
                <w:bCs/>
              </w:rPr>
              <w:t xml:space="preserve"> </w:t>
            </w:r>
            <w:r w:rsidRPr="005808FC">
              <w:rPr>
                <w:rFonts w:eastAsia="Calibri"/>
                <w:b/>
                <w:bCs/>
              </w:rPr>
              <w:t>o klimatskim promjenama, energetskoj učinkovitosti</w:t>
            </w:r>
            <w:r w:rsidR="000509A0">
              <w:rPr>
                <w:rFonts w:eastAsia="Calibri"/>
                <w:b/>
                <w:bCs/>
              </w:rPr>
              <w:t xml:space="preserve"> i </w:t>
            </w:r>
            <w:r w:rsidRPr="00291DF5">
              <w:rPr>
                <w:rFonts w:eastAsia="Calibri"/>
                <w:b/>
                <w:bCs/>
              </w:rPr>
              <w:t>održivosti</w:t>
            </w:r>
            <w:r w:rsidR="006041E3" w:rsidRPr="005808FC">
              <w:rPr>
                <w:rFonts w:eastAsia="Calibri"/>
                <w:b/>
                <w:bCs/>
              </w:rPr>
              <w:t xml:space="preserve"> – korištenje portala „Moj Zagreb“</w:t>
            </w:r>
          </w:p>
        </w:tc>
      </w:tr>
      <w:tr w:rsidR="00AE5E1A" w:rsidRPr="00987806" w14:paraId="6A5BBF72" w14:textId="77777777" w:rsidTr="005808FC">
        <w:trPr>
          <w:trHeight w:val="227"/>
        </w:trPr>
        <w:tc>
          <w:tcPr>
            <w:tcW w:w="3325" w:type="dxa"/>
            <w:shd w:val="clear" w:color="auto" w:fill="F2DBDB" w:themeFill="accent2" w:themeFillTint="33"/>
          </w:tcPr>
          <w:p w14:paraId="1FF8977D" w14:textId="77777777" w:rsidR="00AE5E1A" w:rsidRPr="005808FC" w:rsidRDefault="00AE5E1A" w:rsidP="005808FC">
            <w:pPr>
              <w:spacing w:line="240" w:lineRule="auto"/>
              <w:rPr>
                <w:b/>
                <w:bCs/>
              </w:rPr>
            </w:pPr>
            <w:r w:rsidRPr="00291DF5">
              <w:rPr>
                <w:b/>
                <w:bCs/>
              </w:rPr>
              <w:t>Nositelji aktivnosti:</w:t>
            </w:r>
          </w:p>
        </w:tc>
        <w:tc>
          <w:tcPr>
            <w:tcW w:w="5670" w:type="dxa"/>
          </w:tcPr>
          <w:p w14:paraId="6EDE89DC" w14:textId="74F33821" w:rsidR="00AE5E1A" w:rsidRPr="00987806" w:rsidRDefault="00AE5E1A" w:rsidP="005808FC">
            <w:pPr>
              <w:numPr>
                <w:ilvl w:val="0"/>
                <w:numId w:val="9"/>
              </w:numPr>
              <w:spacing w:after="0" w:line="240" w:lineRule="auto"/>
              <w:ind w:left="482" w:hanging="357"/>
            </w:pPr>
            <w:r w:rsidRPr="00291DF5">
              <w:t>Gradski ured za gospodarstvo, energetiku</w:t>
            </w:r>
            <w:r w:rsidR="000509A0">
              <w:t xml:space="preserve"> i </w:t>
            </w:r>
            <w:r w:rsidRPr="00291DF5">
              <w:t>zaštitu okoliša</w:t>
            </w:r>
          </w:p>
        </w:tc>
      </w:tr>
      <w:tr w:rsidR="00AE5E1A" w:rsidRPr="00987806" w:rsidDel="00436CBA" w14:paraId="52624AF9" w14:textId="77777777" w:rsidTr="005808FC">
        <w:trPr>
          <w:trHeight w:val="227"/>
        </w:trPr>
        <w:tc>
          <w:tcPr>
            <w:tcW w:w="3325" w:type="dxa"/>
            <w:shd w:val="clear" w:color="auto" w:fill="F2DBDB" w:themeFill="accent2" w:themeFillTint="33"/>
          </w:tcPr>
          <w:p w14:paraId="5CCC6270" w14:textId="77777777" w:rsidR="00AE5E1A" w:rsidRPr="005808FC" w:rsidRDefault="00AE5E1A" w:rsidP="005808FC">
            <w:pPr>
              <w:spacing w:line="240" w:lineRule="auto"/>
              <w:rPr>
                <w:b/>
                <w:bCs/>
              </w:rPr>
            </w:pPr>
            <w:r w:rsidRPr="00291DF5">
              <w:rPr>
                <w:b/>
                <w:bCs/>
              </w:rPr>
              <w:t>Partneri u provođenju aktivnosti:</w:t>
            </w:r>
          </w:p>
        </w:tc>
        <w:tc>
          <w:tcPr>
            <w:tcW w:w="5670" w:type="dxa"/>
          </w:tcPr>
          <w:p w14:paraId="27E93D5A" w14:textId="77777777" w:rsidR="00AE5E1A" w:rsidRPr="00987806" w:rsidRDefault="00AE5E1A" w:rsidP="005808FC">
            <w:pPr>
              <w:numPr>
                <w:ilvl w:val="0"/>
                <w:numId w:val="9"/>
              </w:numPr>
              <w:spacing w:after="0" w:line="240" w:lineRule="auto"/>
              <w:ind w:left="482" w:hanging="357"/>
            </w:pPr>
            <w:r w:rsidRPr="00291DF5">
              <w:t>Gradski ured za obrazovanje</w:t>
            </w:r>
          </w:p>
          <w:p w14:paraId="30915478" w14:textId="5C8C86F7" w:rsidR="00AE5E1A" w:rsidRPr="00987806" w:rsidDel="00436CBA" w:rsidRDefault="006041E3" w:rsidP="005808FC">
            <w:pPr>
              <w:numPr>
                <w:ilvl w:val="0"/>
                <w:numId w:val="9"/>
              </w:numPr>
              <w:spacing w:after="0" w:line="240" w:lineRule="auto"/>
              <w:ind w:left="482" w:hanging="357"/>
            </w:pPr>
            <w:r w:rsidRPr="00291DF5">
              <w:t xml:space="preserve">Gradski ured za prostorno uređenje, izgradnju Grada, </w:t>
            </w:r>
            <w:r w:rsidRPr="005808FC">
              <w:t>graditeljstvo, komunalne poslove</w:t>
            </w:r>
            <w:r w:rsidR="000509A0">
              <w:t xml:space="preserve"> i </w:t>
            </w:r>
            <w:r w:rsidRPr="00291DF5">
              <w:t>promet</w:t>
            </w:r>
            <w:r w:rsidRPr="005808FC" w:rsidDel="006041E3">
              <w:t xml:space="preserve"> </w:t>
            </w:r>
          </w:p>
        </w:tc>
      </w:tr>
      <w:tr w:rsidR="006041E3" w:rsidRPr="00987806" w:rsidDel="00436CBA" w14:paraId="6226B0B4" w14:textId="77777777" w:rsidTr="005808FC">
        <w:trPr>
          <w:trHeight w:val="227"/>
        </w:trPr>
        <w:tc>
          <w:tcPr>
            <w:tcW w:w="3325" w:type="dxa"/>
            <w:shd w:val="clear" w:color="auto" w:fill="F2DBDB" w:themeFill="accent2" w:themeFillTint="33"/>
          </w:tcPr>
          <w:p w14:paraId="5AE0D923" w14:textId="4B206966" w:rsidR="006041E3" w:rsidRPr="005808FC" w:rsidRDefault="006041E3" w:rsidP="005808FC">
            <w:pPr>
              <w:spacing w:line="240" w:lineRule="auto"/>
              <w:rPr>
                <w:b/>
                <w:bCs/>
              </w:rPr>
            </w:pPr>
            <w:r w:rsidRPr="00291DF5">
              <w:rPr>
                <w:b/>
                <w:bCs/>
              </w:rPr>
              <w:t>Ostali uključeni dionici:</w:t>
            </w:r>
          </w:p>
        </w:tc>
        <w:tc>
          <w:tcPr>
            <w:tcW w:w="5670" w:type="dxa"/>
          </w:tcPr>
          <w:p w14:paraId="68845411" w14:textId="1622A978" w:rsidR="006041E3" w:rsidRDefault="006041E3" w:rsidP="005808FC">
            <w:pPr>
              <w:numPr>
                <w:ilvl w:val="0"/>
                <w:numId w:val="9"/>
              </w:numPr>
              <w:spacing w:after="0" w:line="240" w:lineRule="auto"/>
              <w:ind w:left="482" w:hanging="357"/>
            </w:pPr>
            <w:r w:rsidRPr="00291DF5">
              <w:t>Ministarstvo zaštite okoliša</w:t>
            </w:r>
            <w:r w:rsidR="000509A0">
              <w:t xml:space="preserve"> i </w:t>
            </w:r>
            <w:r w:rsidRPr="00291DF5">
              <w:t>energetike</w:t>
            </w:r>
          </w:p>
          <w:p w14:paraId="7EF6EE73" w14:textId="4ACC1E1C" w:rsidR="006041E3" w:rsidRPr="00987806" w:rsidRDefault="006041E3" w:rsidP="005808FC">
            <w:pPr>
              <w:numPr>
                <w:ilvl w:val="0"/>
                <w:numId w:val="9"/>
              </w:numPr>
              <w:spacing w:after="0" w:line="240" w:lineRule="auto"/>
              <w:ind w:left="482" w:hanging="357"/>
            </w:pPr>
            <w:r w:rsidRPr="00291DF5">
              <w:t>Fond za zaštitu okoliša</w:t>
            </w:r>
            <w:r w:rsidR="000509A0">
              <w:t xml:space="preserve"> i </w:t>
            </w:r>
            <w:r w:rsidRPr="00291DF5">
              <w:t xml:space="preserve">energetsku </w:t>
            </w:r>
            <w:r w:rsidRPr="005808FC">
              <w:t>učinkovitost</w:t>
            </w:r>
          </w:p>
        </w:tc>
      </w:tr>
      <w:tr w:rsidR="00AE5E1A" w:rsidRPr="00987806" w14:paraId="35EC3BA3" w14:textId="77777777" w:rsidTr="005808FC">
        <w:trPr>
          <w:trHeight w:val="227"/>
        </w:trPr>
        <w:tc>
          <w:tcPr>
            <w:tcW w:w="3325" w:type="dxa"/>
            <w:shd w:val="clear" w:color="auto" w:fill="F2DBDB" w:themeFill="accent2" w:themeFillTint="33"/>
          </w:tcPr>
          <w:p w14:paraId="1FE301F5" w14:textId="77777777" w:rsidR="00AE5E1A" w:rsidRPr="005808FC" w:rsidRDefault="00AE5E1A" w:rsidP="005808FC">
            <w:pPr>
              <w:spacing w:line="240" w:lineRule="auto"/>
              <w:rPr>
                <w:b/>
                <w:bCs/>
              </w:rPr>
            </w:pPr>
            <w:r w:rsidRPr="00291DF5">
              <w:rPr>
                <w:b/>
                <w:bCs/>
              </w:rPr>
              <w:t>Početak/kraj provedbe (godine)</w:t>
            </w:r>
          </w:p>
        </w:tc>
        <w:tc>
          <w:tcPr>
            <w:tcW w:w="5670" w:type="dxa"/>
          </w:tcPr>
          <w:p w14:paraId="62CEE320" w14:textId="77777777" w:rsidR="00AE5E1A" w:rsidRPr="005808FC" w:rsidRDefault="00AE5E1A" w:rsidP="005808FC">
            <w:pPr>
              <w:spacing w:line="240" w:lineRule="auto"/>
              <w:rPr>
                <w:rFonts w:eastAsia="Calibri"/>
                <w:b/>
              </w:rPr>
            </w:pPr>
            <w:r w:rsidRPr="005808FC">
              <w:rPr>
                <w:rFonts w:eastAsia="Calibri"/>
                <w:b/>
              </w:rPr>
              <w:t>2021-2025</w:t>
            </w:r>
          </w:p>
        </w:tc>
      </w:tr>
      <w:tr w:rsidR="006041E3" w:rsidRPr="00987806" w14:paraId="7A57E207" w14:textId="77777777" w:rsidTr="005808FC">
        <w:trPr>
          <w:trHeight w:val="227"/>
        </w:trPr>
        <w:tc>
          <w:tcPr>
            <w:tcW w:w="3325" w:type="dxa"/>
            <w:shd w:val="clear" w:color="auto" w:fill="F2DBDB" w:themeFill="accent2" w:themeFillTint="33"/>
          </w:tcPr>
          <w:p w14:paraId="1D965E65" w14:textId="18870F5F" w:rsidR="006041E3" w:rsidRPr="005808FC" w:rsidRDefault="006041E3" w:rsidP="005808FC">
            <w:pPr>
              <w:spacing w:line="240" w:lineRule="auto"/>
              <w:rPr>
                <w:b/>
                <w:bCs/>
              </w:rPr>
            </w:pPr>
            <w:r w:rsidRPr="00291DF5">
              <w:rPr>
                <w:b/>
                <w:bCs/>
              </w:rPr>
              <w:t>Procjena troškova (jedinična ili ukupna po mjeri)</w:t>
            </w:r>
          </w:p>
        </w:tc>
        <w:tc>
          <w:tcPr>
            <w:tcW w:w="5670" w:type="dxa"/>
          </w:tcPr>
          <w:p w14:paraId="2CB01665" w14:textId="4F81B2F2" w:rsidR="006041E3" w:rsidRPr="005808FC" w:rsidRDefault="006041E3" w:rsidP="005808FC">
            <w:pPr>
              <w:spacing w:line="240" w:lineRule="auto"/>
              <w:rPr>
                <w:rFonts w:eastAsia="Calibri"/>
                <w:b/>
                <w:bCs/>
              </w:rPr>
            </w:pPr>
            <w:r w:rsidRPr="005808FC">
              <w:rPr>
                <w:rFonts w:eastAsia="Calibri"/>
                <w:b/>
                <w:bCs/>
              </w:rPr>
              <w:t>350.000</w:t>
            </w:r>
          </w:p>
        </w:tc>
      </w:tr>
      <w:tr w:rsidR="00AE5E1A" w:rsidRPr="00987806" w14:paraId="09D8288E" w14:textId="77777777" w:rsidTr="005808FC">
        <w:trPr>
          <w:trHeight w:val="227"/>
        </w:trPr>
        <w:tc>
          <w:tcPr>
            <w:tcW w:w="3325" w:type="dxa"/>
            <w:shd w:val="clear" w:color="auto" w:fill="F2DBDB" w:themeFill="accent2" w:themeFillTint="33"/>
          </w:tcPr>
          <w:p w14:paraId="5D49665A" w14:textId="77777777" w:rsidR="00AE5E1A" w:rsidRPr="005808FC" w:rsidRDefault="00AE5E1A" w:rsidP="005808FC">
            <w:pPr>
              <w:spacing w:line="240" w:lineRule="auto"/>
              <w:rPr>
                <w:b/>
                <w:bCs/>
              </w:rPr>
            </w:pPr>
            <w:r w:rsidRPr="00291DF5">
              <w:rPr>
                <w:b/>
                <w:bCs/>
              </w:rPr>
              <w:t>Izvor sredstava za provedbu</w:t>
            </w:r>
          </w:p>
        </w:tc>
        <w:tc>
          <w:tcPr>
            <w:tcW w:w="5670" w:type="dxa"/>
          </w:tcPr>
          <w:p w14:paraId="63E86C40" w14:textId="77777777" w:rsidR="00AE5E1A" w:rsidRPr="00987806" w:rsidRDefault="00AE5E1A" w:rsidP="005808FC">
            <w:pPr>
              <w:numPr>
                <w:ilvl w:val="0"/>
                <w:numId w:val="9"/>
              </w:numPr>
              <w:spacing w:after="0" w:line="240" w:lineRule="auto"/>
              <w:ind w:left="482" w:hanging="357"/>
            </w:pPr>
            <w:r w:rsidRPr="00291DF5">
              <w:t>Proračun grada Zagreba</w:t>
            </w:r>
          </w:p>
          <w:p w14:paraId="668DC01E" w14:textId="77777777" w:rsidR="00AE5E1A" w:rsidRPr="00987806" w:rsidRDefault="00AE5E1A" w:rsidP="005808FC">
            <w:pPr>
              <w:numPr>
                <w:ilvl w:val="0"/>
                <w:numId w:val="9"/>
              </w:numPr>
              <w:spacing w:after="0" w:line="240" w:lineRule="auto"/>
              <w:ind w:left="482" w:hanging="357"/>
            </w:pPr>
            <w:r w:rsidRPr="00291DF5">
              <w:t>Državni proračun</w:t>
            </w:r>
          </w:p>
          <w:p w14:paraId="7CCF485D" w14:textId="77777777" w:rsidR="00C42B1B" w:rsidRPr="003D373D" w:rsidRDefault="00C42B1B" w:rsidP="00C42B1B">
            <w:pPr>
              <w:numPr>
                <w:ilvl w:val="0"/>
                <w:numId w:val="9"/>
              </w:numPr>
              <w:spacing w:after="0"/>
              <w:ind w:left="482" w:hanging="357"/>
              <w:jc w:val="left"/>
            </w:pPr>
            <w:r>
              <w:t>Europski strukturni i investicijski fondovi</w:t>
            </w:r>
          </w:p>
          <w:p w14:paraId="74E17F28" w14:textId="77777777" w:rsidR="00AE5E1A" w:rsidRPr="00987806" w:rsidRDefault="00AE5E1A" w:rsidP="005808FC">
            <w:pPr>
              <w:numPr>
                <w:ilvl w:val="0"/>
                <w:numId w:val="9"/>
              </w:numPr>
              <w:spacing w:after="0" w:line="240" w:lineRule="auto"/>
              <w:ind w:left="482" w:hanging="357"/>
            </w:pPr>
            <w:r w:rsidRPr="00291DF5">
              <w:t>Financijska sredstva obrazovno-edukacijskih ustanova</w:t>
            </w:r>
          </w:p>
        </w:tc>
      </w:tr>
      <w:tr w:rsidR="00AE5E1A" w:rsidRPr="00987806" w14:paraId="3DCC0380" w14:textId="77777777" w:rsidTr="005808FC">
        <w:trPr>
          <w:trHeight w:val="620"/>
        </w:trPr>
        <w:tc>
          <w:tcPr>
            <w:tcW w:w="3325" w:type="dxa"/>
            <w:shd w:val="clear" w:color="auto" w:fill="F2DBDB" w:themeFill="accent2" w:themeFillTint="33"/>
          </w:tcPr>
          <w:p w14:paraId="369FAC2B" w14:textId="77777777" w:rsidR="00AE5E1A" w:rsidRPr="005808FC" w:rsidRDefault="00AE5E1A" w:rsidP="005808FC">
            <w:pPr>
              <w:spacing w:line="240" w:lineRule="auto"/>
              <w:rPr>
                <w:b/>
                <w:bCs/>
              </w:rPr>
            </w:pPr>
            <w:r w:rsidRPr="00291DF5">
              <w:rPr>
                <w:b/>
                <w:bCs/>
              </w:rPr>
              <w:t xml:space="preserve">Kratki </w:t>
            </w:r>
            <w:r w:rsidRPr="005808FC">
              <w:rPr>
                <w:b/>
                <w:bCs/>
              </w:rPr>
              <w:t>opis/komentar</w:t>
            </w:r>
          </w:p>
        </w:tc>
        <w:tc>
          <w:tcPr>
            <w:tcW w:w="5670" w:type="dxa"/>
          </w:tcPr>
          <w:p w14:paraId="79CFEE23" w14:textId="13ABF6E2"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Razvoj edukacijskih materijala dostupnih javnosti putem portala ''MojZagreb''</w:t>
            </w:r>
            <w:r w:rsidR="000509A0">
              <w:rPr>
                <w:shd w:val="clear" w:color="auto" w:fill="FFFFFF"/>
              </w:rPr>
              <w:t xml:space="preserve"> i </w:t>
            </w:r>
            <w:r w:rsidRPr="00291DF5">
              <w:rPr>
                <w:shd w:val="clear" w:color="auto" w:fill="FFFFFF"/>
              </w:rPr>
              <w:t>pratećih promotivnih kampanji kako bi se popularizirao korištenje portala.</w:t>
            </w:r>
          </w:p>
          <w:p w14:paraId="1293E14F" w14:textId="1971867B"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Portal ''Moj Zagreb'' je</w:t>
            </w:r>
            <w:r w:rsidR="00B25B9E" w:rsidRPr="005808FC">
              <w:rPr>
                <w:shd w:val="clear" w:color="auto" w:fill="FFFFFF"/>
              </w:rPr>
              <w:t xml:space="preserve"> </w:t>
            </w:r>
            <w:r w:rsidRPr="005808FC">
              <w:rPr>
                <w:shd w:val="clear" w:color="auto" w:fill="FFFFFF"/>
              </w:rPr>
              <w:t>centralno mjesto pristupa svim e-uslugama koje Grad Zagreb stavlja na raspolaganje gra</w:t>
            </w:r>
            <w:r w:rsidRPr="005808FC">
              <w:rPr>
                <w:rFonts w:hint="eastAsia"/>
                <w:shd w:val="clear" w:color="auto" w:fill="FFFFFF"/>
              </w:rPr>
              <w:t>đ</w:t>
            </w:r>
            <w:r w:rsidRPr="005808FC">
              <w:rPr>
                <w:shd w:val="clear" w:color="auto" w:fill="FFFFFF"/>
              </w:rPr>
              <w:t>anima. Osmišljen je kao glavna digitalna informacijska točka namijenjena olakšavanju komunikacije građana</w:t>
            </w:r>
            <w:r w:rsidR="000509A0">
              <w:rPr>
                <w:shd w:val="clear" w:color="auto" w:fill="FFFFFF"/>
              </w:rPr>
              <w:t xml:space="preserve"> i </w:t>
            </w:r>
            <w:r w:rsidRPr="00291DF5">
              <w:rPr>
                <w:shd w:val="clear" w:color="auto" w:fill="FFFFFF"/>
              </w:rPr>
              <w:t xml:space="preserve">komunalnog redarstva. U tom smislu, portal ''MojZagreb'' predstavlja potencijal za </w:t>
            </w:r>
            <w:r w:rsidR="006041E3" w:rsidRPr="00291DF5">
              <w:rPr>
                <w:shd w:val="clear" w:color="auto" w:fill="FFFFFF"/>
              </w:rPr>
              <w:t>diseminacijsko edukacijske aktivnosti iz područja prilagodbe učinc</w:t>
            </w:r>
            <w:r w:rsidR="006041E3" w:rsidRPr="005808FC">
              <w:rPr>
                <w:shd w:val="clear" w:color="auto" w:fill="FFFFFF"/>
              </w:rPr>
              <w:t>ima klimatskih promjena.</w:t>
            </w:r>
            <w:r w:rsidRPr="005808FC">
              <w:rPr>
                <w:shd w:val="clear" w:color="auto" w:fill="FFFFFF"/>
              </w:rPr>
              <w:t xml:space="preserve"> </w:t>
            </w:r>
          </w:p>
          <w:p w14:paraId="43936CE0" w14:textId="30C50643" w:rsidR="00AE5E1A" w:rsidRPr="005808FC" w:rsidRDefault="006041E3" w:rsidP="005808FC">
            <w:pPr>
              <w:autoSpaceDE w:val="0"/>
              <w:autoSpaceDN w:val="0"/>
              <w:adjustRightInd w:val="0"/>
              <w:spacing w:line="240" w:lineRule="auto"/>
              <w:rPr>
                <w:shd w:val="clear" w:color="auto" w:fill="FFFFFF"/>
              </w:rPr>
            </w:pPr>
            <w:r w:rsidRPr="00291DF5">
              <w:rPr>
                <w:shd w:val="clear" w:color="auto" w:fill="FFFFFF"/>
              </w:rPr>
              <w:t>O</w:t>
            </w:r>
            <w:r w:rsidR="00AE5E1A" w:rsidRPr="005808FC">
              <w:rPr>
                <w:shd w:val="clear" w:color="auto" w:fill="FFFFFF"/>
              </w:rPr>
              <w:t xml:space="preserve">va mjera preklapa </w:t>
            </w:r>
            <w:r w:rsidRPr="005808FC">
              <w:rPr>
                <w:shd w:val="clear" w:color="auto" w:fill="FFFFFF"/>
              </w:rPr>
              <w:t>se</w:t>
            </w:r>
            <w:r w:rsidR="00F131D7">
              <w:rPr>
                <w:shd w:val="clear" w:color="auto" w:fill="FFFFFF"/>
              </w:rPr>
              <w:t xml:space="preserve"> i</w:t>
            </w:r>
            <w:r w:rsidR="00AE5E1A" w:rsidRPr="00291DF5">
              <w:rPr>
                <w:shd w:val="clear" w:color="auto" w:fill="FFFFFF"/>
              </w:rPr>
              <w:t xml:space="preserve"> pruža sinergijski učinak s mjer</w:t>
            </w:r>
            <w:r w:rsidR="007144E2" w:rsidRPr="005808FC">
              <w:rPr>
                <w:shd w:val="clear" w:color="auto" w:fill="FFFFFF"/>
              </w:rPr>
              <w:t>a</w:t>
            </w:r>
            <w:r w:rsidR="00AE5E1A" w:rsidRPr="005808FC">
              <w:rPr>
                <w:shd w:val="clear" w:color="auto" w:fill="FFFFFF"/>
              </w:rPr>
              <w:t>m</w:t>
            </w:r>
            <w:r w:rsidR="007144E2" w:rsidRPr="005808FC">
              <w:rPr>
                <w:shd w:val="clear" w:color="auto" w:fill="FFFFFF"/>
              </w:rPr>
              <w:t>a 1, 2</w:t>
            </w:r>
            <w:r w:rsidR="000509A0">
              <w:rPr>
                <w:shd w:val="clear" w:color="auto" w:fill="FFFFFF"/>
              </w:rPr>
              <w:t xml:space="preserve"> i </w:t>
            </w:r>
            <w:r w:rsidR="007144E2" w:rsidRPr="00291DF5">
              <w:rPr>
                <w:shd w:val="clear" w:color="auto" w:fill="FFFFFF"/>
              </w:rPr>
              <w:t xml:space="preserve">3 </w:t>
            </w:r>
            <w:r w:rsidR="00AE5E1A" w:rsidRPr="005808FC">
              <w:rPr>
                <w:shd w:val="clear" w:color="auto" w:fill="FFFFFF"/>
              </w:rPr>
              <w:t>iznesenom u poglavlju Ublažavanja učinaka klimatskih promjena.</w:t>
            </w:r>
          </w:p>
          <w:p w14:paraId="58E533ED" w14:textId="33794F52" w:rsidR="00AE5E1A" w:rsidRPr="00987806" w:rsidRDefault="00AE5E1A" w:rsidP="00D94C49">
            <w:pPr>
              <w:autoSpaceDE w:val="0"/>
              <w:autoSpaceDN w:val="0"/>
              <w:adjustRightInd w:val="0"/>
              <w:spacing w:line="240" w:lineRule="auto"/>
              <w:rPr>
                <w:rFonts w:cstheme="minorHAnsi"/>
                <w:shd w:val="clear" w:color="auto" w:fill="FFFFFF"/>
              </w:rPr>
            </w:pPr>
            <w:r w:rsidRPr="00291DF5">
              <w:rPr>
                <w:shd w:val="clear" w:color="auto" w:fill="FFFFFF"/>
              </w:rPr>
              <w:t>U pogledu prilagodbe klimatskim promjenama</w:t>
            </w:r>
            <w:r w:rsidR="000509A0">
              <w:rPr>
                <w:shd w:val="clear" w:color="auto" w:fill="FFFFFF"/>
              </w:rPr>
              <w:t xml:space="preserve"> i </w:t>
            </w:r>
            <w:r w:rsidRPr="00291DF5">
              <w:rPr>
                <w:shd w:val="clear" w:color="auto" w:fill="FFFFFF"/>
              </w:rPr>
              <w:t xml:space="preserve">u vidu ove mjere, portal ''MojZagreb'' </w:t>
            </w:r>
            <w:r w:rsidRPr="005808FC">
              <w:rPr>
                <w:shd w:val="clear" w:color="auto" w:fill="FFFFFF"/>
              </w:rPr>
              <w:t>potrebno je razviti</w:t>
            </w:r>
            <w:r w:rsidR="000509A0">
              <w:rPr>
                <w:shd w:val="clear" w:color="auto" w:fill="FFFFFF"/>
              </w:rPr>
              <w:t xml:space="preserve"> i </w:t>
            </w:r>
            <w:r w:rsidRPr="00291DF5">
              <w:rPr>
                <w:shd w:val="clear" w:color="auto" w:fill="FFFFFF"/>
              </w:rPr>
              <w:t xml:space="preserve">unaprijediti te </w:t>
            </w:r>
            <w:r w:rsidRPr="00291DF5">
              <w:rPr>
                <w:shd w:val="clear" w:color="auto" w:fill="FFFFFF"/>
              </w:rPr>
              <w:lastRenderedPageBreak/>
              <w:t>izraditi povezanu mobilnu aplikaciju koja će uz sve postojeće alate omogućiti:</w:t>
            </w:r>
          </w:p>
          <w:p w14:paraId="6C05F45F" w14:textId="0A40AD6B" w:rsidR="00AE5E1A" w:rsidRPr="00D94C49"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informiranje o stanju klimatskih parametara</w:t>
            </w:r>
            <w:r w:rsidR="000509A0">
              <w:rPr>
                <w:shd w:val="clear" w:color="auto" w:fill="FFFFFF"/>
              </w:rPr>
              <w:t>;</w:t>
            </w:r>
          </w:p>
          <w:p w14:paraId="3B7CC238" w14:textId="282BF498" w:rsidR="00AE5E1A" w:rsidRPr="00D94C49"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informiranje o pojavi ekstremnih klimatskih uvjeta</w:t>
            </w:r>
            <w:r w:rsidR="000509A0">
              <w:rPr>
                <w:shd w:val="clear" w:color="auto" w:fill="FFFFFF"/>
              </w:rPr>
              <w:t>;</w:t>
            </w:r>
          </w:p>
          <w:p w14:paraId="3C33B2CA" w14:textId="39533D7E" w:rsidR="00AE5E1A" w:rsidRPr="00D94C49"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signaliziranje lokacije pojave ekstremn</w:t>
            </w:r>
            <w:r w:rsidRPr="005808FC">
              <w:rPr>
                <w:shd w:val="clear" w:color="auto" w:fill="FFFFFF"/>
              </w:rPr>
              <w:t>ih klimatskih uvjeta na digitalnim kartama grada koje su već dostupne putem portala</w:t>
            </w:r>
            <w:r w:rsidR="000509A0">
              <w:rPr>
                <w:shd w:val="clear" w:color="auto" w:fill="FFFFFF"/>
              </w:rPr>
              <w:t>;</w:t>
            </w:r>
          </w:p>
          <w:p w14:paraId="265EBE0F" w14:textId="4FE4CBB0" w:rsidR="00AE5E1A" w:rsidRPr="00D94C49"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integriranje Ekokarte Zagreba</w:t>
            </w:r>
            <w:r w:rsidR="000509A0">
              <w:rPr>
                <w:shd w:val="clear" w:color="auto" w:fill="FFFFFF"/>
              </w:rPr>
              <w:t xml:space="preserve"> i </w:t>
            </w:r>
            <w:r w:rsidRPr="00291DF5">
              <w:rPr>
                <w:shd w:val="clear" w:color="auto" w:fill="FFFFFF"/>
              </w:rPr>
              <w:t>informacija prikupljenih od Nastavnog zavoda za javno zdravstvo dr. Andrija Štampar</w:t>
            </w:r>
            <w:r w:rsidR="00B25B9E" w:rsidRPr="005808FC">
              <w:rPr>
                <w:shd w:val="clear" w:color="auto" w:fill="FFFFFF"/>
              </w:rPr>
              <w:t xml:space="preserve"> </w:t>
            </w:r>
            <w:r w:rsidRPr="005808FC">
              <w:rPr>
                <w:shd w:val="clear" w:color="auto" w:fill="FFFFFF"/>
              </w:rPr>
              <w:t>u portal MojZagreb (</w:t>
            </w:r>
            <w:hyperlink r:id="rId46" w:history="1">
              <w:r w:rsidRPr="005808FC">
                <w:rPr>
                  <w:rStyle w:val="Hyperlink"/>
                  <w:shd w:val="clear" w:color="auto" w:fill="FFFFFF"/>
                </w:rPr>
                <w:t>https://ekokartazagreb.stampar.hr/</w:t>
              </w:r>
            </w:hyperlink>
            <w:r w:rsidRPr="00291DF5">
              <w:rPr>
                <w:shd w:val="clear" w:color="auto" w:fill="FFFFFF"/>
              </w:rPr>
              <w:t>)</w:t>
            </w:r>
            <w:r w:rsidR="000509A0">
              <w:rPr>
                <w:shd w:val="clear" w:color="auto" w:fill="FFFFFF"/>
              </w:rPr>
              <w:t>;</w:t>
            </w:r>
          </w:p>
          <w:p w14:paraId="5502A86A" w14:textId="1767030B" w:rsidR="000509A0" w:rsidRPr="000509A0"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alarmiranje u vidu obavijesti putem mobilne aplikacije prilikom pojave: ekstremnih klimatskih uvjeta, prognoze ekstremnih uvjeta unutar tjedan dana, promjene kakvoće zraka, promjene kakvoće vode, poja</w:t>
            </w:r>
            <w:r w:rsidRPr="005808FC">
              <w:rPr>
                <w:shd w:val="clear" w:color="auto" w:fill="FFFFFF"/>
              </w:rPr>
              <w:t>vu visokih koncentracija peludi</w:t>
            </w:r>
            <w:r w:rsidR="000509A0">
              <w:rPr>
                <w:shd w:val="clear" w:color="auto" w:fill="FFFFFF"/>
              </w:rPr>
              <w:t>;</w:t>
            </w:r>
          </w:p>
          <w:p w14:paraId="005AFDEC" w14:textId="616F9951" w:rsidR="00AE5E1A" w:rsidRPr="00D94C49" w:rsidRDefault="00AE5E1A" w:rsidP="005808FC">
            <w:pPr>
              <w:pStyle w:val="ListParagraph"/>
              <w:numPr>
                <w:ilvl w:val="0"/>
                <w:numId w:val="83"/>
              </w:numPr>
              <w:autoSpaceDE w:val="0"/>
              <w:autoSpaceDN w:val="0"/>
              <w:adjustRightInd w:val="0"/>
              <w:spacing w:after="0" w:line="240" w:lineRule="auto"/>
              <w:rPr>
                <w:shd w:val="clear" w:color="auto" w:fill="FFFFFF"/>
              </w:rPr>
            </w:pPr>
            <w:r w:rsidRPr="00291DF5">
              <w:rPr>
                <w:shd w:val="clear" w:color="auto" w:fill="FFFFFF"/>
              </w:rPr>
              <w:t>savjetovanje građana o pitanjima iz područja prilagodbe klimatskim promjenama (one stop shop informacijska usluga)</w:t>
            </w:r>
            <w:r w:rsidR="000509A0">
              <w:rPr>
                <w:shd w:val="clear" w:color="auto" w:fill="FFFFFF"/>
              </w:rPr>
              <w:t>.</w:t>
            </w:r>
          </w:p>
        </w:tc>
      </w:tr>
    </w:tbl>
    <w:p w14:paraId="01FF0B8D" w14:textId="77777777" w:rsidR="00AE5E1A" w:rsidRPr="00987806" w:rsidRDefault="00AE5E1A" w:rsidP="00AE5E1A"/>
    <w:p w14:paraId="699DAF89" w14:textId="77777777" w:rsidR="00DB5F1C" w:rsidRPr="00922031" w:rsidRDefault="00DB5F1C" w:rsidP="00975CD4">
      <w:pPr>
        <w:rPr>
          <w:rFonts w:cstheme="minorHAnsi"/>
        </w:rPr>
      </w:pPr>
      <w:r w:rsidRPr="00922031">
        <w:rPr>
          <w:rFonts w:cstheme="minorHAnsi"/>
        </w:rPr>
        <w:br w:type="page"/>
      </w:r>
    </w:p>
    <w:p w14:paraId="61641D5E" w14:textId="51135DE4" w:rsidR="002D10B4" w:rsidRPr="00922031" w:rsidRDefault="002D10B4" w:rsidP="00F5641B">
      <w:pPr>
        <w:pStyle w:val="Heading1"/>
        <w:rPr>
          <w:lang w:eastAsia="hr-HR"/>
        </w:rPr>
      </w:pPr>
      <w:bookmarkStart w:id="273" w:name="_Toc251920811"/>
      <w:bookmarkStart w:id="274" w:name="_Toc4156119"/>
      <w:r w:rsidRPr="00922031">
        <w:rPr>
          <w:lang w:eastAsia="hr-HR"/>
        </w:rPr>
        <w:lastRenderedPageBreak/>
        <w:t>PROCJENA SMANJENJA EMISIJA CO</w:t>
      </w:r>
      <w:r w:rsidRPr="00922031">
        <w:rPr>
          <w:vertAlign w:val="subscript"/>
          <w:lang w:eastAsia="hr-HR"/>
        </w:rPr>
        <w:t>2</w:t>
      </w:r>
      <w:r w:rsidRPr="00922031">
        <w:rPr>
          <w:lang w:eastAsia="hr-HR"/>
        </w:rPr>
        <w:t xml:space="preserve"> ZA IDENTIFICIRANE MJERE DO 20</w:t>
      </w:r>
      <w:r w:rsidR="0061313F">
        <w:rPr>
          <w:lang w:eastAsia="hr-HR"/>
        </w:rPr>
        <w:t>3</w:t>
      </w:r>
      <w:r w:rsidRPr="00922031">
        <w:rPr>
          <w:lang w:eastAsia="hr-HR"/>
        </w:rPr>
        <w:t>0. GODINE</w:t>
      </w:r>
      <w:bookmarkEnd w:id="273"/>
      <w:bookmarkEnd w:id="274"/>
    </w:p>
    <w:p w14:paraId="58C78FFD" w14:textId="77777777" w:rsidR="002D10B4" w:rsidRPr="00922031" w:rsidRDefault="002D10B4" w:rsidP="00975CD4">
      <w:pPr>
        <w:rPr>
          <w:rFonts w:cstheme="minorHAnsi"/>
          <w:lang w:eastAsia="hr-HR"/>
        </w:rPr>
      </w:pPr>
    </w:p>
    <w:p w14:paraId="607229A5" w14:textId="77777777" w:rsidR="00D21C4A" w:rsidRPr="00922031" w:rsidRDefault="00D21C4A" w:rsidP="4BE8BCBF">
      <w:pPr>
        <w:pStyle w:val="Heading2"/>
      </w:pPr>
      <w:bookmarkStart w:id="275" w:name="_Toc4156120"/>
      <w:bookmarkStart w:id="276" w:name="_Toc251161153"/>
      <w:bookmarkStart w:id="277" w:name="_Toc251920812"/>
      <w:r w:rsidRPr="00922031">
        <w:t>Uvodna razmatranja</w:t>
      </w:r>
      <w:bookmarkEnd w:id="275"/>
    </w:p>
    <w:p w14:paraId="16B47B7B" w14:textId="77777777" w:rsidR="00D21C4A" w:rsidRPr="00922031" w:rsidRDefault="00D21C4A" w:rsidP="005808FC">
      <w:pPr>
        <w:spacing w:after="0"/>
      </w:pPr>
      <w:r w:rsidRPr="00291DF5">
        <w:t xml:space="preserve">Za </w:t>
      </w:r>
      <w:r w:rsidRPr="005808FC">
        <w:t>potrebe procjene smanjenja emisija CO</w:t>
      </w:r>
      <w:r w:rsidRPr="005808FC">
        <w:rPr>
          <w:vertAlign w:val="subscript"/>
        </w:rPr>
        <w:t>2</w:t>
      </w:r>
      <w:r w:rsidRPr="005808FC">
        <w:t xml:space="preserve"> do 2030. godine za identificirane mjere energetske učinkovitosti za sektore zgradarstva, prometa</w:t>
      </w:r>
      <w:r w:rsidR="000509A0">
        <w:t xml:space="preserve"> i </w:t>
      </w:r>
      <w:r w:rsidRPr="00291DF5">
        <w:t xml:space="preserve">javne rasvjete u Gradu Zagrebu prikazane u prošlom poglavlju izrađene su projekcije kretanja energetskih </w:t>
      </w:r>
      <w:r w:rsidRPr="005808FC">
        <w:t>potrošnji</w:t>
      </w:r>
      <w:r w:rsidR="000509A0">
        <w:t xml:space="preserve"> i </w:t>
      </w:r>
      <w:r w:rsidRPr="00291DF5">
        <w:t xml:space="preserve">emisija do 2030. godine za dva scenarija: </w:t>
      </w:r>
      <w:r w:rsidRPr="005808FC">
        <w:rPr>
          <w:i/>
          <w:iCs/>
        </w:rPr>
        <w:t>scenarij bez mjera</w:t>
      </w:r>
      <w:r w:rsidR="000509A0">
        <w:t xml:space="preserve"> i </w:t>
      </w:r>
      <w:r w:rsidRPr="00291DF5">
        <w:rPr>
          <w:i/>
          <w:iCs/>
        </w:rPr>
        <w:t>scenarij s mjerama</w:t>
      </w:r>
      <w:r w:rsidRPr="005808FC">
        <w:t>.</w:t>
      </w:r>
    </w:p>
    <w:p w14:paraId="24F1DDAD" w14:textId="77777777" w:rsidR="00D21C4A" w:rsidRPr="00922031" w:rsidRDefault="00D21C4A" w:rsidP="00D21C4A">
      <w:pPr>
        <w:spacing w:after="0"/>
        <w:rPr>
          <w:rFonts w:cstheme="minorHAnsi"/>
        </w:rPr>
      </w:pPr>
    </w:p>
    <w:p w14:paraId="6DD1EDF7" w14:textId="77777777" w:rsidR="00D21C4A" w:rsidRDefault="00D21C4A" w:rsidP="005808FC">
      <w:pPr>
        <w:spacing w:after="0"/>
      </w:pPr>
      <w:r w:rsidRPr="00291DF5">
        <w:t>Za izradu scenarija korišten je softverski alat LEAP prema metodologiji opisanom u poglavlju 3. Metodologija te su prilikom izrade scenarija uvedene pretpostavk</w:t>
      </w:r>
      <w:r w:rsidRPr="005808FC">
        <w:t>e, koje su iznesene</w:t>
      </w:r>
      <w:r w:rsidR="000509A0">
        <w:t xml:space="preserve"> i </w:t>
      </w:r>
      <w:r w:rsidRPr="00291DF5">
        <w:t xml:space="preserve">obrazložene u </w:t>
      </w:r>
      <w:r w:rsidRPr="005808FC">
        <w:rPr>
          <w:i/>
          <w:iCs/>
        </w:rPr>
        <w:t>Prilogu 3- Pretpostavke korištene kod modeliranja scenarija za SECAP Grada Zagreba do 2030. godine.</w:t>
      </w:r>
    </w:p>
    <w:p w14:paraId="29A31ECF" w14:textId="77777777" w:rsidR="00D21C4A" w:rsidRDefault="00D21C4A" w:rsidP="00D21C4A">
      <w:pPr>
        <w:spacing w:after="0"/>
        <w:rPr>
          <w:rFonts w:cstheme="minorHAnsi"/>
        </w:rPr>
      </w:pPr>
    </w:p>
    <w:p w14:paraId="71E1AB43" w14:textId="725CC3D1" w:rsidR="00D21C4A" w:rsidRPr="00922031" w:rsidRDefault="00D21C4A" w:rsidP="005808FC">
      <w:pPr>
        <w:spacing w:after="0"/>
      </w:pPr>
      <w:r w:rsidRPr="00291DF5">
        <w:t xml:space="preserve">Scenarij bez mjera je temeljni scenarij (engl. </w:t>
      </w:r>
      <w:r w:rsidR="00D05D04" w:rsidRPr="005808FC">
        <w:rPr>
          <w:i/>
          <w:iCs/>
        </w:rPr>
        <w:t>B</w:t>
      </w:r>
      <w:r w:rsidRPr="005808FC">
        <w:rPr>
          <w:i/>
          <w:iCs/>
        </w:rPr>
        <w:t>usiness as usual</w:t>
      </w:r>
      <w:r w:rsidRPr="005808FC">
        <w:t>) koji pretpostavlja porast energetske potrošnje prepuštene tržišnim kretanjima</w:t>
      </w:r>
      <w:r w:rsidR="000509A0">
        <w:t xml:space="preserve"> i </w:t>
      </w:r>
      <w:r w:rsidRPr="00291DF5">
        <w:t xml:space="preserve">navikama potrošača, bez sustavne provedbe mjera energetske učinkovitosti, ali uz pretpostavku uobičajene primjene novih, tehnološki naprednijih proizvoda kako se tijekom vremena pojavljuju na tržištu. </w:t>
      </w:r>
    </w:p>
    <w:p w14:paraId="79740ECA" w14:textId="77777777" w:rsidR="00D21C4A" w:rsidRPr="00922031" w:rsidRDefault="00D21C4A" w:rsidP="00D21C4A">
      <w:pPr>
        <w:spacing w:after="0"/>
        <w:rPr>
          <w:rFonts w:cstheme="minorHAnsi"/>
        </w:rPr>
      </w:pPr>
    </w:p>
    <w:p w14:paraId="7468597C" w14:textId="77777777" w:rsidR="00D21C4A" w:rsidRDefault="00D21C4A" w:rsidP="005808FC">
      <w:pPr>
        <w:spacing w:after="0"/>
      </w:pPr>
      <w:r w:rsidRPr="00291DF5">
        <w:t>Scenarij s mjeram</w:t>
      </w:r>
      <w:r w:rsidRPr="005808FC">
        <w:t>a pretpostavlja smanjenje energetskih potrošnji</w:t>
      </w:r>
      <w:r w:rsidR="000509A0">
        <w:t xml:space="preserve"> i </w:t>
      </w:r>
      <w:r w:rsidRPr="00291DF5">
        <w:t>pripadajućih emisija CO</w:t>
      </w:r>
      <w:r w:rsidRPr="005808FC">
        <w:rPr>
          <w:vertAlign w:val="subscript"/>
        </w:rPr>
        <w:t>2</w:t>
      </w:r>
      <w:r w:rsidRPr="005808FC">
        <w:t xml:space="preserve"> do 2030. godine provedbom identificiranih mjera ublažavanja učinaka klimatskih promjena te prilagodbe klimatskim promjenama.</w:t>
      </w:r>
    </w:p>
    <w:p w14:paraId="623DDEDC" w14:textId="77777777" w:rsidR="00D21C4A" w:rsidRPr="00922031" w:rsidRDefault="00D21C4A" w:rsidP="00D21C4A">
      <w:pPr>
        <w:spacing w:after="0"/>
        <w:rPr>
          <w:rFonts w:cstheme="minorHAnsi"/>
        </w:rPr>
      </w:pPr>
    </w:p>
    <w:p w14:paraId="7A9B7EA7" w14:textId="77777777" w:rsidR="00D21C4A" w:rsidRPr="00FC7E9A" w:rsidRDefault="00D21C4A" w:rsidP="005808FC">
      <w:pPr>
        <w:spacing w:after="0"/>
      </w:pPr>
      <w:r w:rsidRPr="00291DF5">
        <w:t>Razrada projekcija emisija CO</w:t>
      </w:r>
      <w:r w:rsidRPr="005808FC">
        <w:rPr>
          <w:vertAlign w:val="subscript"/>
        </w:rPr>
        <w:t>2</w:t>
      </w:r>
      <w:r w:rsidRPr="005808FC">
        <w:t xml:space="preserve"> po sektorima nalazi se u </w:t>
      </w:r>
      <w:r w:rsidRPr="005808FC">
        <w:rPr>
          <w:i/>
          <w:iCs/>
        </w:rPr>
        <w:t>Prilogu 9. – Procjena smanjenja emisija CO</w:t>
      </w:r>
      <w:r w:rsidRPr="005808FC">
        <w:rPr>
          <w:i/>
          <w:iCs/>
          <w:vertAlign w:val="subscript"/>
        </w:rPr>
        <w:t>2</w:t>
      </w:r>
      <w:r w:rsidRPr="005808FC">
        <w:rPr>
          <w:i/>
          <w:iCs/>
        </w:rPr>
        <w:t xml:space="preserve"> za identificirane mjere do 2030. godine po sektorima</w:t>
      </w:r>
      <w:r w:rsidRPr="005808FC">
        <w:t>, a u nastavku ovog poglavlja je dan ukupni prikaz projekcija emisija CO</w:t>
      </w:r>
      <w:r w:rsidRPr="005808FC">
        <w:rPr>
          <w:vertAlign w:val="subscript"/>
        </w:rPr>
        <w:t>2</w:t>
      </w:r>
      <w:r w:rsidRPr="005808FC">
        <w:t xml:space="preserve"> kao sumarni prikaz projekcija po sektorima.</w:t>
      </w:r>
    </w:p>
    <w:p w14:paraId="3A56B99D" w14:textId="77777777" w:rsidR="00D21C4A" w:rsidRPr="00922031" w:rsidRDefault="00D21C4A" w:rsidP="00D21C4A">
      <w:pPr>
        <w:rPr>
          <w:rFonts w:cstheme="minorHAnsi"/>
        </w:rPr>
      </w:pPr>
    </w:p>
    <w:p w14:paraId="2C1B9A12" w14:textId="77777777" w:rsidR="00D21C4A" w:rsidRPr="00922031" w:rsidRDefault="00D21C4A" w:rsidP="4BE8BCBF">
      <w:pPr>
        <w:pStyle w:val="Heading2"/>
      </w:pPr>
      <w:bookmarkStart w:id="278" w:name="_Toc4156121"/>
      <w:r w:rsidRPr="00922031">
        <w:t>Ukupne projekcije emisije CO</w:t>
      </w:r>
      <w:r w:rsidRPr="00922031">
        <w:rPr>
          <w:vertAlign w:val="subscript"/>
        </w:rPr>
        <w:t>2</w:t>
      </w:r>
      <w:bookmarkEnd w:id="278"/>
      <w:r w:rsidRPr="00922031">
        <w:t xml:space="preserve"> </w:t>
      </w:r>
    </w:p>
    <w:p w14:paraId="39F27CCE" w14:textId="77777777" w:rsidR="00D21C4A" w:rsidRPr="00922031" w:rsidRDefault="00D21C4A" w:rsidP="005808FC">
      <w:pPr>
        <w:spacing w:after="0"/>
      </w:pPr>
      <w:r w:rsidRPr="00291DF5">
        <w:t>Projekcije emisija izradile su se za sva tri sektora finalne potrošnje energije Grada Zagreba: promet, zgradarstvo</w:t>
      </w:r>
      <w:r w:rsidR="000509A0">
        <w:t xml:space="preserve"> i </w:t>
      </w:r>
      <w:r w:rsidRPr="00291DF5">
        <w:t>javnu rasvjetu. Prilikom izrade projekcija korišteni su emisijski faktori istovjetni onima korištenima pri izradi Inventara za referentnu g</w:t>
      </w:r>
      <w:r w:rsidRPr="005808FC">
        <w:t>odinu, premda faktori za određivanje neizravnih emisija CO</w:t>
      </w:r>
      <w:r w:rsidRPr="005808FC">
        <w:rPr>
          <w:vertAlign w:val="subscript"/>
        </w:rPr>
        <w:t>2</w:t>
      </w:r>
      <w:r w:rsidRPr="005808FC">
        <w:t xml:space="preserve"> variraju od godine do godine s obzirom na način proizvodnje električne energije</w:t>
      </w:r>
      <w:r w:rsidR="000509A0">
        <w:t xml:space="preserve"> i </w:t>
      </w:r>
      <w:r w:rsidRPr="00291DF5">
        <w:t>topline. Pri procjeni tih emisija nije uzeta u obzir činjenica da je Strategijom energetskog razvoja Republike Hrv</w:t>
      </w:r>
      <w:r w:rsidRPr="005808FC">
        <w:t xml:space="preserve">atske predviđena izgradnja dvije TE na ugljen te jedne plinske elektrane do 2020. godine, što uvelike utječe na emisijski faktor, prvenstveno električne energije. </w:t>
      </w:r>
    </w:p>
    <w:p w14:paraId="26AAC3A1" w14:textId="77777777" w:rsidR="00D21C4A" w:rsidRPr="00922031" w:rsidRDefault="00D21C4A" w:rsidP="00D21C4A">
      <w:pPr>
        <w:spacing w:after="0"/>
        <w:rPr>
          <w:rFonts w:cstheme="minorHAnsi"/>
        </w:rPr>
      </w:pPr>
    </w:p>
    <w:p w14:paraId="001FB456" w14:textId="05294D5E" w:rsidR="00D21C4A" w:rsidRPr="005808FC" w:rsidRDefault="00D21C4A" w:rsidP="005808FC">
      <w:pPr>
        <w:spacing w:after="0"/>
        <w:rPr>
          <w:color w:val="FF0000"/>
        </w:rPr>
      </w:pPr>
      <w:r w:rsidRPr="00291DF5">
        <w:t>Tablica 10.1. daje pregled ukupnih emisija inventara po sektorima za scenarij bez mjera</w:t>
      </w:r>
      <w:r w:rsidR="000509A0">
        <w:t xml:space="preserve"> i </w:t>
      </w:r>
      <w:r w:rsidRPr="00291DF5">
        <w:t>s</w:t>
      </w:r>
      <w:r w:rsidRPr="005808FC">
        <w:t>cenarij s mjerama. Najveći udio u ukupnim emisijama scenarija bez mjera ima sektor zgradarstva. Udio toga sektora u ukupnim emisijama scenarija bez mjera iznosi 56</w:t>
      </w:r>
      <w:r w:rsidR="000509A0">
        <w:t>%</w:t>
      </w:r>
      <w:r w:rsidRPr="00291DF5">
        <w:t>. U scenariju s mjerama najveći udio u ukupnim emisijama ima sektor prometa s udjelom od 53,</w:t>
      </w:r>
      <w:r w:rsidRPr="005808FC">
        <w:t>4</w:t>
      </w:r>
      <w:r w:rsidR="000509A0">
        <w:t>%</w:t>
      </w:r>
      <w:r w:rsidRPr="00291DF5">
        <w:t>, dok udio tog sektora u emisijama scenarija bez mjera iznosi 43,68%.</w:t>
      </w:r>
      <w:r w:rsidRPr="005808FC">
        <w:rPr>
          <w:color w:val="FF0000"/>
        </w:rPr>
        <w:br w:type="page"/>
      </w:r>
    </w:p>
    <w:p w14:paraId="0994D825" w14:textId="5E2A5D60" w:rsidR="00D21C4A" w:rsidRPr="00E16DFD" w:rsidRDefault="00D21C4A" w:rsidP="00693B4B">
      <w:pPr>
        <w:pStyle w:val="Caption"/>
        <w:rPr>
          <w:lang w:val="it-IT"/>
        </w:rPr>
      </w:pPr>
      <w:bookmarkStart w:id="279" w:name="_Toc4156017"/>
      <w:r w:rsidRPr="005808FC">
        <w:rPr>
          <w:lang w:val="it-IT"/>
        </w:rPr>
        <w:lastRenderedPageBreak/>
        <w:t xml:space="preserve">Tablica </w:t>
      </w:r>
      <w:r>
        <w:rPr>
          <w:i w:val="0"/>
        </w:rPr>
        <w:fldChar w:fldCharType="begin"/>
      </w:r>
      <w:r w:rsidRPr="005808FC">
        <w:rPr>
          <w:lang w:val="it-IT"/>
        </w:rPr>
        <w:instrText xml:space="preserve"> STYLEREF 1 \s </w:instrText>
      </w:r>
      <w:r>
        <w:rPr>
          <w:i w:val="0"/>
        </w:rPr>
        <w:fldChar w:fldCharType="separate"/>
      </w:r>
      <w:r w:rsidRPr="005808FC">
        <w:rPr>
          <w:lang w:val="it-IT"/>
        </w:rPr>
        <w:t>10</w:t>
      </w:r>
      <w:r>
        <w:rPr>
          <w:i w:val="0"/>
        </w:rPr>
        <w:fldChar w:fldCharType="end"/>
      </w:r>
      <w:r w:rsidRPr="005808FC">
        <w:rPr>
          <w:lang w:val="it-IT"/>
        </w:rPr>
        <w:t>.</w:t>
      </w:r>
      <w:r>
        <w:rPr>
          <w:i w:val="0"/>
        </w:rPr>
        <w:fldChar w:fldCharType="begin"/>
      </w:r>
      <w:r w:rsidRPr="005808FC">
        <w:rPr>
          <w:lang w:val="it-IT"/>
        </w:rPr>
        <w:instrText xml:space="preserve"> SEQ Tablica \* ARABIC \s 1 </w:instrText>
      </w:r>
      <w:r>
        <w:rPr>
          <w:i w:val="0"/>
        </w:rPr>
        <w:fldChar w:fldCharType="separate"/>
      </w:r>
      <w:r w:rsidRPr="005808FC">
        <w:rPr>
          <w:lang w:val="it-IT"/>
        </w:rPr>
        <w:t>1</w:t>
      </w:r>
      <w:r>
        <w:rPr>
          <w:i w:val="0"/>
        </w:rPr>
        <w:fldChar w:fldCharType="end"/>
      </w:r>
      <w:r w:rsidRPr="005808FC">
        <w:rPr>
          <w:lang w:val="it-IT"/>
        </w:rPr>
        <w:t xml:space="preserve"> </w:t>
      </w:r>
      <w:r w:rsidR="00D05D04">
        <w:rPr>
          <w:lang w:val="it-IT"/>
        </w:rPr>
        <w:t>–</w:t>
      </w:r>
      <w:r w:rsidRPr="005808FC">
        <w:rPr>
          <w:lang w:val="it-IT"/>
        </w:rPr>
        <w:t xml:space="preserve"> </w:t>
      </w:r>
      <w:r w:rsidRPr="005808FC">
        <w:rPr>
          <w:rFonts w:asciiTheme="minorHAnsi" w:hAnsiTheme="minorHAnsi" w:cstheme="minorBidi"/>
          <w:lang w:val="it-IT"/>
        </w:rPr>
        <w:t>Projekcije emisije Inventara za scenarij bez mjera</w:t>
      </w:r>
      <w:r w:rsidR="000509A0" w:rsidRPr="004B46B9">
        <w:rPr>
          <w:rFonts w:asciiTheme="minorHAnsi" w:hAnsiTheme="minorHAnsi" w:cstheme="minorBidi"/>
          <w:lang w:val="it-IT"/>
        </w:rPr>
        <w:t xml:space="preserve"> i </w:t>
      </w:r>
      <w:r w:rsidRPr="005808FC">
        <w:rPr>
          <w:rFonts w:asciiTheme="minorHAnsi" w:hAnsiTheme="minorHAnsi" w:cstheme="minorBidi"/>
          <w:lang w:val="it-IT"/>
        </w:rPr>
        <w:t>scenarij s mjerama</w:t>
      </w:r>
      <w:bookmarkEnd w:id="279"/>
    </w:p>
    <w:tbl>
      <w:tblPr>
        <w:tblW w:w="8925" w:type="dxa"/>
        <w:tblInd w:w="108"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000" w:firstRow="0" w:lastRow="0" w:firstColumn="0" w:lastColumn="0" w:noHBand="0" w:noVBand="0"/>
      </w:tblPr>
      <w:tblGrid>
        <w:gridCol w:w="2095"/>
        <w:gridCol w:w="1600"/>
        <w:gridCol w:w="1810"/>
        <w:gridCol w:w="1800"/>
        <w:gridCol w:w="1620"/>
      </w:tblGrid>
      <w:tr w:rsidR="00D21C4A" w:rsidRPr="00922031" w14:paraId="4C1462E7" w14:textId="77777777" w:rsidTr="005808FC">
        <w:trPr>
          <w:trHeight w:val="227"/>
        </w:trPr>
        <w:tc>
          <w:tcPr>
            <w:tcW w:w="2095" w:type="dxa"/>
            <w:vMerge w:val="restart"/>
            <w:shd w:val="clear" w:color="auto" w:fill="C6D9F1" w:themeFill="text2" w:themeFillTint="33"/>
            <w:noWrap/>
            <w:vAlign w:val="center"/>
          </w:tcPr>
          <w:p w14:paraId="2E34C228" w14:textId="77777777" w:rsidR="00D21C4A" w:rsidRPr="005808FC" w:rsidRDefault="00D21C4A" w:rsidP="005808FC">
            <w:pPr>
              <w:spacing w:after="0"/>
              <w:rPr>
                <w:b/>
                <w:bCs/>
                <w:sz w:val="20"/>
                <w:szCs w:val="20"/>
                <w:lang w:eastAsia="hr-HR"/>
              </w:rPr>
            </w:pPr>
            <w:r w:rsidRPr="00291DF5">
              <w:rPr>
                <w:b/>
                <w:bCs/>
                <w:sz w:val="20"/>
                <w:szCs w:val="20"/>
                <w:lang w:eastAsia="hr-HR"/>
              </w:rPr>
              <w:t>Scenarij</w:t>
            </w:r>
          </w:p>
        </w:tc>
        <w:tc>
          <w:tcPr>
            <w:tcW w:w="1600" w:type="dxa"/>
            <w:vMerge w:val="restart"/>
            <w:shd w:val="clear" w:color="auto" w:fill="C6D9F1" w:themeFill="text2" w:themeFillTint="33"/>
            <w:noWrap/>
            <w:vAlign w:val="center"/>
          </w:tcPr>
          <w:p w14:paraId="390953A5" w14:textId="77777777" w:rsidR="00D21C4A" w:rsidRPr="005808FC" w:rsidRDefault="00D21C4A" w:rsidP="005808FC">
            <w:pPr>
              <w:spacing w:after="0"/>
              <w:rPr>
                <w:b/>
                <w:bCs/>
                <w:sz w:val="20"/>
                <w:szCs w:val="20"/>
                <w:lang w:eastAsia="hr-HR"/>
              </w:rPr>
            </w:pPr>
            <w:r w:rsidRPr="00291DF5">
              <w:rPr>
                <w:b/>
                <w:bCs/>
                <w:sz w:val="20"/>
                <w:szCs w:val="20"/>
                <w:lang w:eastAsia="hr-HR"/>
              </w:rPr>
              <w:t>Sektor</w:t>
            </w:r>
          </w:p>
        </w:tc>
        <w:tc>
          <w:tcPr>
            <w:tcW w:w="3610" w:type="dxa"/>
            <w:gridSpan w:val="2"/>
            <w:shd w:val="clear" w:color="auto" w:fill="C6D9F1" w:themeFill="text2" w:themeFillTint="33"/>
            <w:noWrap/>
            <w:vAlign w:val="center"/>
          </w:tcPr>
          <w:p w14:paraId="35DAB5FC" w14:textId="77777777" w:rsidR="00D21C4A" w:rsidRPr="005808FC" w:rsidRDefault="00D21C4A" w:rsidP="005808FC">
            <w:pPr>
              <w:spacing w:after="0"/>
              <w:jc w:val="center"/>
              <w:rPr>
                <w:b/>
                <w:bCs/>
                <w:sz w:val="20"/>
                <w:szCs w:val="20"/>
                <w:lang w:eastAsia="hr-HR"/>
              </w:rPr>
            </w:pPr>
            <w:r w:rsidRPr="00291DF5">
              <w:rPr>
                <w:b/>
                <w:bCs/>
                <w:sz w:val="20"/>
                <w:szCs w:val="20"/>
                <w:lang w:eastAsia="hr-HR"/>
              </w:rPr>
              <w:t>Emisija, t CO₂</w:t>
            </w:r>
          </w:p>
        </w:tc>
        <w:tc>
          <w:tcPr>
            <w:tcW w:w="1620" w:type="dxa"/>
            <w:vMerge w:val="restart"/>
            <w:shd w:val="clear" w:color="auto" w:fill="C6D9F1" w:themeFill="text2" w:themeFillTint="33"/>
            <w:vAlign w:val="center"/>
          </w:tcPr>
          <w:p w14:paraId="2284649B" w14:textId="77777777" w:rsidR="00D21C4A" w:rsidRPr="005808FC" w:rsidRDefault="00D21C4A" w:rsidP="005808FC">
            <w:pPr>
              <w:spacing w:after="0"/>
              <w:rPr>
                <w:b/>
                <w:bCs/>
                <w:sz w:val="20"/>
                <w:szCs w:val="20"/>
                <w:lang w:eastAsia="hr-HR"/>
              </w:rPr>
            </w:pPr>
            <w:r w:rsidRPr="00291DF5">
              <w:rPr>
                <w:b/>
                <w:bCs/>
                <w:sz w:val="20"/>
                <w:szCs w:val="20"/>
                <w:lang w:eastAsia="hr-HR"/>
              </w:rPr>
              <w:t xml:space="preserve">% u </w:t>
            </w:r>
            <w:r w:rsidRPr="005808FC">
              <w:rPr>
                <w:b/>
                <w:bCs/>
                <w:sz w:val="20"/>
                <w:szCs w:val="20"/>
                <w:lang w:eastAsia="hr-HR"/>
              </w:rPr>
              <w:t>odnosu na 2008</w:t>
            </w:r>
          </w:p>
        </w:tc>
      </w:tr>
      <w:tr w:rsidR="00D21C4A" w:rsidRPr="00922031" w14:paraId="47113CCC" w14:textId="77777777" w:rsidTr="005808FC">
        <w:trPr>
          <w:trHeight w:val="227"/>
        </w:trPr>
        <w:tc>
          <w:tcPr>
            <w:tcW w:w="2095" w:type="dxa"/>
            <w:vMerge/>
            <w:shd w:val="clear" w:color="auto" w:fill="C6D9F1" w:themeFill="text2" w:themeFillTint="33"/>
            <w:noWrap/>
            <w:vAlign w:val="center"/>
          </w:tcPr>
          <w:p w14:paraId="45231488" w14:textId="77777777" w:rsidR="00D21C4A" w:rsidRPr="00922031" w:rsidRDefault="00D21C4A" w:rsidP="00982332">
            <w:pPr>
              <w:spacing w:after="0"/>
              <w:rPr>
                <w:rFonts w:cstheme="minorHAnsi"/>
                <w:b/>
                <w:bCs/>
                <w:sz w:val="20"/>
                <w:szCs w:val="20"/>
                <w:lang w:eastAsia="hr-HR"/>
              </w:rPr>
            </w:pPr>
          </w:p>
        </w:tc>
        <w:tc>
          <w:tcPr>
            <w:tcW w:w="1600" w:type="dxa"/>
            <w:vMerge/>
            <w:shd w:val="clear" w:color="auto" w:fill="C6D9F1" w:themeFill="text2" w:themeFillTint="33"/>
            <w:noWrap/>
            <w:vAlign w:val="center"/>
          </w:tcPr>
          <w:p w14:paraId="6DD76C5C" w14:textId="77777777" w:rsidR="00D21C4A" w:rsidRPr="00922031" w:rsidRDefault="00D21C4A" w:rsidP="00982332">
            <w:pPr>
              <w:spacing w:after="0"/>
              <w:rPr>
                <w:rFonts w:cstheme="minorHAnsi"/>
                <w:b/>
                <w:bCs/>
                <w:sz w:val="20"/>
                <w:szCs w:val="20"/>
                <w:lang w:eastAsia="hr-HR"/>
              </w:rPr>
            </w:pPr>
          </w:p>
        </w:tc>
        <w:tc>
          <w:tcPr>
            <w:tcW w:w="1810" w:type="dxa"/>
            <w:shd w:val="clear" w:color="auto" w:fill="C6D9F1" w:themeFill="text2" w:themeFillTint="33"/>
            <w:noWrap/>
            <w:vAlign w:val="center"/>
          </w:tcPr>
          <w:p w14:paraId="7C650625" w14:textId="77777777" w:rsidR="00D21C4A" w:rsidRPr="005808FC" w:rsidRDefault="00D21C4A" w:rsidP="005808FC">
            <w:pPr>
              <w:spacing w:after="0"/>
              <w:rPr>
                <w:b/>
                <w:bCs/>
                <w:sz w:val="20"/>
                <w:szCs w:val="20"/>
                <w:lang w:eastAsia="hr-HR"/>
              </w:rPr>
            </w:pPr>
            <w:r w:rsidRPr="00291DF5">
              <w:rPr>
                <w:b/>
                <w:bCs/>
                <w:sz w:val="20"/>
                <w:szCs w:val="20"/>
                <w:lang w:eastAsia="hr-HR"/>
              </w:rPr>
              <w:t>2008</w:t>
            </w:r>
          </w:p>
        </w:tc>
        <w:tc>
          <w:tcPr>
            <w:tcW w:w="1800" w:type="dxa"/>
            <w:shd w:val="clear" w:color="auto" w:fill="C6D9F1" w:themeFill="text2" w:themeFillTint="33"/>
            <w:noWrap/>
            <w:vAlign w:val="center"/>
          </w:tcPr>
          <w:p w14:paraId="4AA9BC0B" w14:textId="77777777" w:rsidR="00D21C4A" w:rsidRPr="005808FC" w:rsidRDefault="00D21C4A" w:rsidP="005808FC">
            <w:pPr>
              <w:spacing w:after="0"/>
              <w:rPr>
                <w:b/>
                <w:bCs/>
                <w:sz w:val="20"/>
                <w:szCs w:val="20"/>
                <w:lang w:eastAsia="hr-HR"/>
              </w:rPr>
            </w:pPr>
            <w:r w:rsidRPr="00291DF5">
              <w:rPr>
                <w:b/>
                <w:bCs/>
                <w:sz w:val="20"/>
                <w:szCs w:val="20"/>
                <w:lang w:eastAsia="hr-HR"/>
              </w:rPr>
              <w:t>2030</w:t>
            </w:r>
          </w:p>
        </w:tc>
        <w:tc>
          <w:tcPr>
            <w:tcW w:w="1620" w:type="dxa"/>
            <w:vMerge/>
            <w:shd w:val="clear" w:color="auto" w:fill="C6D9F1" w:themeFill="text2" w:themeFillTint="33"/>
            <w:vAlign w:val="center"/>
          </w:tcPr>
          <w:p w14:paraId="6C9FBC8C" w14:textId="77777777" w:rsidR="00D21C4A" w:rsidRPr="00922031" w:rsidRDefault="00D21C4A" w:rsidP="00982332">
            <w:pPr>
              <w:spacing w:after="0"/>
              <w:rPr>
                <w:rFonts w:cstheme="minorHAnsi"/>
                <w:b/>
                <w:bCs/>
                <w:sz w:val="20"/>
                <w:szCs w:val="20"/>
                <w:lang w:eastAsia="hr-HR"/>
              </w:rPr>
            </w:pPr>
          </w:p>
        </w:tc>
      </w:tr>
      <w:tr w:rsidR="00D21C4A" w:rsidRPr="00922031" w14:paraId="0ADA49F2" w14:textId="77777777" w:rsidTr="005808FC">
        <w:trPr>
          <w:trHeight w:val="227"/>
        </w:trPr>
        <w:tc>
          <w:tcPr>
            <w:tcW w:w="2095" w:type="dxa"/>
            <w:vMerge w:val="restart"/>
            <w:shd w:val="clear" w:color="auto" w:fill="F2DBDB" w:themeFill="accent2" w:themeFillTint="33"/>
            <w:noWrap/>
            <w:vAlign w:val="center"/>
          </w:tcPr>
          <w:p w14:paraId="7B563459"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Scenarij bez mjera</w:t>
            </w:r>
          </w:p>
        </w:tc>
        <w:tc>
          <w:tcPr>
            <w:tcW w:w="1600" w:type="dxa"/>
            <w:noWrap/>
            <w:vAlign w:val="bottom"/>
          </w:tcPr>
          <w:p w14:paraId="35233D28"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Promet</w:t>
            </w:r>
          </w:p>
        </w:tc>
        <w:tc>
          <w:tcPr>
            <w:tcW w:w="1810" w:type="dxa"/>
            <w:noWrap/>
            <w:vAlign w:val="bottom"/>
          </w:tcPr>
          <w:p w14:paraId="23EE0711" w14:textId="77777777" w:rsidR="00D21C4A" w:rsidRPr="005808FC" w:rsidRDefault="00D21C4A" w:rsidP="005808FC">
            <w:pPr>
              <w:spacing w:after="0"/>
              <w:rPr>
                <w:color w:val="000000" w:themeColor="text1"/>
                <w:sz w:val="20"/>
                <w:szCs w:val="20"/>
              </w:rPr>
            </w:pPr>
            <w:r w:rsidRPr="00291DF5">
              <w:rPr>
                <w:color w:val="000000"/>
                <w:sz w:val="20"/>
                <w:szCs w:val="20"/>
              </w:rPr>
              <w:t>1.007.443,07</w:t>
            </w:r>
          </w:p>
        </w:tc>
        <w:tc>
          <w:tcPr>
            <w:tcW w:w="1800" w:type="dxa"/>
            <w:noWrap/>
            <w:vAlign w:val="bottom"/>
          </w:tcPr>
          <w:p w14:paraId="7D91E15A"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1.091.901,10</w:t>
            </w:r>
          </w:p>
        </w:tc>
        <w:tc>
          <w:tcPr>
            <w:tcW w:w="1620" w:type="dxa"/>
            <w:noWrap/>
            <w:vAlign w:val="bottom"/>
          </w:tcPr>
          <w:p w14:paraId="607F3327"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8,38</w:t>
            </w:r>
          </w:p>
        </w:tc>
      </w:tr>
      <w:tr w:rsidR="00D21C4A" w:rsidRPr="00922031" w14:paraId="6B1C2CA0" w14:textId="77777777" w:rsidTr="005808FC">
        <w:trPr>
          <w:trHeight w:val="227"/>
        </w:trPr>
        <w:tc>
          <w:tcPr>
            <w:tcW w:w="2095" w:type="dxa"/>
            <w:vMerge/>
            <w:shd w:val="clear" w:color="auto" w:fill="F2DBDB" w:themeFill="accent2" w:themeFillTint="33"/>
            <w:vAlign w:val="center"/>
          </w:tcPr>
          <w:p w14:paraId="7353762B" w14:textId="77777777" w:rsidR="00D21C4A" w:rsidRPr="00922031" w:rsidRDefault="00D21C4A" w:rsidP="00982332">
            <w:pPr>
              <w:spacing w:after="0"/>
              <w:rPr>
                <w:rFonts w:cstheme="minorHAnsi"/>
                <w:color w:val="000000"/>
                <w:sz w:val="20"/>
                <w:szCs w:val="20"/>
                <w:lang w:eastAsia="hr-HR"/>
              </w:rPr>
            </w:pPr>
          </w:p>
        </w:tc>
        <w:tc>
          <w:tcPr>
            <w:tcW w:w="1600" w:type="dxa"/>
            <w:noWrap/>
            <w:vAlign w:val="bottom"/>
          </w:tcPr>
          <w:p w14:paraId="63E944BB" w14:textId="77777777" w:rsidR="00D21C4A" w:rsidRPr="005808FC" w:rsidRDefault="00D21C4A" w:rsidP="005808FC">
            <w:pPr>
              <w:spacing w:after="0"/>
              <w:rPr>
                <w:color w:val="000000"/>
                <w:sz w:val="20"/>
                <w:szCs w:val="20"/>
                <w:lang w:eastAsia="hr-HR"/>
              </w:rPr>
            </w:pPr>
            <w:r w:rsidRPr="00291DF5">
              <w:rPr>
                <w:color w:val="000000"/>
                <w:sz w:val="20"/>
                <w:szCs w:val="20"/>
                <w:lang w:eastAsia="hr-HR"/>
              </w:rPr>
              <w:t>Zgradarstvo</w:t>
            </w:r>
          </w:p>
        </w:tc>
        <w:tc>
          <w:tcPr>
            <w:tcW w:w="1810" w:type="dxa"/>
            <w:noWrap/>
            <w:vAlign w:val="bottom"/>
          </w:tcPr>
          <w:p w14:paraId="06FEB68B" w14:textId="77777777" w:rsidR="00D21C4A" w:rsidRPr="005808FC" w:rsidRDefault="00D21C4A" w:rsidP="005808FC">
            <w:pPr>
              <w:spacing w:after="0"/>
              <w:rPr>
                <w:color w:val="000000" w:themeColor="text1"/>
                <w:sz w:val="20"/>
                <w:szCs w:val="20"/>
              </w:rPr>
            </w:pPr>
            <w:r w:rsidRPr="00291DF5">
              <w:rPr>
                <w:color w:val="000000"/>
                <w:sz w:val="20"/>
                <w:szCs w:val="20"/>
              </w:rPr>
              <w:t>1.759.432,26</w:t>
            </w:r>
          </w:p>
        </w:tc>
        <w:tc>
          <w:tcPr>
            <w:tcW w:w="1800" w:type="dxa"/>
            <w:noWrap/>
            <w:vAlign w:val="bottom"/>
          </w:tcPr>
          <w:p w14:paraId="74ADA897"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1.400.681,40</w:t>
            </w:r>
          </w:p>
        </w:tc>
        <w:tc>
          <w:tcPr>
            <w:tcW w:w="1620" w:type="dxa"/>
            <w:noWrap/>
            <w:vAlign w:val="bottom"/>
          </w:tcPr>
          <w:p w14:paraId="4529AE9A"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-20,39</w:t>
            </w:r>
          </w:p>
        </w:tc>
      </w:tr>
      <w:tr w:rsidR="00D21C4A" w:rsidRPr="00922031" w14:paraId="7DA36919" w14:textId="77777777" w:rsidTr="005808FC">
        <w:trPr>
          <w:trHeight w:val="227"/>
        </w:trPr>
        <w:tc>
          <w:tcPr>
            <w:tcW w:w="2095" w:type="dxa"/>
            <w:vMerge/>
            <w:shd w:val="clear" w:color="auto" w:fill="F2DBDB" w:themeFill="accent2" w:themeFillTint="33"/>
            <w:vAlign w:val="center"/>
          </w:tcPr>
          <w:p w14:paraId="32E8D86F" w14:textId="77777777" w:rsidR="00D21C4A" w:rsidRPr="00922031" w:rsidRDefault="00D21C4A" w:rsidP="00982332">
            <w:pPr>
              <w:spacing w:after="0"/>
              <w:rPr>
                <w:rFonts w:cstheme="minorHAnsi"/>
                <w:color w:val="000000"/>
                <w:sz w:val="20"/>
                <w:szCs w:val="20"/>
                <w:lang w:eastAsia="hr-HR"/>
              </w:rPr>
            </w:pPr>
          </w:p>
        </w:tc>
        <w:tc>
          <w:tcPr>
            <w:tcW w:w="1600" w:type="dxa"/>
            <w:noWrap/>
            <w:vAlign w:val="bottom"/>
          </w:tcPr>
          <w:p w14:paraId="29C3D9CA"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Javna rasvjeta</w:t>
            </w:r>
          </w:p>
        </w:tc>
        <w:tc>
          <w:tcPr>
            <w:tcW w:w="1810" w:type="dxa"/>
            <w:noWrap/>
            <w:vAlign w:val="bottom"/>
          </w:tcPr>
          <w:p w14:paraId="5986EE73" w14:textId="77777777" w:rsidR="00D21C4A" w:rsidRPr="005808FC" w:rsidRDefault="00D21C4A" w:rsidP="005808FC">
            <w:pPr>
              <w:spacing w:after="0"/>
              <w:rPr>
                <w:color w:val="000000" w:themeColor="text1"/>
                <w:sz w:val="20"/>
                <w:szCs w:val="20"/>
              </w:rPr>
            </w:pPr>
            <w:r w:rsidRPr="00291DF5">
              <w:rPr>
                <w:color w:val="000000"/>
                <w:sz w:val="20"/>
                <w:szCs w:val="20"/>
              </w:rPr>
              <w:t>29.175,56</w:t>
            </w:r>
          </w:p>
        </w:tc>
        <w:tc>
          <w:tcPr>
            <w:tcW w:w="1800" w:type="dxa"/>
            <w:noWrap/>
            <w:vAlign w:val="bottom"/>
          </w:tcPr>
          <w:p w14:paraId="2876AA57"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7.076,20</w:t>
            </w:r>
          </w:p>
        </w:tc>
        <w:tc>
          <w:tcPr>
            <w:tcW w:w="1620" w:type="dxa"/>
            <w:noWrap/>
            <w:vAlign w:val="bottom"/>
          </w:tcPr>
          <w:p w14:paraId="6B71890B"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-75,75</w:t>
            </w:r>
          </w:p>
        </w:tc>
      </w:tr>
      <w:tr w:rsidR="00D21C4A" w:rsidRPr="00922031" w14:paraId="055CF455" w14:textId="77777777" w:rsidTr="005808FC">
        <w:trPr>
          <w:trHeight w:val="227"/>
        </w:trPr>
        <w:tc>
          <w:tcPr>
            <w:tcW w:w="2095" w:type="dxa"/>
            <w:vMerge/>
            <w:shd w:val="clear" w:color="auto" w:fill="F2DBDB" w:themeFill="accent2" w:themeFillTint="33"/>
            <w:vAlign w:val="center"/>
          </w:tcPr>
          <w:p w14:paraId="0103D8E6" w14:textId="77777777" w:rsidR="00D21C4A" w:rsidRPr="00922031" w:rsidRDefault="00D21C4A" w:rsidP="00982332">
            <w:pPr>
              <w:spacing w:after="0"/>
              <w:rPr>
                <w:rFonts w:cstheme="minorHAnsi"/>
                <w:color w:val="000000"/>
                <w:sz w:val="20"/>
                <w:szCs w:val="20"/>
                <w:lang w:eastAsia="hr-HR"/>
              </w:rPr>
            </w:pPr>
          </w:p>
        </w:tc>
        <w:tc>
          <w:tcPr>
            <w:tcW w:w="1600" w:type="dxa"/>
            <w:shd w:val="clear" w:color="auto" w:fill="D9D9D9" w:themeFill="background1" w:themeFillShade="D9"/>
            <w:noWrap/>
            <w:vAlign w:val="bottom"/>
          </w:tcPr>
          <w:p w14:paraId="0BA4A9ED"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UKUPNO</w:t>
            </w:r>
          </w:p>
        </w:tc>
        <w:tc>
          <w:tcPr>
            <w:tcW w:w="1810" w:type="dxa"/>
            <w:shd w:val="clear" w:color="auto" w:fill="D9D9D9" w:themeFill="background1" w:themeFillShade="D9"/>
            <w:noWrap/>
            <w:vAlign w:val="bottom"/>
          </w:tcPr>
          <w:p w14:paraId="4717AFAE" w14:textId="77777777" w:rsidR="00D21C4A" w:rsidRPr="005808FC" w:rsidRDefault="00D21C4A" w:rsidP="005808FC">
            <w:pPr>
              <w:spacing w:after="0"/>
              <w:rPr>
                <w:color w:val="000000" w:themeColor="text1"/>
                <w:sz w:val="20"/>
                <w:szCs w:val="20"/>
              </w:rPr>
            </w:pPr>
            <w:r w:rsidRPr="00291DF5">
              <w:rPr>
                <w:color w:val="000000"/>
                <w:sz w:val="20"/>
                <w:szCs w:val="20"/>
              </w:rPr>
              <w:t>2.796.050,89</w:t>
            </w:r>
          </w:p>
        </w:tc>
        <w:tc>
          <w:tcPr>
            <w:tcW w:w="1800" w:type="dxa"/>
            <w:shd w:val="clear" w:color="auto" w:fill="D9D9D9" w:themeFill="background1" w:themeFillShade="D9"/>
            <w:noWrap/>
            <w:vAlign w:val="center"/>
          </w:tcPr>
          <w:p w14:paraId="72BB8F98"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2.499.658,70</w:t>
            </w:r>
          </w:p>
        </w:tc>
        <w:tc>
          <w:tcPr>
            <w:tcW w:w="1620" w:type="dxa"/>
            <w:shd w:val="clear" w:color="auto" w:fill="D9D9D9" w:themeFill="background1" w:themeFillShade="D9"/>
            <w:noWrap/>
            <w:vAlign w:val="bottom"/>
          </w:tcPr>
          <w:p w14:paraId="2080B999"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-10,60</w:t>
            </w:r>
          </w:p>
        </w:tc>
      </w:tr>
      <w:tr w:rsidR="00D21C4A" w:rsidRPr="00922031" w14:paraId="065A5E1E" w14:textId="77777777" w:rsidTr="005808FC">
        <w:trPr>
          <w:trHeight w:val="227"/>
        </w:trPr>
        <w:tc>
          <w:tcPr>
            <w:tcW w:w="2095" w:type="dxa"/>
            <w:vMerge w:val="restart"/>
            <w:shd w:val="clear" w:color="auto" w:fill="F2DBDB" w:themeFill="accent2" w:themeFillTint="33"/>
            <w:noWrap/>
            <w:vAlign w:val="center"/>
          </w:tcPr>
          <w:p w14:paraId="5A161ADF"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Scenarij s mjerama</w:t>
            </w:r>
          </w:p>
        </w:tc>
        <w:tc>
          <w:tcPr>
            <w:tcW w:w="1600" w:type="dxa"/>
            <w:shd w:val="clear" w:color="auto" w:fill="auto"/>
            <w:noWrap/>
            <w:vAlign w:val="bottom"/>
          </w:tcPr>
          <w:p w14:paraId="1D11CD7B"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Promet</w:t>
            </w:r>
          </w:p>
        </w:tc>
        <w:tc>
          <w:tcPr>
            <w:tcW w:w="1810" w:type="dxa"/>
            <w:shd w:val="clear" w:color="auto" w:fill="auto"/>
            <w:noWrap/>
            <w:vAlign w:val="bottom"/>
          </w:tcPr>
          <w:p w14:paraId="4F04B3CF" w14:textId="77777777" w:rsidR="00D21C4A" w:rsidRPr="005808FC" w:rsidRDefault="00D21C4A" w:rsidP="005808FC">
            <w:pPr>
              <w:spacing w:after="0"/>
              <w:rPr>
                <w:color w:val="000000" w:themeColor="text1"/>
                <w:sz w:val="20"/>
                <w:szCs w:val="20"/>
              </w:rPr>
            </w:pPr>
            <w:r w:rsidRPr="00291DF5">
              <w:rPr>
                <w:color w:val="000000"/>
                <w:sz w:val="20"/>
                <w:szCs w:val="20"/>
              </w:rPr>
              <w:t>1.007.443,07</w:t>
            </w:r>
          </w:p>
        </w:tc>
        <w:tc>
          <w:tcPr>
            <w:tcW w:w="1800" w:type="dxa"/>
            <w:shd w:val="clear" w:color="auto" w:fill="auto"/>
            <w:noWrap/>
            <w:vAlign w:val="center"/>
          </w:tcPr>
          <w:p w14:paraId="0272FB06" w14:textId="61677B44" w:rsidR="00D21C4A" w:rsidRPr="005808FC" w:rsidRDefault="00D21C4A" w:rsidP="005808FC">
            <w:pPr>
              <w:spacing w:after="0"/>
              <w:rPr>
                <w:color w:val="000000" w:themeColor="text1"/>
                <w:sz w:val="20"/>
                <w:szCs w:val="20"/>
              </w:rPr>
            </w:pPr>
            <w:r>
              <w:rPr>
                <w:rFonts w:ascii="Calibri" w:hAnsi="Calibri" w:cs="Calibri"/>
                <w:color w:val="000000"/>
                <w:sz w:val="20"/>
                <w:szCs w:val="20"/>
              </w:rPr>
              <w:t>8</w:t>
            </w:r>
            <w:r w:rsidR="004F52CF">
              <w:rPr>
                <w:rFonts w:ascii="Calibri" w:hAnsi="Calibri" w:cs="Calibri"/>
                <w:color w:val="000000"/>
                <w:sz w:val="20"/>
                <w:szCs w:val="20"/>
              </w:rPr>
              <w:t>67</w:t>
            </w:r>
            <w:r>
              <w:rPr>
                <w:rFonts w:ascii="Calibri" w:hAnsi="Calibri" w:cs="Calibri"/>
                <w:color w:val="000000"/>
                <w:sz w:val="20"/>
                <w:szCs w:val="20"/>
              </w:rPr>
              <w:t>.</w:t>
            </w:r>
            <w:r w:rsidR="004F52CF">
              <w:rPr>
                <w:rFonts w:ascii="Calibri" w:hAnsi="Calibri" w:cs="Calibri"/>
                <w:color w:val="000000"/>
                <w:sz w:val="20"/>
                <w:szCs w:val="20"/>
              </w:rPr>
              <w:t>528,4</w:t>
            </w:r>
          </w:p>
        </w:tc>
        <w:tc>
          <w:tcPr>
            <w:tcW w:w="1620" w:type="dxa"/>
            <w:shd w:val="clear" w:color="auto" w:fill="auto"/>
            <w:noWrap/>
            <w:vAlign w:val="bottom"/>
          </w:tcPr>
          <w:p w14:paraId="1014BB19" w14:textId="59F0BBB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-13,</w:t>
            </w:r>
            <w:r w:rsidR="004F52CF">
              <w:rPr>
                <w:rFonts w:ascii="Calibri" w:hAnsi="Calibri" w:cs="Calibri"/>
                <w:color w:val="000000"/>
                <w:sz w:val="20"/>
                <w:szCs w:val="20"/>
              </w:rPr>
              <w:t>88</w:t>
            </w:r>
          </w:p>
        </w:tc>
      </w:tr>
      <w:tr w:rsidR="00D21C4A" w:rsidRPr="00922031" w14:paraId="121D7463" w14:textId="77777777" w:rsidTr="005808FC">
        <w:trPr>
          <w:trHeight w:val="227"/>
        </w:trPr>
        <w:tc>
          <w:tcPr>
            <w:tcW w:w="2095" w:type="dxa"/>
            <w:vMerge/>
            <w:shd w:val="clear" w:color="auto" w:fill="F2DBDB" w:themeFill="accent2" w:themeFillTint="33"/>
            <w:vAlign w:val="center"/>
          </w:tcPr>
          <w:p w14:paraId="53D95992" w14:textId="77777777" w:rsidR="00D21C4A" w:rsidRPr="00922031" w:rsidRDefault="00D21C4A" w:rsidP="00982332">
            <w:pPr>
              <w:spacing w:after="0"/>
              <w:rPr>
                <w:rFonts w:cstheme="minorHAnsi"/>
                <w:color w:val="000000"/>
                <w:sz w:val="20"/>
                <w:szCs w:val="20"/>
                <w:lang w:eastAsia="hr-HR"/>
              </w:rPr>
            </w:pPr>
          </w:p>
        </w:tc>
        <w:tc>
          <w:tcPr>
            <w:tcW w:w="1600" w:type="dxa"/>
            <w:shd w:val="clear" w:color="auto" w:fill="auto"/>
            <w:noWrap/>
            <w:vAlign w:val="bottom"/>
          </w:tcPr>
          <w:p w14:paraId="544E2A7A" w14:textId="77777777" w:rsidR="00D21C4A" w:rsidRPr="005808FC" w:rsidRDefault="00D21C4A" w:rsidP="005808FC">
            <w:pPr>
              <w:spacing w:after="0"/>
              <w:rPr>
                <w:color w:val="000000"/>
                <w:sz w:val="20"/>
                <w:szCs w:val="20"/>
                <w:lang w:eastAsia="hr-HR"/>
              </w:rPr>
            </w:pPr>
            <w:r w:rsidRPr="00291DF5">
              <w:rPr>
                <w:color w:val="000000"/>
                <w:sz w:val="20"/>
                <w:szCs w:val="20"/>
                <w:lang w:eastAsia="hr-HR"/>
              </w:rPr>
              <w:t>Zgradarstvo</w:t>
            </w:r>
          </w:p>
        </w:tc>
        <w:tc>
          <w:tcPr>
            <w:tcW w:w="1810" w:type="dxa"/>
            <w:shd w:val="clear" w:color="auto" w:fill="auto"/>
            <w:noWrap/>
            <w:vAlign w:val="bottom"/>
          </w:tcPr>
          <w:p w14:paraId="55C06E80" w14:textId="77777777" w:rsidR="00D21C4A" w:rsidRPr="005808FC" w:rsidRDefault="00D21C4A" w:rsidP="005808FC">
            <w:pPr>
              <w:spacing w:after="0"/>
              <w:rPr>
                <w:color w:val="000000" w:themeColor="text1"/>
                <w:sz w:val="20"/>
                <w:szCs w:val="20"/>
              </w:rPr>
            </w:pPr>
            <w:r w:rsidRPr="00291DF5">
              <w:rPr>
                <w:color w:val="000000"/>
                <w:sz w:val="20"/>
                <w:szCs w:val="20"/>
              </w:rPr>
              <w:t>1.759.432,26</w:t>
            </w:r>
          </w:p>
        </w:tc>
        <w:tc>
          <w:tcPr>
            <w:tcW w:w="1800" w:type="dxa"/>
            <w:shd w:val="clear" w:color="auto" w:fill="auto"/>
            <w:noWrap/>
            <w:vAlign w:val="bottom"/>
          </w:tcPr>
          <w:p w14:paraId="525BF8B8"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759.888,70</w:t>
            </w:r>
          </w:p>
        </w:tc>
        <w:tc>
          <w:tcPr>
            <w:tcW w:w="1620" w:type="dxa"/>
            <w:shd w:val="clear" w:color="auto" w:fill="auto"/>
            <w:noWrap/>
            <w:vAlign w:val="bottom"/>
          </w:tcPr>
          <w:p w14:paraId="2D618AFA"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-56,81</w:t>
            </w:r>
          </w:p>
        </w:tc>
      </w:tr>
      <w:tr w:rsidR="00D21C4A" w:rsidRPr="00922031" w14:paraId="2A8C8E0C" w14:textId="77777777" w:rsidTr="005808FC">
        <w:trPr>
          <w:trHeight w:val="227"/>
        </w:trPr>
        <w:tc>
          <w:tcPr>
            <w:tcW w:w="2095" w:type="dxa"/>
            <w:vMerge/>
            <w:shd w:val="clear" w:color="auto" w:fill="F2DBDB" w:themeFill="accent2" w:themeFillTint="33"/>
            <w:vAlign w:val="center"/>
          </w:tcPr>
          <w:p w14:paraId="0F06AC18" w14:textId="77777777" w:rsidR="00D21C4A" w:rsidRPr="00922031" w:rsidRDefault="00D21C4A" w:rsidP="00982332">
            <w:pPr>
              <w:spacing w:after="0"/>
              <w:rPr>
                <w:rFonts w:cstheme="minorHAnsi"/>
                <w:color w:val="000000"/>
                <w:sz w:val="20"/>
                <w:szCs w:val="20"/>
                <w:lang w:eastAsia="hr-HR"/>
              </w:rPr>
            </w:pPr>
          </w:p>
        </w:tc>
        <w:tc>
          <w:tcPr>
            <w:tcW w:w="1600" w:type="dxa"/>
            <w:shd w:val="clear" w:color="auto" w:fill="auto"/>
            <w:noWrap/>
            <w:vAlign w:val="bottom"/>
          </w:tcPr>
          <w:p w14:paraId="0E04DC0E"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Javna rasvjeta</w:t>
            </w:r>
          </w:p>
        </w:tc>
        <w:tc>
          <w:tcPr>
            <w:tcW w:w="1810" w:type="dxa"/>
            <w:shd w:val="clear" w:color="auto" w:fill="auto"/>
            <w:noWrap/>
            <w:vAlign w:val="bottom"/>
          </w:tcPr>
          <w:p w14:paraId="6B7AB590" w14:textId="77777777" w:rsidR="00D21C4A" w:rsidRPr="005808FC" w:rsidRDefault="00D21C4A" w:rsidP="005808FC">
            <w:pPr>
              <w:spacing w:after="0"/>
              <w:rPr>
                <w:color w:val="000000" w:themeColor="text1"/>
                <w:sz w:val="20"/>
                <w:szCs w:val="20"/>
              </w:rPr>
            </w:pPr>
            <w:r w:rsidRPr="00291DF5">
              <w:rPr>
                <w:color w:val="000000"/>
                <w:sz w:val="20"/>
                <w:szCs w:val="20"/>
              </w:rPr>
              <w:t>29.175,56</w:t>
            </w:r>
          </w:p>
        </w:tc>
        <w:tc>
          <w:tcPr>
            <w:tcW w:w="1800" w:type="dxa"/>
            <w:shd w:val="clear" w:color="auto" w:fill="auto"/>
            <w:noWrap/>
            <w:vAlign w:val="center"/>
          </w:tcPr>
          <w:p w14:paraId="5D944328" w14:textId="77777777" w:rsidR="00D21C4A" w:rsidRPr="005808FC" w:rsidRDefault="00D21C4A" w:rsidP="005808FC">
            <w:pPr>
              <w:spacing w:after="0"/>
              <w:rPr>
                <w:color w:val="000000" w:themeColor="text1"/>
                <w:sz w:val="20"/>
                <w:szCs w:val="20"/>
              </w:rPr>
            </w:pPr>
            <w:r>
              <w:rPr>
                <w:rFonts w:ascii="Calibri" w:hAnsi="Calibri" w:cs="Calibri"/>
                <w:color w:val="000000"/>
                <w:sz w:val="20"/>
                <w:szCs w:val="20"/>
              </w:rPr>
              <w:t>4.119,20</w:t>
            </w:r>
          </w:p>
        </w:tc>
        <w:tc>
          <w:tcPr>
            <w:tcW w:w="1620" w:type="dxa"/>
            <w:shd w:val="clear" w:color="auto" w:fill="auto"/>
            <w:noWrap/>
            <w:vAlign w:val="bottom"/>
          </w:tcPr>
          <w:p w14:paraId="1BE13A76" w14:textId="77777777"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-85,88</w:t>
            </w:r>
          </w:p>
        </w:tc>
      </w:tr>
      <w:tr w:rsidR="00D21C4A" w:rsidRPr="00922031" w14:paraId="6C9759D1" w14:textId="77777777" w:rsidTr="005808FC">
        <w:trPr>
          <w:trHeight w:val="227"/>
        </w:trPr>
        <w:tc>
          <w:tcPr>
            <w:tcW w:w="2095" w:type="dxa"/>
            <w:vMerge/>
            <w:shd w:val="clear" w:color="auto" w:fill="F2DBDB" w:themeFill="accent2" w:themeFillTint="33"/>
            <w:vAlign w:val="center"/>
          </w:tcPr>
          <w:p w14:paraId="6D321948" w14:textId="77777777" w:rsidR="00D21C4A" w:rsidRPr="00922031" w:rsidRDefault="00D21C4A" w:rsidP="00982332">
            <w:pPr>
              <w:spacing w:after="0"/>
              <w:rPr>
                <w:rFonts w:cstheme="minorHAnsi"/>
                <w:color w:val="000000"/>
                <w:sz w:val="20"/>
                <w:szCs w:val="20"/>
                <w:lang w:eastAsia="hr-HR"/>
              </w:rPr>
            </w:pPr>
          </w:p>
        </w:tc>
        <w:tc>
          <w:tcPr>
            <w:tcW w:w="1600" w:type="dxa"/>
            <w:shd w:val="clear" w:color="auto" w:fill="D9D9D9" w:themeFill="background1" w:themeFillShade="D9"/>
            <w:noWrap/>
            <w:vAlign w:val="bottom"/>
          </w:tcPr>
          <w:p w14:paraId="3600BE77" w14:textId="77777777" w:rsidR="00D21C4A" w:rsidRPr="005808FC" w:rsidRDefault="00D21C4A" w:rsidP="005808FC">
            <w:pPr>
              <w:spacing w:after="0"/>
              <w:rPr>
                <w:color w:val="000000" w:themeColor="text1"/>
                <w:sz w:val="20"/>
                <w:szCs w:val="20"/>
                <w:lang w:eastAsia="hr-HR"/>
              </w:rPr>
            </w:pPr>
            <w:r w:rsidRPr="00291DF5">
              <w:rPr>
                <w:color w:val="000000"/>
                <w:sz w:val="20"/>
                <w:szCs w:val="20"/>
                <w:lang w:eastAsia="hr-HR"/>
              </w:rPr>
              <w:t>UKUPNO</w:t>
            </w:r>
          </w:p>
        </w:tc>
        <w:tc>
          <w:tcPr>
            <w:tcW w:w="1810" w:type="dxa"/>
            <w:shd w:val="clear" w:color="auto" w:fill="D9D9D9" w:themeFill="background1" w:themeFillShade="D9"/>
            <w:noWrap/>
            <w:vAlign w:val="bottom"/>
          </w:tcPr>
          <w:p w14:paraId="5597B6DE" w14:textId="77777777" w:rsidR="00D21C4A" w:rsidRPr="005808FC" w:rsidRDefault="00D21C4A" w:rsidP="005808FC">
            <w:pPr>
              <w:spacing w:after="0"/>
              <w:rPr>
                <w:color w:val="000000" w:themeColor="text1"/>
                <w:sz w:val="20"/>
                <w:szCs w:val="20"/>
              </w:rPr>
            </w:pPr>
            <w:r w:rsidRPr="00291DF5">
              <w:rPr>
                <w:color w:val="000000"/>
                <w:sz w:val="20"/>
                <w:szCs w:val="20"/>
              </w:rPr>
              <w:t>2.796.050,89</w:t>
            </w:r>
          </w:p>
        </w:tc>
        <w:tc>
          <w:tcPr>
            <w:tcW w:w="1800" w:type="dxa"/>
            <w:shd w:val="clear" w:color="auto" w:fill="D9D9D9" w:themeFill="background1" w:themeFillShade="D9"/>
            <w:noWrap/>
            <w:vAlign w:val="bottom"/>
          </w:tcPr>
          <w:p w14:paraId="384F421C" w14:textId="5080D8D7" w:rsidR="00D21C4A" w:rsidRPr="005808FC" w:rsidRDefault="00D21C4A" w:rsidP="005808FC">
            <w:pPr>
              <w:spacing w:after="0"/>
              <w:rPr>
                <w:color w:val="000000" w:themeColor="text1"/>
                <w:sz w:val="20"/>
                <w:szCs w:val="20"/>
              </w:rPr>
            </w:pPr>
            <w:r>
              <w:rPr>
                <w:rFonts w:ascii="Calibri" w:hAnsi="Calibri" w:cs="Calibri"/>
                <w:color w:val="000000"/>
                <w:sz w:val="20"/>
                <w:szCs w:val="20"/>
              </w:rPr>
              <w:t>1.6</w:t>
            </w:r>
            <w:r w:rsidR="004F52CF">
              <w:rPr>
                <w:rFonts w:ascii="Calibri" w:hAnsi="Calibri" w:cs="Calibri"/>
                <w:color w:val="000000"/>
                <w:sz w:val="20"/>
                <w:szCs w:val="20"/>
              </w:rPr>
              <w:t>31</w:t>
            </w:r>
            <w:r>
              <w:rPr>
                <w:rFonts w:ascii="Calibri" w:hAnsi="Calibri" w:cs="Calibri"/>
                <w:color w:val="000000"/>
                <w:sz w:val="20"/>
                <w:szCs w:val="20"/>
              </w:rPr>
              <w:t>.</w:t>
            </w:r>
            <w:r w:rsidR="004F52CF">
              <w:rPr>
                <w:rFonts w:ascii="Calibri" w:hAnsi="Calibri" w:cs="Calibri"/>
                <w:color w:val="000000"/>
                <w:sz w:val="20"/>
                <w:szCs w:val="20"/>
              </w:rPr>
              <w:t>536,3</w:t>
            </w:r>
          </w:p>
        </w:tc>
        <w:tc>
          <w:tcPr>
            <w:tcW w:w="1620" w:type="dxa"/>
            <w:shd w:val="clear" w:color="auto" w:fill="D9D9D9" w:themeFill="background1" w:themeFillShade="D9"/>
            <w:noWrap/>
            <w:vAlign w:val="bottom"/>
          </w:tcPr>
          <w:p w14:paraId="53A7EF62" w14:textId="7A0B8931" w:rsidR="00D21C4A" w:rsidRPr="005808FC" w:rsidRDefault="00D21C4A" w:rsidP="005808FC">
            <w:pPr>
              <w:spacing w:after="0"/>
              <w:jc w:val="center"/>
              <w:rPr>
                <w:color w:val="000000" w:themeColor="text1"/>
                <w:sz w:val="20"/>
                <w:szCs w:val="20"/>
              </w:rPr>
            </w:pPr>
            <w:r>
              <w:rPr>
                <w:rFonts w:ascii="Calibri" w:hAnsi="Calibri" w:cs="Calibri"/>
                <w:color w:val="000000"/>
                <w:sz w:val="20"/>
                <w:szCs w:val="20"/>
              </w:rPr>
              <w:t>-41,</w:t>
            </w:r>
            <w:r w:rsidR="004F52CF">
              <w:rPr>
                <w:rFonts w:ascii="Calibri" w:hAnsi="Calibri" w:cs="Calibri"/>
                <w:color w:val="000000"/>
                <w:sz w:val="20"/>
                <w:szCs w:val="20"/>
              </w:rPr>
              <w:t>65</w:t>
            </w:r>
          </w:p>
        </w:tc>
      </w:tr>
    </w:tbl>
    <w:p w14:paraId="055D9141" w14:textId="77777777" w:rsidR="00D21C4A" w:rsidRPr="00922031" w:rsidRDefault="00D21C4A" w:rsidP="00D21C4A">
      <w:pPr>
        <w:spacing w:after="0"/>
        <w:rPr>
          <w:rFonts w:cstheme="minorHAnsi"/>
        </w:rPr>
      </w:pPr>
    </w:p>
    <w:p w14:paraId="719A147F" w14:textId="279B1BE2" w:rsidR="00D21C4A" w:rsidRDefault="00D21C4A" w:rsidP="005808FC">
      <w:pPr>
        <w:spacing w:after="0"/>
      </w:pPr>
      <w:r w:rsidRPr="00291DF5">
        <w:t xml:space="preserve">Ukupna emisija scenarija bez mjera iznosi </w:t>
      </w:r>
      <w:r w:rsidRPr="005808FC">
        <w:rPr>
          <w:color w:val="000000"/>
        </w:rPr>
        <w:t>oko 2500</w:t>
      </w:r>
      <w:r w:rsidRPr="005808FC">
        <w:rPr>
          <w:sz w:val="24"/>
          <w:szCs w:val="24"/>
        </w:rPr>
        <w:t xml:space="preserve"> </w:t>
      </w:r>
      <w:r w:rsidRPr="005808FC">
        <w:t>kt CO</w:t>
      </w:r>
      <w:r w:rsidRPr="005808FC">
        <w:rPr>
          <w:vertAlign w:val="subscript"/>
        </w:rPr>
        <w:t>2</w:t>
      </w:r>
      <w:r w:rsidRPr="005808FC">
        <w:t xml:space="preserve">, što je u odnosu na 2008. godinu smanjenje u emisijama od </w:t>
      </w:r>
      <w:r w:rsidR="004F52CF" w:rsidRPr="005808FC">
        <w:t>10</w:t>
      </w:r>
      <w:r w:rsidRPr="00291DF5">
        <w:t>,6%. Scenarij bez mjera podrazumijeva da će slijedom primjene novih</w:t>
      </w:r>
      <w:r w:rsidR="004F52CF" w:rsidRPr="005808FC">
        <w:t xml:space="preserve"> tehnologija</w:t>
      </w:r>
      <w:r w:rsidR="000509A0">
        <w:t xml:space="preserve"> i </w:t>
      </w:r>
      <w:r w:rsidRPr="00291DF5">
        <w:t xml:space="preserve">unaprijeđenih zakona te europskih direktiva doći do smanjenja u odnosu na zadanu baznu godinu, međutim kako bi se postigao indikativni cilj smanjenja emisija od 40% do 2030. godine, potreban je dodatni angažman. </w:t>
      </w:r>
    </w:p>
    <w:p w14:paraId="3F113A95" w14:textId="25A6DB4D" w:rsidR="00D21C4A" w:rsidRPr="00F34C5E" w:rsidRDefault="00D21C4A" w:rsidP="005808FC">
      <w:pPr>
        <w:spacing w:after="0"/>
      </w:pPr>
      <w:r w:rsidRPr="00291DF5">
        <w:t xml:space="preserve">Projekcija smanjenja emisija za scenarij s </w:t>
      </w:r>
      <w:r w:rsidRPr="005808FC">
        <w:t>mjerama potvrđuje tu činjenicu</w:t>
      </w:r>
      <w:r w:rsidR="000509A0">
        <w:t xml:space="preserve"> i </w:t>
      </w:r>
      <w:r w:rsidRPr="00291DF5">
        <w:t>pokazuje da, uz primjenu mjera smanjenja energetske potrošnje</w:t>
      </w:r>
      <w:r w:rsidR="000509A0">
        <w:t xml:space="preserve"> i </w:t>
      </w:r>
      <w:r w:rsidRPr="00291DF5">
        <w:t>emisija CO</w:t>
      </w:r>
      <w:r w:rsidRPr="005808FC">
        <w:rPr>
          <w:vertAlign w:val="subscript"/>
        </w:rPr>
        <w:t>2</w:t>
      </w:r>
      <w:r w:rsidRPr="005808FC">
        <w:t>, ukupne emisije CO</w:t>
      </w:r>
      <w:r w:rsidRPr="005808FC">
        <w:rPr>
          <w:vertAlign w:val="subscript"/>
        </w:rPr>
        <w:t>2</w:t>
      </w:r>
      <w:r w:rsidRPr="005808FC">
        <w:t xml:space="preserve"> u 2030. godini iznose oko 16</w:t>
      </w:r>
      <w:r w:rsidR="004F52CF" w:rsidRPr="005808FC">
        <w:t>3</w:t>
      </w:r>
      <w:r w:rsidRPr="00291DF5">
        <w:t>0 kt CO</w:t>
      </w:r>
      <w:r w:rsidRPr="005808FC">
        <w:rPr>
          <w:vertAlign w:val="subscript"/>
        </w:rPr>
        <w:t>2</w:t>
      </w:r>
      <w:r w:rsidRPr="005808FC">
        <w:t>, što u odnosu na baznu godinu predstavlja smanjenje u ukupnim emisijama od 41,</w:t>
      </w:r>
      <w:r w:rsidR="004F52CF" w:rsidRPr="005808FC">
        <w:t>65</w:t>
      </w:r>
      <w:r w:rsidRPr="00291DF5">
        <w:t>%.</w:t>
      </w:r>
    </w:p>
    <w:p w14:paraId="13013615" w14:textId="77777777" w:rsidR="00D21C4A" w:rsidRDefault="00D21C4A" w:rsidP="00D21C4A">
      <w:pPr>
        <w:spacing w:after="0"/>
        <w:rPr>
          <w:rFonts w:cstheme="minorHAnsi"/>
        </w:rPr>
      </w:pPr>
    </w:p>
    <w:p w14:paraId="30846FD6" w14:textId="77777777" w:rsidR="00D21C4A" w:rsidRPr="00922031" w:rsidRDefault="00D21C4A" w:rsidP="005808FC">
      <w:pPr>
        <w:spacing w:after="0"/>
      </w:pPr>
      <w:r w:rsidRPr="00291DF5">
        <w:t xml:space="preserve">Ukupni potencijali smanjenja emisija po sektorima u 2030. godini prikazani su u Tablici 10.2. </w:t>
      </w:r>
    </w:p>
    <w:p w14:paraId="63C34506" w14:textId="77777777" w:rsidR="00D21C4A" w:rsidRPr="005808FC" w:rsidRDefault="00D21C4A" w:rsidP="00D21C4A">
      <w:pPr>
        <w:pStyle w:val="Caption"/>
        <w:rPr>
          <w:rFonts w:asciiTheme="minorHAnsi" w:hAnsiTheme="minorHAnsi" w:cstheme="minorHAnsi"/>
          <w:lang w:val="it-IT"/>
        </w:rPr>
      </w:pPr>
      <w:bookmarkStart w:id="280" w:name="_Toc4156018"/>
      <w:r w:rsidRPr="005808FC">
        <w:rPr>
          <w:lang w:val="it-IT"/>
        </w:rPr>
        <w:t xml:space="preserve">Tablica </w:t>
      </w:r>
      <w:r>
        <w:fldChar w:fldCharType="begin"/>
      </w:r>
      <w:r w:rsidRPr="005808FC">
        <w:rPr>
          <w:lang w:val="it-IT"/>
        </w:rPr>
        <w:instrText xml:space="preserve"> STYLEREF 1 \s </w:instrText>
      </w:r>
      <w:r>
        <w:fldChar w:fldCharType="separate"/>
      </w:r>
      <w:r w:rsidRPr="005808FC">
        <w:rPr>
          <w:lang w:val="it-IT"/>
        </w:rPr>
        <w:t>10</w:t>
      </w:r>
      <w:r>
        <w:fldChar w:fldCharType="end"/>
      </w:r>
      <w:r w:rsidRPr="005808FC">
        <w:rPr>
          <w:lang w:val="it-IT"/>
        </w:rPr>
        <w:t>.</w:t>
      </w:r>
      <w:r>
        <w:fldChar w:fldCharType="begin"/>
      </w:r>
      <w:r w:rsidRPr="005808FC">
        <w:rPr>
          <w:lang w:val="it-IT"/>
        </w:rPr>
        <w:instrText xml:space="preserve"> SEQ Tablica \* ARABIC \s 1 </w:instrText>
      </w:r>
      <w:r>
        <w:fldChar w:fldCharType="separate"/>
      </w:r>
      <w:r w:rsidRPr="005808FC">
        <w:rPr>
          <w:lang w:val="it-IT"/>
        </w:rPr>
        <w:t>2</w:t>
      </w:r>
      <w:r>
        <w:fldChar w:fldCharType="end"/>
      </w:r>
      <w:r w:rsidRPr="005808FC">
        <w:rPr>
          <w:lang w:val="it-IT"/>
        </w:rPr>
        <w:t xml:space="preserve"> - </w:t>
      </w:r>
      <w:r w:rsidRPr="005808FC">
        <w:rPr>
          <w:rFonts w:asciiTheme="minorHAnsi" w:hAnsiTheme="minorHAnsi" w:cstheme="minorHAnsi"/>
          <w:lang w:val="it-IT"/>
        </w:rPr>
        <w:t>Ukupni potencijali smanjenja emisija po sektorima</w:t>
      </w:r>
      <w:bookmarkEnd w:id="280"/>
    </w:p>
    <w:tbl>
      <w:tblPr>
        <w:tblW w:w="8364" w:type="dxa"/>
        <w:tblInd w:w="108"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000" w:firstRow="0" w:lastRow="0" w:firstColumn="0" w:lastColumn="0" w:noHBand="0" w:noVBand="0"/>
      </w:tblPr>
      <w:tblGrid>
        <w:gridCol w:w="2268"/>
        <w:gridCol w:w="2795"/>
        <w:gridCol w:w="3301"/>
      </w:tblGrid>
      <w:tr w:rsidR="00D21C4A" w:rsidRPr="00922031" w14:paraId="7010B339" w14:textId="77777777" w:rsidTr="005808FC">
        <w:trPr>
          <w:trHeight w:val="227"/>
        </w:trPr>
        <w:tc>
          <w:tcPr>
            <w:tcW w:w="2268" w:type="dxa"/>
            <w:shd w:val="clear" w:color="auto" w:fill="C6D9F1" w:themeFill="text2" w:themeFillTint="33"/>
            <w:noWrap/>
            <w:vAlign w:val="center"/>
          </w:tcPr>
          <w:p w14:paraId="553BE0AE" w14:textId="77777777" w:rsidR="00D21C4A" w:rsidRPr="005808FC" w:rsidRDefault="00D21C4A" w:rsidP="005808FC">
            <w:pPr>
              <w:spacing w:after="0"/>
              <w:rPr>
                <w:b/>
                <w:bCs/>
                <w:sz w:val="20"/>
                <w:szCs w:val="20"/>
                <w:lang w:eastAsia="hr-HR"/>
              </w:rPr>
            </w:pPr>
            <w:r w:rsidRPr="00291DF5">
              <w:rPr>
                <w:b/>
                <w:bCs/>
                <w:sz w:val="20"/>
                <w:szCs w:val="20"/>
                <w:lang w:eastAsia="hr-HR"/>
              </w:rPr>
              <w:t>Sektor</w:t>
            </w:r>
          </w:p>
        </w:tc>
        <w:tc>
          <w:tcPr>
            <w:tcW w:w="2795" w:type="dxa"/>
            <w:shd w:val="clear" w:color="auto" w:fill="C6D9F1" w:themeFill="text2" w:themeFillTint="33"/>
            <w:vAlign w:val="center"/>
          </w:tcPr>
          <w:p w14:paraId="75274375" w14:textId="77777777" w:rsidR="00D21C4A" w:rsidRPr="005808FC" w:rsidRDefault="00D21C4A" w:rsidP="005808FC">
            <w:pPr>
              <w:spacing w:after="0"/>
              <w:rPr>
                <w:b/>
                <w:bCs/>
                <w:sz w:val="20"/>
                <w:szCs w:val="20"/>
                <w:lang w:eastAsia="hr-HR"/>
              </w:rPr>
            </w:pPr>
            <w:r w:rsidRPr="00291DF5">
              <w:rPr>
                <w:b/>
                <w:bCs/>
                <w:sz w:val="20"/>
                <w:szCs w:val="20"/>
                <w:lang w:eastAsia="hr-HR"/>
              </w:rPr>
              <w:t>Potencijal smanjenja</w:t>
            </w:r>
          </w:p>
        </w:tc>
        <w:tc>
          <w:tcPr>
            <w:tcW w:w="3301" w:type="dxa"/>
            <w:shd w:val="clear" w:color="auto" w:fill="C6D9F1" w:themeFill="text2" w:themeFillTint="33"/>
            <w:vAlign w:val="center"/>
          </w:tcPr>
          <w:p w14:paraId="7E53CDF2" w14:textId="194B1401" w:rsidR="00D21C4A" w:rsidRPr="005808FC" w:rsidRDefault="00D21C4A" w:rsidP="005808FC">
            <w:pPr>
              <w:spacing w:after="0"/>
              <w:rPr>
                <w:b/>
                <w:bCs/>
                <w:sz w:val="20"/>
                <w:szCs w:val="20"/>
                <w:lang w:eastAsia="hr-HR"/>
              </w:rPr>
            </w:pPr>
            <w:r w:rsidRPr="00291DF5">
              <w:rPr>
                <w:b/>
                <w:bCs/>
                <w:sz w:val="20"/>
                <w:szCs w:val="20"/>
                <w:lang w:eastAsia="hr-HR"/>
              </w:rPr>
              <w:t>Udio u ukupnom pote</w:t>
            </w:r>
            <w:r w:rsidRPr="005808FC">
              <w:rPr>
                <w:b/>
                <w:bCs/>
                <w:sz w:val="20"/>
                <w:szCs w:val="20"/>
                <w:lang w:eastAsia="hr-HR"/>
              </w:rPr>
              <w:t>ncijalu,</w:t>
            </w:r>
            <w:r w:rsidR="000509A0">
              <w:rPr>
                <w:b/>
                <w:bCs/>
                <w:sz w:val="20"/>
                <w:szCs w:val="20"/>
                <w:lang w:eastAsia="hr-HR"/>
              </w:rPr>
              <w:t>%</w:t>
            </w:r>
          </w:p>
        </w:tc>
      </w:tr>
      <w:tr w:rsidR="00D21C4A" w:rsidRPr="00922031" w14:paraId="63797394" w14:textId="77777777" w:rsidTr="005808FC">
        <w:trPr>
          <w:trHeight w:val="227"/>
        </w:trPr>
        <w:tc>
          <w:tcPr>
            <w:tcW w:w="2268" w:type="dxa"/>
            <w:shd w:val="clear" w:color="auto" w:fill="F2DBDB" w:themeFill="accent2" w:themeFillTint="33"/>
            <w:noWrap/>
            <w:vAlign w:val="bottom"/>
          </w:tcPr>
          <w:p w14:paraId="4BB88AB7" w14:textId="77777777" w:rsidR="00D21C4A" w:rsidRPr="005808FC" w:rsidRDefault="00D21C4A" w:rsidP="005808FC">
            <w:pPr>
              <w:spacing w:after="0"/>
              <w:rPr>
                <w:sz w:val="20"/>
                <w:szCs w:val="20"/>
                <w:lang w:eastAsia="hr-HR"/>
              </w:rPr>
            </w:pPr>
            <w:r w:rsidRPr="00291DF5">
              <w:rPr>
                <w:sz w:val="20"/>
                <w:szCs w:val="20"/>
                <w:lang w:eastAsia="hr-HR"/>
              </w:rPr>
              <w:t>Promet</w:t>
            </w:r>
          </w:p>
        </w:tc>
        <w:tc>
          <w:tcPr>
            <w:tcW w:w="2795" w:type="dxa"/>
            <w:vAlign w:val="center"/>
          </w:tcPr>
          <w:p w14:paraId="01AE75D0" w14:textId="2AF29F56" w:rsidR="00D21C4A" w:rsidRPr="005808FC" w:rsidRDefault="00D21C4A" w:rsidP="005808FC">
            <w:pPr>
              <w:spacing w:after="0"/>
              <w:rPr>
                <w:sz w:val="20"/>
                <w:szCs w:val="20"/>
              </w:rPr>
            </w:pPr>
            <w:r>
              <w:rPr>
                <w:rFonts w:ascii="Calibri" w:hAnsi="Calibri" w:cs="Calibri"/>
                <w:color w:val="000000"/>
                <w:sz w:val="20"/>
                <w:szCs w:val="20"/>
              </w:rPr>
              <w:t>2</w:t>
            </w:r>
            <w:r w:rsidR="004F52CF">
              <w:rPr>
                <w:rFonts w:ascii="Calibri" w:hAnsi="Calibri" w:cs="Calibri"/>
                <w:color w:val="000000"/>
                <w:sz w:val="20"/>
                <w:szCs w:val="20"/>
              </w:rPr>
              <w:t>24</w:t>
            </w:r>
            <w:r>
              <w:rPr>
                <w:rFonts w:ascii="Calibri" w:hAnsi="Calibri" w:cs="Calibri"/>
                <w:color w:val="000000"/>
                <w:sz w:val="20"/>
                <w:szCs w:val="20"/>
              </w:rPr>
              <w:t>.</w:t>
            </w:r>
            <w:r w:rsidR="004F52CF">
              <w:rPr>
                <w:rFonts w:ascii="Calibri" w:hAnsi="Calibri" w:cs="Calibri"/>
                <w:color w:val="000000"/>
                <w:sz w:val="20"/>
                <w:szCs w:val="20"/>
              </w:rPr>
              <w:t>381</w:t>
            </w:r>
            <w:r>
              <w:rPr>
                <w:rFonts w:ascii="Calibri" w:hAnsi="Calibri" w:cs="Calibri"/>
                <w:color w:val="000000"/>
                <w:sz w:val="20"/>
                <w:szCs w:val="20"/>
              </w:rPr>
              <w:t>,</w:t>
            </w:r>
            <w:r w:rsidR="004F52CF">
              <w:rPr>
                <w:rFonts w:ascii="Calibri" w:hAnsi="Calibri" w:cs="Calibri"/>
                <w:color w:val="000000"/>
                <w:sz w:val="20"/>
                <w:szCs w:val="20"/>
              </w:rPr>
              <w:t>7</w:t>
            </w:r>
          </w:p>
        </w:tc>
        <w:tc>
          <w:tcPr>
            <w:tcW w:w="3301" w:type="dxa"/>
            <w:vAlign w:val="bottom"/>
          </w:tcPr>
          <w:p w14:paraId="1CEA4C2F" w14:textId="38D76B07" w:rsidR="00D21C4A" w:rsidRPr="005808FC" w:rsidRDefault="00D21C4A" w:rsidP="005808FC">
            <w:pPr>
              <w:spacing w:after="0"/>
              <w:rPr>
                <w:sz w:val="20"/>
                <w:szCs w:val="20"/>
              </w:rPr>
            </w:pPr>
            <w:r>
              <w:rPr>
                <w:rFonts w:ascii="Calibri" w:hAnsi="Calibri" w:cs="Calibri"/>
                <w:color w:val="000000"/>
                <w:sz w:val="20"/>
                <w:szCs w:val="20"/>
              </w:rPr>
              <w:t>25,</w:t>
            </w:r>
            <w:r w:rsidR="004F52CF">
              <w:rPr>
                <w:rFonts w:ascii="Calibri" w:hAnsi="Calibri" w:cs="Calibri"/>
                <w:color w:val="000000"/>
                <w:sz w:val="20"/>
                <w:szCs w:val="20"/>
              </w:rPr>
              <w:t>85</w:t>
            </w:r>
          </w:p>
        </w:tc>
      </w:tr>
      <w:tr w:rsidR="00D21C4A" w:rsidRPr="00922031" w14:paraId="1453224F" w14:textId="77777777" w:rsidTr="005808FC">
        <w:trPr>
          <w:trHeight w:val="227"/>
        </w:trPr>
        <w:tc>
          <w:tcPr>
            <w:tcW w:w="2268" w:type="dxa"/>
            <w:shd w:val="clear" w:color="auto" w:fill="F2DBDB" w:themeFill="accent2" w:themeFillTint="33"/>
            <w:noWrap/>
            <w:vAlign w:val="bottom"/>
          </w:tcPr>
          <w:p w14:paraId="4553D0B4" w14:textId="77777777" w:rsidR="00D21C4A" w:rsidRPr="005808FC" w:rsidRDefault="00D21C4A" w:rsidP="005808FC">
            <w:pPr>
              <w:spacing w:after="0"/>
              <w:rPr>
                <w:sz w:val="20"/>
                <w:szCs w:val="20"/>
                <w:lang w:eastAsia="hr-HR"/>
              </w:rPr>
            </w:pPr>
            <w:r w:rsidRPr="00291DF5">
              <w:rPr>
                <w:sz w:val="20"/>
                <w:szCs w:val="20"/>
                <w:lang w:eastAsia="hr-HR"/>
              </w:rPr>
              <w:t>Zgradarstvo</w:t>
            </w:r>
          </w:p>
        </w:tc>
        <w:tc>
          <w:tcPr>
            <w:tcW w:w="2795" w:type="dxa"/>
            <w:vAlign w:val="center"/>
          </w:tcPr>
          <w:p w14:paraId="3B7A5E5C" w14:textId="77777777" w:rsidR="00D21C4A" w:rsidRPr="005808FC" w:rsidRDefault="00D21C4A" w:rsidP="005808FC">
            <w:pPr>
              <w:spacing w:after="0"/>
              <w:rPr>
                <w:sz w:val="20"/>
                <w:szCs w:val="20"/>
              </w:rPr>
            </w:pPr>
            <w:r>
              <w:rPr>
                <w:rFonts w:ascii="Calibri" w:hAnsi="Calibri" w:cs="Calibri"/>
                <w:color w:val="000000"/>
                <w:sz w:val="20"/>
                <w:szCs w:val="20"/>
              </w:rPr>
              <w:t>640.792,70</w:t>
            </w:r>
          </w:p>
        </w:tc>
        <w:tc>
          <w:tcPr>
            <w:tcW w:w="3301" w:type="dxa"/>
            <w:vAlign w:val="bottom"/>
          </w:tcPr>
          <w:p w14:paraId="6082C883" w14:textId="3B31BBA4" w:rsidR="00D21C4A" w:rsidRPr="005808FC" w:rsidRDefault="00D21C4A" w:rsidP="005808FC">
            <w:pPr>
              <w:spacing w:after="0"/>
              <w:rPr>
                <w:sz w:val="20"/>
                <w:szCs w:val="20"/>
              </w:rPr>
            </w:pPr>
            <w:r>
              <w:rPr>
                <w:rFonts w:ascii="Calibri" w:hAnsi="Calibri" w:cs="Calibri"/>
                <w:color w:val="000000"/>
                <w:sz w:val="20"/>
                <w:szCs w:val="20"/>
              </w:rPr>
              <w:t>7</w:t>
            </w:r>
            <w:r w:rsidR="004F52CF">
              <w:rPr>
                <w:rFonts w:ascii="Calibri" w:hAnsi="Calibri" w:cs="Calibri"/>
                <w:color w:val="000000"/>
                <w:sz w:val="20"/>
                <w:szCs w:val="20"/>
              </w:rPr>
              <w:t>3,81</w:t>
            </w:r>
          </w:p>
        </w:tc>
      </w:tr>
      <w:tr w:rsidR="00D21C4A" w:rsidRPr="00922031" w14:paraId="3CC8DEF8" w14:textId="77777777" w:rsidTr="005808FC">
        <w:trPr>
          <w:trHeight w:val="227"/>
        </w:trPr>
        <w:tc>
          <w:tcPr>
            <w:tcW w:w="2268" w:type="dxa"/>
            <w:shd w:val="clear" w:color="auto" w:fill="F2DBDB" w:themeFill="accent2" w:themeFillTint="33"/>
            <w:noWrap/>
            <w:vAlign w:val="bottom"/>
          </w:tcPr>
          <w:p w14:paraId="5457E692" w14:textId="77777777" w:rsidR="00D21C4A" w:rsidRPr="005808FC" w:rsidRDefault="00D21C4A" w:rsidP="005808FC">
            <w:pPr>
              <w:spacing w:after="0"/>
              <w:rPr>
                <w:sz w:val="20"/>
                <w:szCs w:val="20"/>
                <w:lang w:eastAsia="hr-HR"/>
              </w:rPr>
            </w:pPr>
            <w:r w:rsidRPr="00291DF5">
              <w:rPr>
                <w:sz w:val="20"/>
                <w:szCs w:val="20"/>
                <w:lang w:eastAsia="hr-HR"/>
              </w:rPr>
              <w:t>Javna rasvjeta</w:t>
            </w:r>
          </w:p>
        </w:tc>
        <w:tc>
          <w:tcPr>
            <w:tcW w:w="2795" w:type="dxa"/>
            <w:vAlign w:val="center"/>
          </w:tcPr>
          <w:p w14:paraId="4B355FE1" w14:textId="77777777" w:rsidR="00D21C4A" w:rsidRPr="005808FC" w:rsidRDefault="00D21C4A" w:rsidP="005808FC">
            <w:pPr>
              <w:spacing w:after="0"/>
              <w:rPr>
                <w:sz w:val="20"/>
                <w:szCs w:val="20"/>
              </w:rPr>
            </w:pPr>
            <w:r>
              <w:rPr>
                <w:rFonts w:ascii="Calibri" w:hAnsi="Calibri" w:cs="Calibri"/>
                <w:color w:val="000000"/>
                <w:sz w:val="20"/>
                <w:szCs w:val="20"/>
              </w:rPr>
              <w:t>2.957,00</w:t>
            </w:r>
          </w:p>
        </w:tc>
        <w:tc>
          <w:tcPr>
            <w:tcW w:w="3301" w:type="dxa"/>
            <w:vAlign w:val="bottom"/>
          </w:tcPr>
          <w:p w14:paraId="59AC29B5" w14:textId="77777777" w:rsidR="00D21C4A" w:rsidRPr="005808FC" w:rsidRDefault="00D21C4A" w:rsidP="005808FC">
            <w:pPr>
              <w:spacing w:after="0"/>
              <w:rPr>
                <w:sz w:val="20"/>
                <w:szCs w:val="20"/>
              </w:rPr>
            </w:pPr>
            <w:r>
              <w:rPr>
                <w:rFonts w:ascii="Calibri" w:hAnsi="Calibri" w:cs="Calibri"/>
                <w:color w:val="000000"/>
                <w:sz w:val="20"/>
                <w:szCs w:val="20"/>
              </w:rPr>
              <w:t>0,34</w:t>
            </w:r>
          </w:p>
        </w:tc>
      </w:tr>
      <w:tr w:rsidR="00D21C4A" w:rsidRPr="00922031" w14:paraId="12057124" w14:textId="77777777" w:rsidTr="005808FC">
        <w:trPr>
          <w:trHeight w:val="227"/>
        </w:trPr>
        <w:tc>
          <w:tcPr>
            <w:tcW w:w="2268" w:type="dxa"/>
            <w:shd w:val="clear" w:color="auto" w:fill="F2DBDB" w:themeFill="accent2" w:themeFillTint="33"/>
            <w:noWrap/>
            <w:vAlign w:val="bottom"/>
          </w:tcPr>
          <w:p w14:paraId="011E9E40" w14:textId="77777777" w:rsidR="00D21C4A" w:rsidRPr="005808FC" w:rsidRDefault="00D21C4A" w:rsidP="005808FC">
            <w:pPr>
              <w:spacing w:after="0"/>
              <w:rPr>
                <w:b/>
                <w:bCs/>
                <w:sz w:val="20"/>
                <w:szCs w:val="20"/>
                <w:lang w:eastAsia="hr-HR"/>
              </w:rPr>
            </w:pPr>
            <w:r w:rsidRPr="00291DF5">
              <w:rPr>
                <w:b/>
                <w:bCs/>
                <w:sz w:val="20"/>
                <w:szCs w:val="20"/>
                <w:lang w:eastAsia="hr-HR"/>
              </w:rPr>
              <w:t>UKUPNO</w:t>
            </w:r>
          </w:p>
        </w:tc>
        <w:tc>
          <w:tcPr>
            <w:tcW w:w="2795" w:type="dxa"/>
            <w:shd w:val="clear" w:color="auto" w:fill="auto"/>
            <w:vAlign w:val="center"/>
          </w:tcPr>
          <w:p w14:paraId="0EA99BAD" w14:textId="7DF86315" w:rsidR="00D21C4A" w:rsidRPr="005808FC" w:rsidRDefault="004F52CF" w:rsidP="005808FC">
            <w:pPr>
              <w:spacing w:after="0"/>
              <w:rPr>
                <w:b/>
                <w:bCs/>
                <w:sz w:val="20"/>
                <w:szCs w:val="20"/>
              </w:rPr>
            </w:pPr>
            <w:r>
              <w:rPr>
                <w:rFonts w:ascii="Calibri" w:hAnsi="Calibri" w:cs="Calibri"/>
                <w:b/>
                <w:bCs/>
                <w:color w:val="000000"/>
                <w:sz w:val="20"/>
                <w:szCs w:val="20"/>
              </w:rPr>
              <w:t>868.131,4</w:t>
            </w:r>
          </w:p>
        </w:tc>
        <w:tc>
          <w:tcPr>
            <w:tcW w:w="3301" w:type="dxa"/>
            <w:shd w:val="clear" w:color="auto" w:fill="auto"/>
            <w:vAlign w:val="bottom"/>
          </w:tcPr>
          <w:p w14:paraId="1BC5E596" w14:textId="77777777" w:rsidR="00D21C4A" w:rsidRPr="005808FC" w:rsidRDefault="00D21C4A" w:rsidP="005808FC">
            <w:pPr>
              <w:spacing w:after="0"/>
              <w:rPr>
                <w:b/>
                <w:bCs/>
                <w:sz w:val="20"/>
                <w:szCs w:val="20"/>
              </w:rPr>
            </w:pPr>
            <w:r>
              <w:rPr>
                <w:rFonts w:ascii="Calibri" w:hAnsi="Calibri" w:cs="Calibri"/>
                <w:b/>
                <w:bCs/>
                <w:color w:val="000000"/>
                <w:sz w:val="20"/>
                <w:szCs w:val="20"/>
              </w:rPr>
              <w:t>-</w:t>
            </w:r>
          </w:p>
        </w:tc>
      </w:tr>
    </w:tbl>
    <w:p w14:paraId="42B29740" w14:textId="6C5818EF" w:rsidR="00322C65" w:rsidRDefault="003D2CE8" w:rsidP="005808FC">
      <w:pPr>
        <w:jc w:val="center"/>
        <w:rPr>
          <w:rStyle w:val="slikeprave"/>
          <w:rFonts w:asciiTheme="minorHAnsi" w:hAnsiTheme="minorHAnsi"/>
          <w:bCs w:val="0"/>
          <w:i w:val="0"/>
        </w:rPr>
      </w:pPr>
      <w:r>
        <w:rPr>
          <w:noProof/>
          <w:lang w:eastAsia="hr-HR"/>
        </w:rPr>
        <w:drawing>
          <wp:inline distT="0" distB="0" distL="0" distR="0" wp14:anchorId="341DA92A" wp14:editId="43C1ED5B">
            <wp:extent cx="3533775" cy="2076450"/>
            <wp:effectExtent l="0" t="0" r="0" b="0"/>
            <wp:docPr id="11" name="Chart 11">
              <a:extLst xmlns:a="http://schemas.openxmlformats.org/drawingml/2006/main">
                <a:ext uri="{FF2B5EF4-FFF2-40B4-BE49-F238E27FC236}">
                  <a16:creationId xmlns:a16="http://schemas.microsoft.com/office/drawing/2014/main" id="{00000000-0008-0000-1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8ABCFA7" w14:textId="28995266" w:rsidR="00D21C4A" w:rsidRPr="005808FC" w:rsidRDefault="00D21C4A" w:rsidP="005808FC">
      <w:pPr>
        <w:rPr>
          <w:lang w:val="it-IT"/>
        </w:rPr>
      </w:pPr>
      <w:bookmarkStart w:id="281" w:name="_Toc4156053"/>
      <w:r w:rsidRPr="005808FC">
        <w:rPr>
          <w:rStyle w:val="slikeprave"/>
        </w:rPr>
        <w:t xml:space="preserve">Slika </w:t>
      </w:r>
      <w:r w:rsidRPr="005808FC">
        <w:rPr>
          <w:rStyle w:val="slikeprave"/>
        </w:rPr>
        <w:fldChar w:fldCharType="begin"/>
      </w:r>
      <w:r w:rsidRPr="005808FC">
        <w:rPr>
          <w:rStyle w:val="slikeprave"/>
        </w:rPr>
        <w:instrText xml:space="preserve"> STYLEREF 1 \s </w:instrText>
      </w:r>
      <w:r w:rsidRPr="005808FC">
        <w:rPr>
          <w:rStyle w:val="slikeprave"/>
        </w:rPr>
        <w:fldChar w:fldCharType="separate"/>
      </w:r>
      <w:r w:rsidRPr="005808FC">
        <w:rPr>
          <w:rStyle w:val="slikeprave"/>
        </w:rPr>
        <w:t>10</w:t>
      </w:r>
      <w:r w:rsidRPr="005808FC">
        <w:rPr>
          <w:rStyle w:val="slikeprave"/>
        </w:rPr>
        <w:fldChar w:fldCharType="end"/>
      </w:r>
      <w:r w:rsidRPr="005808FC">
        <w:rPr>
          <w:rStyle w:val="slikeprave"/>
        </w:rPr>
        <w:t>.</w:t>
      </w:r>
      <w:r w:rsidRPr="005808FC">
        <w:rPr>
          <w:rStyle w:val="slikeprave"/>
        </w:rPr>
        <w:fldChar w:fldCharType="begin"/>
      </w:r>
      <w:r w:rsidRPr="005808FC">
        <w:rPr>
          <w:rStyle w:val="slikeprave"/>
        </w:rPr>
        <w:instrText xml:space="preserve"> SEQ Slika \* ARABIC \s 1 </w:instrText>
      </w:r>
      <w:r w:rsidRPr="005808FC">
        <w:rPr>
          <w:rStyle w:val="slikeprave"/>
        </w:rPr>
        <w:fldChar w:fldCharType="separate"/>
      </w:r>
      <w:r w:rsidRPr="005808FC">
        <w:rPr>
          <w:rStyle w:val="slikeprave"/>
        </w:rPr>
        <w:t>1</w:t>
      </w:r>
      <w:r w:rsidRPr="005808FC">
        <w:rPr>
          <w:rStyle w:val="slikeprave"/>
        </w:rPr>
        <w:fldChar w:fldCharType="end"/>
      </w:r>
      <w:r w:rsidRPr="005808FC">
        <w:rPr>
          <w:rStyle w:val="slikeprave"/>
        </w:rPr>
        <w:t xml:space="preserve"> - Raspodjela potencijala smanjenja emisije CO</w:t>
      </w:r>
      <w:r w:rsidRPr="005808FC">
        <w:rPr>
          <w:rStyle w:val="slikeprave"/>
          <w:vertAlign w:val="subscript"/>
        </w:rPr>
        <w:t>2</w:t>
      </w:r>
      <w:r w:rsidRPr="005808FC">
        <w:rPr>
          <w:rStyle w:val="slikeprave"/>
        </w:rPr>
        <w:t xml:space="preserve"> (%) Inventara po sektorima</w:t>
      </w:r>
      <w:bookmarkEnd w:id="281"/>
    </w:p>
    <w:p w14:paraId="624A1215" w14:textId="1CFAE661" w:rsidR="00D21C4A" w:rsidRDefault="00D21C4A" w:rsidP="005808FC">
      <w:pPr>
        <w:spacing w:after="0"/>
      </w:pPr>
      <w:r w:rsidRPr="00291DF5">
        <w:t>Iz priloženih udjela može se zaključiti da je zgradarstvo sektor s najvećim potencijalom smanjenja emisije CO</w:t>
      </w:r>
      <w:r w:rsidRPr="005808FC">
        <w:rPr>
          <w:vertAlign w:val="subscript"/>
        </w:rPr>
        <w:t>2</w:t>
      </w:r>
      <w:r w:rsidRPr="005808FC">
        <w:t xml:space="preserve"> (Tablica 10.2</w:t>
      </w:r>
      <w:r w:rsidR="000509A0">
        <w:t xml:space="preserve"> i </w:t>
      </w:r>
      <w:r w:rsidRPr="00291DF5">
        <w:t xml:space="preserve">Slika 10.1). Emisija scenarija s mjerama tog sektora smanjena je za 56,8% u </w:t>
      </w:r>
      <w:r w:rsidRPr="00291DF5">
        <w:lastRenderedPageBreak/>
        <w:t xml:space="preserve">odnosu na 2008. </w:t>
      </w:r>
      <w:r w:rsidRPr="005808FC">
        <w:t>godinu. Emisija sektora javne rasvjete smanjena je za 85,8%, dok je emisija sektora promet smanjena za 13</w:t>
      </w:r>
      <w:r w:rsidR="00161D82" w:rsidRPr="005808FC">
        <w:t>,88</w:t>
      </w:r>
      <w:r w:rsidRPr="005808FC">
        <w:t>% u odnosu na emisiju referentne godine. Ukupno smanjenje inventara u odnosu na referentnu godinu iznosi 41,</w:t>
      </w:r>
      <w:r w:rsidR="00161D82" w:rsidRPr="005808FC">
        <w:t>65</w:t>
      </w:r>
      <w:r w:rsidRPr="00291DF5">
        <w:t>%.</w:t>
      </w:r>
    </w:p>
    <w:p w14:paraId="4EA4965B" w14:textId="77777777" w:rsidR="00D21C4A" w:rsidRDefault="00D21C4A" w:rsidP="00D21C4A">
      <w:pPr>
        <w:spacing w:after="0"/>
        <w:rPr>
          <w:rFonts w:cstheme="minorHAnsi"/>
        </w:rPr>
      </w:pPr>
    </w:p>
    <w:p w14:paraId="1B28FC06" w14:textId="78307B21" w:rsidR="00D21C4A" w:rsidRPr="004F7487" w:rsidRDefault="00D21C4A" w:rsidP="005808FC">
      <w:pPr>
        <w:spacing w:after="0"/>
      </w:pPr>
      <w:r w:rsidRPr="00291DF5">
        <w:t>Ukupni potencijali smanjenja emis</w:t>
      </w:r>
      <w:r w:rsidRPr="005808FC">
        <w:t xml:space="preserve">ija u 2030. godini za Grad Zagreb iznosi </w:t>
      </w:r>
      <w:r w:rsidR="00161D82" w:rsidRPr="005808FC">
        <w:t xml:space="preserve">868.131 </w:t>
      </w:r>
      <w:r w:rsidRPr="00291DF5">
        <w:t>tCO</w:t>
      </w:r>
      <w:r w:rsidRPr="005808FC">
        <w:rPr>
          <w:vertAlign w:val="subscript"/>
        </w:rPr>
        <w:t>2</w:t>
      </w:r>
      <w:r w:rsidRPr="005808FC">
        <w:t>. Zgradarstvo je sektor s najvećim potencijalom smanjenja emisija koji iznosi 640.792,70 t</w:t>
      </w:r>
      <w:r w:rsidRPr="00291DF5">
        <w:t>CO</w:t>
      </w:r>
      <w:r w:rsidRPr="005808FC">
        <w:rPr>
          <w:vertAlign w:val="subscript"/>
        </w:rPr>
        <w:t>2</w:t>
      </w:r>
      <w:r w:rsidRPr="005808FC">
        <w:t>, što je ekvivalentno udjelu od 7</w:t>
      </w:r>
      <w:r w:rsidR="00161D82" w:rsidRPr="005808FC">
        <w:t>3,81</w:t>
      </w:r>
      <w:r w:rsidRPr="00291DF5">
        <w:t xml:space="preserve">%. Potencijal smanjenja emisije sektora promet iznosi </w:t>
      </w:r>
      <w:r w:rsidR="00161D82" w:rsidRPr="005808FC">
        <w:t xml:space="preserve">224.381,7 </w:t>
      </w:r>
      <w:r w:rsidRPr="00291DF5">
        <w:t>tCO</w:t>
      </w:r>
      <w:r w:rsidRPr="005808FC">
        <w:rPr>
          <w:vertAlign w:val="subscript"/>
        </w:rPr>
        <w:t>2</w:t>
      </w:r>
      <w:r w:rsidRPr="005808FC">
        <w:t>, što prikazano preko udjela iznosi 25,</w:t>
      </w:r>
      <w:r w:rsidRPr="00291DF5">
        <w:t>8</w:t>
      </w:r>
      <w:r w:rsidR="00161D82" w:rsidRPr="005808FC">
        <w:t>5</w:t>
      </w:r>
      <w:r w:rsidRPr="005808FC">
        <w:t>%. Najmanji udio od 0,34% u odnosu na ukupni potencijal ima sektor javne rasvjete, s potencijalom smanjenja emisija od 2.957 t CO</w:t>
      </w:r>
      <w:r w:rsidRPr="005808FC">
        <w:rPr>
          <w:vertAlign w:val="subscript"/>
        </w:rPr>
        <w:t>2</w:t>
      </w:r>
      <w:r w:rsidRPr="005808FC">
        <w:t>.</w:t>
      </w:r>
    </w:p>
    <w:p w14:paraId="0E59394A" w14:textId="77777777" w:rsidR="00D21C4A" w:rsidRPr="00922031" w:rsidRDefault="00D21C4A" w:rsidP="00D21C4A">
      <w:pPr>
        <w:spacing w:after="0"/>
        <w:rPr>
          <w:rFonts w:cstheme="minorHAnsi"/>
        </w:rPr>
      </w:pPr>
    </w:p>
    <w:p w14:paraId="0FF78DD3" w14:textId="77777777" w:rsidR="00D21C4A" w:rsidRPr="00922031" w:rsidRDefault="00D21C4A" w:rsidP="005808FC">
      <w:pPr>
        <w:spacing w:after="0"/>
      </w:pPr>
      <w:r w:rsidRPr="00291DF5">
        <w:t>Na Slici 10.2 prikazane su ukupne emisije CO</w:t>
      </w:r>
      <w:r w:rsidRPr="005808FC">
        <w:rPr>
          <w:vertAlign w:val="subscript"/>
        </w:rPr>
        <w:t>2</w:t>
      </w:r>
      <w:r w:rsidRPr="005808FC">
        <w:t xml:space="preserve"> u 2030. godini za scenarij bez mjera</w:t>
      </w:r>
      <w:r w:rsidR="000509A0">
        <w:t xml:space="preserve"> i </w:t>
      </w:r>
      <w:r w:rsidRPr="00291DF5">
        <w:t>scenarij s mjerama te usporedba s emisijom iz 2008. godine</w:t>
      </w:r>
      <w:r w:rsidR="000509A0">
        <w:t xml:space="preserve"> i </w:t>
      </w:r>
      <w:r w:rsidRPr="00291DF5">
        <w:t>indikativnim ciljem.</w:t>
      </w:r>
    </w:p>
    <w:p w14:paraId="27088523" w14:textId="77777777" w:rsidR="00D21C4A" w:rsidRPr="00922031" w:rsidRDefault="00D21C4A" w:rsidP="00D21C4A">
      <w:pPr>
        <w:pStyle w:val="Caption"/>
        <w:spacing w:line="276" w:lineRule="auto"/>
        <w:jc w:val="center"/>
        <w:rPr>
          <w:rFonts w:asciiTheme="minorHAnsi" w:hAnsiTheme="minorHAnsi" w:cstheme="minorHAnsi"/>
          <w:lang w:val="hr-HR"/>
        </w:rPr>
      </w:pPr>
      <w:r w:rsidRPr="005808FC">
        <w:rPr>
          <w:lang w:val="hr-HR"/>
        </w:rPr>
        <w:t xml:space="preserve"> </w:t>
      </w:r>
      <w:r>
        <w:rPr>
          <w:noProof/>
          <w:lang w:val="hr-HR"/>
        </w:rPr>
        <w:drawing>
          <wp:inline distT="0" distB="0" distL="0" distR="0" wp14:anchorId="42ACDED8" wp14:editId="7CEDC9C6">
            <wp:extent cx="4572000" cy="2743200"/>
            <wp:effectExtent l="0" t="0" r="0" b="0"/>
            <wp:docPr id="2" name="Grafikon 2">
              <a:extLst xmlns:a="http://schemas.openxmlformats.org/drawingml/2006/main">
                <a:ext uri="{FF2B5EF4-FFF2-40B4-BE49-F238E27FC236}">
                  <a16:creationId xmlns:a16="http://schemas.microsoft.com/office/drawing/2014/main" id="{00000000-0008-0000-1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CE84D02" w14:textId="77777777" w:rsidR="00D21C4A" w:rsidRPr="005808FC" w:rsidRDefault="00D21C4A">
      <w:pPr>
        <w:pStyle w:val="Caption"/>
        <w:jc w:val="center"/>
        <w:rPr>
          <w:rFonts w:cstheme="minorBidi"/>
          <w:lang w:val="it-IT"/>
        </w:rPr>
      </w:pPr>
      <w:bookmarkStart w:id="282" w:name="_Toc4156054"/>
      <w:r w:rsidRPr="005808FC">
        <w:rPr>
          <w:lang w:val="it-IT"/>
        </w:rPr>
        <w:t xml:space="preserve">Slika </w:t>
      </w:r>
      <w:r>
        <w:fldChar w:fldCharType="begin"/>
      </w:r>
      <w:r w:rsidRPr="005808FC">
        <w:rPr>
          <w:lang w:val="it-IT"/>
        </w:rPr>
        <w:instrText xml:space="preserve"> STYLEREF 1 \s </w:instrText>
      </w:r>
      <w:r>
        <w:fldChar w:fldCharType="separate"/>
      </w:r>
      <w:r w:rsidRPr="005808FC">
        <w:rPr>
          <w:lang w:val="it-IT"/>
        </w:rPr>
        <w:t>10</w:t>
      </w:r>
      <w:r>
        <w:fldChar w:fldCharType="end"/>
      </w:r>
      <w:r w:rsidRPr="005808FC">
        <w:rPr>
          <w:lang w:val="it-IT"/>
        </w:rPr>
        <w:t>.</w:t>
      </w:r>
      <w:r>
        <w:fldChar w:fldCharType="begin"/>
      </w:r>
      <w:r w:rsidRPr="005808FC">
        <w:rPr>
          <w:lang w:val="it-IT"/>
        </w:rPr>
        <w:instrText xml:space="preserve"> SEQ Slika \* ARABIC \s 1 </w:instrText>
      </w:r>
      <w:r>
        <w:fldChar w:fldCharType="separate"/>
      </w:r>
      <w:r w:rsidRPr="005808FC">
        <w:rPr>
          <w:lang w:val="it-IT"/>
        </w:rPr>
        <w:t>2</w:t>
      </w:r>
      <w:r>
        <w:fldChar w:fldCharType="end"/>
      </w:r>
      <w:r w:rsidRPr="005808FC">
        <w:rPr>
          <w:lang w:val="it-IT"/>
        </w:rPr>
        <w:t xml:space="preserve"> - </w:t>
      </w:r>
      <w:r w:rsidRPr="005808FC">
        <w:rPr>
          <w:rFonts w:cstheme="minorBidi"/>
          <w:lang w:val="it-IT"/>
        </w:rPr>
        <w:t>Ukupne projekcije emisije CO</w:t>
      </w:r>
      <w:r w:rsidRPr="005808FC">
        <w:rPr>
          <w:rFonts w:cstheme="minorBidi"/>
          <w:vertAlign w:val="subscript"/>
          <w:lang w:val="it-IT"/>
        </w:rPr>
        <w:t>2</w:t>
      </w:r>
      <w:r w:rsidRPr="005808FC">
        <w:rPr>
          <w:rFonts w:cstheme="minorBidi"/>
          <w:lang w:val="it-IT"/>
        </w:rPr>
        <w:t xml:space="preserve"> po scenarijima</w:t>
      </w:r>
      <w:bookmarkEnd w:id="282"/>
    </w:p>
    <w:p w14:paraId="46DF0F88" w14:textId="77777777" w:rsidR="00D21C4A" w:rsidRPr="00922031" w:rsidRDefault="00D21C4A" w:rsidP="00D21C4A">
      <w:pPr>
        <w:spacing w:after="0"/>
        <w:rPr>
          <w:rFonts w:cstheme="minorHAnsi"/>
        </w:rPr>
      </w:pPr>
    </w:p>
    <w:p w14:paraId="7663AB05" w14:textId="0865C2BB" w:rsidR="00D21C4A" w:rsidRDefault="00D21C4A" w:rsidP="005808FC">
      <w:pPr>
        <w:spacing w:after="0"/>
      </w:pPr>
      <w:r w:rsidRPr="00291DF5">
        <w:t xml:space="preserve">Predloženi indikativni cilj </w:t>
      </w:r>
      <w:r w:rsidRPr="005808FC">
        <w:t>smanjenja emisije CO</w:t>
      </w:r>
      <w:r w:rsidRPr="005808FC">
        <w:rPr>
          <w:vertAlign w:val="subscript"/>
        </w:rPr>
        <w:t>2</w:t>
      </w:r>
      <w:r w:rsidRPr="005808FC">
        <w:t xml:space="preserve"> je smanjenje emisija za 40% u 2030. godini, u odnosu na emisiju 2008. godine što predstavlja smanjenje emisija za 1.118.420,36 t CO</w:t>
      </w:r>
      <w:r w:rsidRPr="005808FC">
        <w:rPr>
          <w:vertAlign w:val="subscript"/>
        </w:rPr>
        <w:t>2</w:t>
      </w:r>
      <w:r w:rsidRPr="005808FC">
        <w:t>. Prema preuzetom cilju, ukupne emisije CO</w:t>
      </w:r>
      <w:r w:rsidRPr="005808FC">
        <w:rPr>
          <w:vertAlign w:val="subscript"/>
        </w:rPr>
        <w:t>2</w:t>
      </w:r>
      <w:r w:rsidRPr="005808FC">
        <w:t xml:space="preserve"> u 2030. godini trebaju iznosit</w:t>
      </w:r>
      <w:r w:rsidR="00161D82" w:rsidRPr="005808FC">
        <w:t>i</w:t>
      </w:r>
      <w:r w:rsidRPr="005808FC">
        <w:t xml:space="preserve"> do </w:t>
      </w:r>
      <w:r w:rsidRPr="005808FC">
        <w:rPr>
          <w:lang w:eastAsia="hr-HR"/>
        </w:rPr>
        <w:t xml:space="preserve">1.677.630,534 </w:t>
      </w:r>
      <w:r w:rsidRPr="005808FC">
        <w:t>t CO</w:t>
      </w:r>
      <w:r w:rsidRPr="005808FC">
        <w:rPr>
          <w:vertAlign w:val="subscript"/>
        </w:rPr>
        <w:t>2</w:t>
      </w:r>
      <w:r w:rsidRPr="005808FC">
        <w:t xml:space="preserve">. Taj cilj je prikazan kao crna crta na Slici 10.2. </w:t>
      </w:r>
    </w:p>
    <w:p w14:paraId="42EC34E8" w14:textId="77777777" w:rsidR="005E5C9B" w:rsidRPr="00F67F34" w:rsidRDefault="005E5C9B" w:rsidP="005808FC">
      <w:pPr>
        <w:spacing w:after="0"/>
      </w:pPr>
    </w:p>
    <w:p w14:paraId="68A4DE1E" w14:textId="06735D00" w:rsidR="00D21C4A" w:rsidRDefault="00D21C4A" w:rsidP="005808FC">
      <w:pPr>
        <w:spacing w:after="0"/>
      </w:pPr>
      <w:r w:rsidRPr="00291DF5">
        <w:t xml:space="preserve">Ukupna emisija scenarija s mjerama u 2030. godini iznosi </w:t>
      </w:r>
      <w:r w:rsidR="00161D82" w:rsidRPr="005808FC">
        <w:t xml:space="preserve">1.631.536,3 </w:t>
      </w:r>
      <w:r w:rsidRPr="00291DF5">
        <w:t>t CO</w:t>
      </w:r>
      <w:r w:rsidRPr="005808FC">
        <w:rPr>
          <w:vertAlign w:val="subscript"/>
        </w:rPr>
        <w:t>2</w:t>
      </w:r>
      <w:r w:rsidRPr="005808FC">
        <w:t xml:space="preserve"> što je za </w:t>
      </w:r>
      <w:r w:rsidR="00161D82" w:rsidRPr="00291DF5">
        <w:rPr>
          <w:lang w:eastAsia="hr-HR"/>
        </w:rPr>
        <w:t>46.094,23</w:t>
      </w:r>
      <w:r w:rsidRPr="005808FC">
        <w:rPr>
          <w:lang w:eastAsia="hr-HR"/>
        </w:rPr>
        <w:t xml:space="preserve"> </w:t>
      </w:r>
      <w:r w:rsidRPr="005808FC">
        <w:t>t CO</w:t>
      </w:r>
      <w:r w:rsidRPr="005808FC">
        <w:rPr>
          <w:vertAlign w:val="subscript"/>
        </w:rPr>
        <w:t>2</w:t>
      </w:r>
      <w:r w:rsidRPr="005808FC">
        <w:t xml:space="preserve"> ispod predloženog cilja.</w:t>
      </w:r>
    </w:p>
    <w:p w14:paraId="17EA161E" w14:textId="77777777" w:rsidR="00D21C4A" w:rsidRDefault="00D21C4A" w:rsidP="00D21C4A">
      <w:pPr>
        <w:spacing w:after="0"/>
        <w:rPr>
          <w:rFonts w:cstheme="minorHAnsi"/>
        </w:rPr>
      </w:pPr>
    </w:p>
    <w:p w14:paraId="03732629" w14:textId="5A239B6B" w:rsidR="00D21C4A" w:rsidRPr="005808FC" w:rsidRDefault="00D21C4A" w:rsidP="005808FC">
      <w:pPr>
        <w:spacing w:after="0"/>
        <w:rPr>
          <w:color w:val="000000" w:themeColor="text1"/>
        </w:rPr>
      </w:pPr>
      <w:r w:rsidRPr="00291DF5">
        <w:t>Treba također napomenuti da su mjere obrazovanja, prom</w:t>
      </w:r>
      <w:r w:rsidRPr="005808FC">
        <w:t>ocije</w:t>
      </w:r>
      <w:r w:rsidR="000509A0">
        <w:t xml:space="preserve"> i </w:t>
      </w:r>
      <w:r w:rsidRPr="00291DF5">
        <w:t xml:space="preserve">promjene ponašanja izuzete iz proračuna u scenarijima iz razloga što </w:t>
      </w:r>
      <w:r w:rsidRPr="005808FC">
        <w:rPr>
          <w:rFonts w:eastAsia="Calibri"/>
          <w:i/>
        </w:rPr>
        <w:t>Pravilnik o Sustavu za praćenje, mjerenje</w:t>
      </w:r>
      <w:r w:rsidR="000509A0">
        <w:rPr>
          <w:rFonts w:eastAsia="Calibri"/>
          <w:i/>
        </w:rPr>
        <w:t xml:space="preserve"> i </w:t>
      </w:r>
      <w:r w:rsidRPr="005808FC">
        <w:rPr>
          <w:rFonts w:eastAsia="Calibri"/>
          <w:i/>
        </w:rPr>
        <w:t>verifikaciju ušteda energije</w:t>
      </w:r>
      <w:r w:rsidRPr="00291DF5">
        <w:rPr>
          <w:rFonts w:eastAsia="Calibri"/>
        </w:rPr>
        <w:t xml:space="preserve"> ne predviđa proračunavanje ušteda temeljem ovih mjera. Međutim, pojedina literatura, kao</w:t>
      </w:r>
      <w:r w:rsidR="000509A0">
        <w:rPr>
          <w:rFonts w:eastAsia="Calibri"/>
        </w:rPr>
        <w:t xml:space="preserve"> i </w:t>
      </w:r>
      <w:r w:rsidRPr="00291DF5">
        <w:rPr>
          <w:rFonts w:eastAsia="Calibri"/>
        </w:rPr>
        <w:t xml:space="preserve">smjernice Sporazuma gradonačelnika predviđaju da upravo ove mjere donose dodatne uštede do čak 5% </w:t>
      </w:r>
      <w:r w:rsidR="00D33C3C">
        <w:rPr>
          <w:rFonts w:eastAsia="Calibri"/>
        </w:rPr>
        <w:t xml:space="preserve">godišnje </w:t>
      </w:r>
      <w:r w:rsidRPr="00291DF5">
        <w:rPr>
          <w:rFonts w:eastAsia="Calibri"/>
        </w:rPr>
        <w:t>u odnosu na prethodnu potrošnju energije.</w:t>
      </w:r>
      <w:r w:rsidR="7DFE27E2" w:rsidRPr="005808FC">
        <w:rPr>
          <w:rFonts w:eastAsia="Calibri"/>
        </w:rPr>
        <w:t xml:space="preserve"> </w:t>
      </w:r>
      <w:r w:rsidR="69D14DC2" w:rsidRPr="005808FC">
        <w:rPr>
          <w:rFonts w:eastAsia="Calibri"/>
        </w:rPr>
        <w:t xml:space="preserve">Mjere prilagodbe učincima klimatskih promjena nisu kvantificirane u smislu energetskih </w:t>
      </w:r>
      <w:r w:rsidR="2FBA967F" w:rsidRPr="005808FC">
        <w:rPr>
          <w:rFonts w:eastAsia="Calibri"/>
        </w:rPr>
        <w:t>ušteda</w:t>
      </w:r>
      <w:r w:rsidR="000509A0">
        <w:rPr>
          <w:rFonts w:eastAsia="Calibri"/>
        </w:rPr>
        <w:t xml:space="preserve"> i </w:t>
      </w:r>
      <w:r w:rsidR="2FBA967F" w:rsidRPr="005808FC">
        <w:rPr>
          <w:rFonts w:eastAsia="Calibri"/>
        </w:rPr>
        <w:t>smanjenja emisija stakleničkih plinova, no one svakako</w:t>
      </w:r>
      <w:r w:rsidR="2FBA967F">
        <w:rPr>
          <w:rFonts w:eastAsia="Calibri"/>
        </w:rPr>
        <w:t xml:space="preserve"> </w:t>
      </w:r>
      <w:r w:rsidR="003C12C5">
        <w:rPr>
          <w:rFonts w:eastAsia="Calibri"/>
        </w:rPr>
        <w:t>u određenoj mjeri</w:t>
      </w:r>
      <w:r w:rsidR="2FBA967F" w:rsidRPr="005808FC">
        <w:rPr>
          <w:rFonts w:eastAsia="Calibri"/>
        </w:rPr>
        <w:t xml:space="preserve"> tome doprinose. Iz toga proizlazi da je potencij</w:t>
      </w:r>
      <w:r w:rsidR="511326F4" w:rsidRPr="005808FC">
        <w:rPr>
          <w:rFonts w:eastAsia="Calibri"/>
        </w:rPr>
        <w:t xml:space="preserve">al stvarne energetske </w:t>
      </w:r>
      <w:r w:rsidR="511326F4" w:rsidRPr="005808FC">
        <w:rPr>
          <w:rFonts w:eastAsia="Calibri"/>
        </w:rPr>
        <w:lastRenderedPageBreak/>
        <w:t>uštede</w:t>
      </w:r>
      <w:r w:rsidR="000509A0">
        <w:rPr>
          <w:rFonts w:eastAsia="Calibri"/>
        </w:rPr>
        <w:t xml:space="preserve"> i </w:t>
      </w:r>
      <w:r w:rsidR="511326F4" w:rsidRPr="005808FC">
        <w:rPr>
          <w:rFonts w:eastAsia="Calibri"/>
        </w:rPr>
        <w:t>smanjenja emisija stakleničkih plinova</w:t>
      </w:r>
      <w:r w:rsidR="000509A0">
        <w:rPr>
          <w:rFonts w:eastAsia="Calibri"/>
        </w:rPr>
        <w:t xml:space="preserve"> i </w:t>
      </w:r>
      <w:r w:rsidR="511326F4" w:rsidRPr="005808FC">
        <w:rPr>
          <w:rFonts w:eastAsia="Calibri"/>
        </w:rPr>
        <w:t>već</w:t>
      </w:r>
      <w:r w:rsidR="003C12C5">
        <w:rPr>
          <w:rFonts w:eastAsia="Calibri"/>
        </w:rPr>
        <w:t>i</w:t>
      </w:r>
      <w:r w:rsidR="511326F4" w:rsidRPr="005808FC">
        <w:rPr>
          <w:rFonts w:eastAsia="Calibri"/>
        </w:rPr>
        <w:t xml:space="preserve"> od </w:t>
      </w:r>
      <w:r w:rsidR="4BD008B9" w:rsidRPr="005808FC">
        <w:rPr>
          <w:rFonts w:eastAsia="Calibri"/>
        </w:rPr>
        <w:t>proračunatih u dijelu po</w:t>
      </w:r>
      <w:r w:rsidR="316C16D9" w:rsidRPr="005808FC">
        <w:rPr>
          <w:rFonts w:eastAsia="Calibri"/>
        </w:rPr>
        <w:t xml:space="preserve">većanja energetske učinkovitosti. </w:t>
      </w:r>
    </w:p>
    <w:p w14:paraId="738B9C8D" w14:textId="77777777" w:rsidR="00D21C4A" w:rsidRPr="00922031" w:rsidRDefault="00D21C4A" w:rsidP="4BE8BCBF">
      <w:pPr>
        <w:pStyle w:val="Heading2"/>
      </w:pPr>
      <w:bookmarkStart w:id="283" w:name="_Toc4156122"/>
      <w:r w:rsidRPr="00922031">
        <w:t>Zaključak</w:t>
      </w:r>
      <w:bookmarkEnd w:id="283"/>
    </w:p>
    <w:p w14:paraId="4E01CD20" w14:textId="77777777" w:rsidR="00D21C4A" w:rsidRPr="00C52430" w:rsidRDefault="00D21C4A" w:rsidP="005808FC">
      <w:pPr>
        <w:spacing w:after="0"/>
      </w:pPr>
      <w:r w:rsidRPr="00291DF5">
        <w:t>Grad Zagreb se potpisivanjem Sporazuma gradonačelnika za energiju</w:t>
      </w:r>
      <w:r w:rsidR="000509A0">
        <w:t xml:space="preserve"> i </w:t>
      </w:r>
      <w:r w:rsidRPr="00291DF5">
        <w:t xml:space="preserve">klimu uključio u europsku inicijativu za smanjenje </w:t>
      </w:r>
      <w:r w:rsidRPr="005808FC">
        <w:t>emisije stakleničkih plinova</w:t>
      </w:r>
      <w:r w:rsidR="000509A0">
        <w:t xml:space="preserve"> i </w:t>
      </w:r>
      <w:r w:rsidRPr="00291DF5">
        <w:t>predložio indikativni cilj smanjenja emisije CO</w:t>
      </w:r>
      <w:r w:rsidRPr="005808FC">
        <w:rPr>
          <w:vertAlign w:val="subscript"/>
        </w:rPr>
        <w:t>2</w:t>
      </w:r>
      <w:r w:rsidRPr="005808FC">
        <w:t xml:space="preserve"> od 40% (</w:t>
      </w:r>
      <w:r w:rsidRPr="005808FC">
        <w:rPr>
          <w:lang w:eastAsia="hr-HR"/>
        </w:rPr>
        <w:t xml:space="preserve">1.677.630,534 </w:t>
      </w:r>
      <w:r w:rsidRPr="005808FC">
        <w:t>t CO</w:t>
      </w:r>
      <w:r w:rsidRPr="005808FC">
        <w:rPr>
          <w:vertAlign w:val="subscript"/>
        </w:rPr>
        <w:t>2</w:t>
      </w:r>
      <w:r w:rsidRPr="005808FC">
        <w:t>) u 2030. godini, u odnosu na emisiju 2008. godinu.</w:t>
      </w:r>
    </w:p>
    <w:p w14:paraId="362720DD" w14:textId="77777777" w:rsidR="00D21C4A" w:rsidRPr="00C52430" w:rsidRDefault="00D21C4A" w:rsidP="00D21C4A">
      <w:pPr>
        <w:spacing w:after="0"/>
        <w:rPr>
          <w:rFonts w:cstheme="minorHAnsi"/>
        </w:rPr>
      </w:pPr>
    </w:p>
    <w:p w14:paraId="162488C4" w14:textId="230E4EB6" w:rsidR="00D21C4A" w:rsidRDefault="00D21C4A">
      <w:pPr>
        <w:spacing w:after="0"/>
      </w:pPr>
      <w:r w:rsidRPr="00291DF5">
        <w:t>Za potrebe procjene smanjenja emisija CO</w:t>
      </w:r>
      <w:r w:rsidRPr="005808FC">
        <w:rPr>
          <w:vertAlign w:val="subscript"/>
        </w:rPr>
        <w:t>2</w:t>
      </w:r>
      <w:r w:rsidRPr="005808FC">
        <w:t xml:space="preserve"> u 2030. godini za identificirane mjere energetske učinkovitosti za sektore zgradarstva, prometa</w:t>
      </w:r>
      <w:r w:rsidR="000509A0">
        <w:t xml:space="preserve"> i </w:t>
      </w:r>
      <w:r w:rsidRPr="00291DF5">
        <w:t>javne rasvjete u Gradu Zagrebu izrađene su projekcije kretanja energetskih potrošnji</w:t>
      </w:r>
      <w:r w:rsidR="000509A0">
        <w:t xml:space="preserve"> i </w:t>
      </w:r>
      <w:r w:rsidRPr="00291DF5">
        <w:t>emisija u 2030. godini za dva scenarija: scenarij bez mjera</w:t>
      </w:r>
      <w:r w:rsidR="000509A0">
        <w:t xml:space="preserve"> i </w:t>
      </w:r>
      <w:r w:rsidRPr="00291DF5">
        <w:t>scenarij s mjerama, uz pomoć softverskog alata LEAP, a prema m</w:t>
      </w:r>
      <w:r w:rsidRPr="005808FC">
        <w:t>etodologiji objašnjenoj u Poglavlju 3.</w:t>
      </w:r>
    </w:p>
    <w:p w14:paraId="48E074A8" w14:textId="65E81E5B" w:rsidR="000509A0" w:rsidRPr="000509A0" w:rsidRDefault="000509A0" w:rsidP="000509A0">
      <w:pPr>
        <w:spacing w:after="0"/>
      </w:pPr>
    </w:p>
    <w:p w14:paraId="1DE1F64A" w14:textId="022434A8" w:rsidR="007E039E" w:rsidRDefault="007E039E">
      <w:pPr>
        <w:spacing w:after="0"/>
      </w:pPr>
      <w:r>
        <w:t xml:space="preserve">Mjere prilagodbe učincima klimatskih promjena prvi se puta na sveobuhvatan način obrađuju u ovom dokumentu i </w:t>
      </w:r>
      <w:r w:rsidR="00F10292">
        <w:t xml:space="preserve">kako je iz samog prijedloga mjera jasno vidljivo, potrebno je provesti </w:t>
      </w:r>
      <w:r w:rsidR="00900F36">
        <w:t>značajan niz istraživačko analitičkih aktivnosti kako bi kroz određeno razdoblje dobili kvalitetnu podlogu</w:t>
      </w:r>
      <w:r w:rsidR="005E5C9B">
        <w:t>.</w:t>
      </w:r>
    </w:p>
    <w:p w14:paraId="3A7588C8" w14:textId="77777777" w:rsidR="005E5C9B" w:rsidRDefault="005E5C9B">
      <w:pPr>
        <w:spacing w:after="0"/>
      </w:pPr>
    </w:p>
    <w:p w14:paraId="409FA13A" w14:textId="76EE52BD" w:rsidR="00B77F92" w:rsidRPr="00F67F34" w:rsidRDefault="00BB69B2" w:rsidP="00B77F92">
      <w:pPr>
        <w:spacing w:after="0"/>
      </w:pPr>
      <w:r>
        <w:t>Mjere prilagodbe klimatskim promjenama nisu uzete u obzir prilikom kreiranja scenarija uštede energije</w:t>
      </w:r>
      <w:r w:rsidR="000509A0">
        <w:t xml:space="preserve"> i </w:t>
      </w:r>
      <w:r>
        <w:t>smanjenja emisija CO</w:t>
      </w:r>
      <w:r w:rsidRPr="007C64C8">
        <w:rPr>
          <w:vertAlign w:val="subscript"/>
        </w:rPr>
        <w:t>2</w:t>
      </w:r>
      <w:r>
        <w:t>, jer za te mjere nije predviđena metodologija, međutim njihov utjecaj na ta dva parametra je neminovan. S obzirom na to da će se na temelju nekih od predloženih mjera izraditi metode praćenja emisija CO</w:t>
      </w:r>
      <w:r w:rsidRPr="007C64C8">
        <w:rPr>
          <w:vertAlign w:val="subscript"/>
        </w:rPr>
        <w:t>2</w:t>
      </w:r>
      <w:r>
        <w:t xml:space="preserve"> za pojedine </w:t>
      </w:r>
      <w:r w:rsidR="004B3086">
        <w:t xml:space="preserve">mjere </w:t>
      </w:r>
      <w:r>
        <w:t>prilagodbe, tijekom predviđenih perioda za izvještavanje će se pratiti dodatne uštede</w:t>
      </w:r>
      <w:r w:rsidR="000509A0">
        <w:t xml:space="preserve"> i </w:t>
      </w:r>
      <w:r>
        <w:t>sukladno tome će se one prikazati u izvješćima.</w:t>
      </w:r>
      <w:r w:rsidR="00B77F92" w:rsidRPr="00B77F92">
        <w:t xml:space="preserve"> </w:t>
      </w:r>
      <w:r w:rsidR="00B77F92" w:rsidRPr="007C64C8">
        <w:t>Treba također napomenuti da su mjere obrazovanja, promocije</w:t>
      </w:r>
      <w:r w:rsidR="000509A0">
        <w:t xml:space="preserve"> i </w:t>
      </w:r>
      <w:r w:rsidR="00B77F92" w:rsidRPr="007C64C8">
        <w:t xml:space="preserve">promjene ponašanja izuzete iz proračuna u scenarijima iz razloga što </w:t>
      </w:r>
      <w:r w:rsidR="00B77F92" w:rsidRPr="005808FC">
        <w:rPr>
          <w:rFonts w:eastAsia="Calibri"/>
          <w:i/>
        </w:rPr>
        <w:t>Pravilnik o Sustavu za praćenje, mjerenje</w:t>
      </w:r>
      <w:r w:rsidR="000509A0">
        <w:rPr>
          <w:rFonts w:eastAsia="Calibri"/>
          <w:i/>
        </w:rPr>
        <w:t xml:space="preserve"> i </w:t>
      </w:r>
      <w:r w:rsidR="00B77F92" w:rsidRPr="005808FC">
        <w:rPr>
          <w:rFonts w:eastAsia="Calibri"/>
          <w:i/>
        </w:rPr>
        <w:t>verifikaciju ušteda energije</w:t>
      </w:r>
      <w:r w:rsidR="00B77F92" w:rsidRPr="007C64C8">
        <w:rPr>
          <w:rFonts w:eastAsia="Calibri"/>
        </w:rPr>
        <w:t xml:space="preserve"> ne predviđa proračunavanje ušteda temeljem ovih mjera. Međutim, pojedina literatura, kao</w:t>
      </w:r>
      <w:r w:rsidR="000509A0">
        <w:rPr>
          <w:rFonts w:eastAsia="Calibri"/>
        </w:rPr>
        <w:t xml:space="preserve"> i </w:t>
      </w:r>
      <w:r w:rsidR="00B77F92" w:rsidRPr="007C64C8">
        <w:rPr>
          <w:rFonts w:eastAsia="Calibri"/>
        </w:rPr>
        <w:t xml:space="preserve">smjernice Sporazuma gradonačelnika predviđaju da upravo ove mjere donose dodatne uštede do čak 5% </w:t>
      </w:r>
      <w:r w:rsidR="00BA5125">
        <w:rPr>
          <w:rFonts w:eastAsia="Calibri"/>
        </w:rPr>
        <w:t xml:space="preserve">godišnje </w:t>
      </w:r>
      <w:r w:rsidR="00B77F92" w:rsidRPr="007C64C8">
        <w:rPr>
          <w:rFonts w:eastAsia="Calibri"/>
        </w:rPr>
        <w:t xml:space="preserve">u odnosu na prethodnu potrošnju energije. </w:t>
      </w:r>
    </w:p>
    <w:p w14:paraId="2836C53A" w14:textId="77777777" w:rsidR="00BA5125" w:rsidRDefault="00BA5125">
      <w:pPr>
        <w:spacing w:after="0"/>
      </w:pPr>
    </w:p>
    <w:p w14:paraId="0E5CD26B" w14:textId="60EA891C" w:rsidR="00D21C4A" w:rsidRDefault="00BA5125" w:rsidP="005808FC">
      <w:pPr>
        <w:spacing w:after="0"/>
      </w:pPr>
      <w:r>
        <w:t xml:space="preserve">Na temelju izrađenih </w:t>
      </w:r>
      <w:r w:rsidR="00D33C3C">
        <w:t xml:space="preserve">analiza, </w:t>
      </w:r>
      <w:r>
        <w:t>e</w:t>
      </w:r>
      <w:r w:rsidR="00D21C4A" w:rsidRPr="00291DF5">
        <w:t>misija scenarija bez mjera u 2030. godini iznosit će 2.499.658,70 t CO</w:t>
      </w:r>
      <w:r w:rsidR="00D21C4A" w:rsidRPr="005808FC">
        <w:rPr>
          <w:vertAlign w:val="subscript"/>
        </w:rPr>
        <w:t>2</w:t>
      </w:r>
      <w:r w:rsidR="00D21C4A" w:rsidRPr="005808FC">
        <w:t>, što je za 822,03 kt CO</w:t>
      </w:r>
      <w:r w:rsidR="00D21C4A" w:rsidRPr="005808FC">
        <w:rPr>
          <w:vertAlign w:val="subscript"/>
        </w:rPr>
        <w:t>2</w:t>
      </w:r>
      <w:r w:rsidR="00D21C4A" w:rsidRPr="005808FC">
        <w:t>, odnosno za 49% više od predloženog indikativnog cilja te se može zaključiti da bez primjene mjera predloženi cilj neće moći biti ostvaren.</w:t>
      </w:r>
    </w:p>
    <w:p w14:paraId="1A00FAA9" w14:textId="77777777" w:rsidR="00D21C4A" w:rsidRDefault="00D21C4A" w:rsidP="00D21C4A">
      <w:pPr>
        <w:spacing w:after="0"/>
        <w:rPr>
          <w:rFonts w:cstheme="minorHAnsi"/>
        </w:rPr>
      </w:pPr>
    </w:p>
    <w:p w14:paraId="329CEA2E" w14:textId="1BD0B216" w:rsidR="00D21C4A" w:rsidRDefault="00D21C4A">
      <w:r w:rsidRPr="00291DF5">
        <w:t>Projekcija smanjenja emisija za scenarij s mjerama potvrđuje tu činjenicu</w:t>
      </w:r>
      <w:r w:rsidR="000509A0">
        <w:t xml:space="preserve"> i </w:t>
      </w:r>
      <w:r w:rsidRPr="00291DF5">
        <w:t>pokazuje da, uz primjenu mjera smanjenja energetske potrošnje</w:t>
      </w:r>
      <w:r w:rsidR="000509A0">
        <w:t xml:space="preserve"> i </w:t>
      </w:r>
      <w:r w:rsidRPr="00291DF5">
        <w:t>emisija CO</w:t>
      </w:r>
      <w:r w:rsidRPr="005808FC">
        <w:rPr>
          <w:vertAlign w:val="subscript"/>
        </w:rPr>
        <w:t>2</w:t>
      </w:r>
      <w:r w:rsidRPr="005808FC">
        <w:t>, ukupne emisije CO</w:t>
      </w:r>
      <w:r w:rsidRPr="005808FC">
        <w:rPr>
          <w:vertAlign w:val="subscript"/>
        </w:rPr>
        <w:t>2</w:t>
      </w:r>
      <w:r w:rsidRPr="005808FC">
        <w:t xml:space="preserve"> u 2030. godini iznose </w:t>
      </w:r>
      <w:r w:rsidR="00161D82" w:rsidRPr="005808FC">
        <w:t xml:space="preserve">1.631.536,3 </w:t>
      </w:r>
      <w:r w:rsidRPr="00291DF5">
        <w:t>t CO</w:t>
      </w:r>
      <w:r w:rsidRPr="005808FC">
        <w:rPr>
          <w:vertAlign w:val="subscript"/>
        </w:rPr>
        <w:t>2</w:t>
      </w:r>
      <w:r w:rsidRPr="005808FC">
        <w:t>. U odnosu na baznu godinu smanjenje u ukupnim emisijama prema scenariju s mjerama iznosi 41,</w:t>
      </w:r>
      <w:r w:rsidR="00161D82" w:rsidRPr="005808FC">
        <w:t>65</w:t>
      </w:r>
      <w:r w:rsidRPr="00291DF5">
        <w:t>%.</w:t>
      </w:r>
    </w:p>
    <w:p w14:paraId="4E0F8D93" w14:textId="5CD56164" w:rsidR="002D10B4" w:rsidRPr="00922031" w:rsidRDefault="00D21C4A" w:rsidP="00FC7E9A">
      <w:pPr>
        <w:spacing w:after="0"/>
        <w:rPr>
          <w:rFonts w:cstheme="minorHAnsi"/>
          <w:lang w:eastAsia="hr-HR"/>
        </w:rPr>
      </w:pPr>
      <w:r w:rsidRPr="00291DF5">
        <w:t>Uz provedbu svih predviđenih mjera emisija CO</w:t>
      </w:r>
      <w:r w:rsidRPr="005808FC">
        <w:rPr>
          <w:vertAlign w:val="subscript"/>
        </w:rPr>
        <w:t>2</w:t>
      </w:r>
      <w:r w:rsidRPr="005808FC">
        <w:t xml:space="preserve"> u 2030. godini bila bi manja od indikativnog cilja za 2,</w:t>
      </w:r>
      <w:r w:rsidR="00161D82" w:rsidRPr="005808FC">
        <w:t>75</w:t>
      </w:r>
      <w:r w:rsidRPr="00291DF5">
        <w:t xml:space="preserve">% , odnosno </w:t>
      </w:r>
      <w:r w:rsidR="00161D82" w:rsidRPr="005808FC">
        <w:rPr>
          <w:lang w:eastAsia="hr-HR"/>
        </w:rPr>
        <w:t xml:space="preserve">46.094,23 </w:t>
      </w:r>
      <w:r w:rsidRPr="00291DF5">
        <w:t>t CO</w:t>
      </w:r>
      <w:r w:rsidRPr="005808FC">
        <w:rPr>
          <w:vertAlign w:val="subscript"/>
        </w:rPr>
        <w:t>2</w:t>
      </w:r>
      <w:r w:rsidRPr="005808FC">
        <w:rPr>
          <w:lang w:eastAsia="hr-HR"/>
        </w:rPr>
        <w:t>.</w:t>
      </w:r>
      <w:bookmarkEnd w:id="276"/>
      <w:bookmarkEnd w:id="277"/>
      <w:r w:rsidR="002D10B4" w:rsidRPr="00922031">
        <w:rPr>
          <w:rFonts w:cstheme="minorHAnsi"/>
          <w:lang w:eastAsia="hr-HR"/>
        </w:rPr>
        <w:br w:type="page"/>
      </w:r>
    </w:p>
    <w:p w14:paraId="54C69DC5" w14:textId="01061784" w:rsidR="0099341F" w:rsidRPr="002E3C28" w:rsidRDefault="002E3C28" w:rsidP="00975CD4">
      <w:pPr>
        <w:pStyle w:val="Heading1"/>
        <w:spacing w:after="240" w:line="240" w:lineRule="auto"/>
        <w:jc w:val="both"/>
        <w:rPr>
          <w:b w:val="0"/>
          <w:bCs w:val="0"/>
        </w:rPr>
      </w:pPr>
      <w:bookmarkStart w:id="284" w:name="_Toc477265327"/>
      <w:bookmarkStart w:id="285" w:name="_Toc493666278"/>
      <w:bookmarkStart w:id="286" w:name="_Toc4156123"/>
      <w:r w:rsidRPr="00383A74">
        <w:rPr>
          <w:rFonts w:eastAsia="Times New Roman"/>
        </w:rPr>
        <w:lastRenderedPageBreak/>
        <w:t>MEHANIZMI FINANCIRANJA PROVEDBE AKCIJSKOG PLANA</w:t>
      </w:r>
      <w:bookmarkEnd w:id="284"/>
      <w:r w:rsidRPr="00383A74">
        <w:rPr>
          <w:rFonts w:eastAsia="Times New Roman"/>
        </w:rPr>
        <w:t xml:space="preserve"> ENERGETSKI ODRŽIVOG RAZVITKA</w:t>
      </w:r>
      <w:r w:rsidR="000509A0">
        <w:rPr>
          <w:rFonts w:eastAsia="Times New Roman"/>
        </w:rPr>
        <w:t xml:space="preserve"> i </w:t>
      </w:r>
      <w:r w:rsidRPr="00383A74">
        <w:rPr>
          <w:rFonts w:eastAsia="Times New Roman"/>
        </w:rPr>
        <w:t>KLIMATSKIH PROMJENA</w:t>
      </w:r>
      <w:bookmarkEnd w:id="285"/>
      <w:bookmarkEnd w:id="286"/>
    </w:p>
    <w:p w14:paraId="02BC1C0A" w14:textId="6AE68AA5" w:rsidR="00233428" w:rsidRDefault="002E3C28">
      <w:pPr>
        <w:pStyle w:val="Heading2"/>
      </w:pPr>
      <w:bookmarkStart w:id="287" w:name="_Toc523743154"/>
      <w:bookmarkStart w:id="288" w:name="_Toc523743155"/>
      <w:bookmarkStart w:id="289" w:name="_Toc523743156"/>
      <w:bookmarkStart w:id="290" w:name="_Toc523743160"/>
      <w:bookmarkStart w:id="291" w:name="_Toc523743164"/>
      <w:bookmarkStart w:id="292" w:name="_Toc523743228"/>
      <w:bookmarkStart w:id="293" w:name="_Toc523743229"/>
      <w:bookmarkStart w:id="294" w:name="_Toc4156124"/>
      <w:bookmarkEnd w:id="287"/>
      <w:bookmarkEnd w:id="288"/>
      <w:bookmarkEnd w:id="289"/>
      <w:bookmarkEnd w:id="290"/>
      <w:bookmarkEnd w:id="291"/>
      <w:bookmarkEnd w:id="292"/>
      <w:bookmarkEnd w:id="293"/>
      <w:r>
        <w:t>Pregled mogućih izvora sredstava</w:t>
      </w:r>
      <w:bookmarkEnd w:id="294"/>
    </w:p>
    <w:p w14:paraId="729D0433" w14:textId="77777777" w:rsidR="00233428" w:rsidRPr="00383A74" w:rsidRDefault="00233428" w:rsidP="00233428">
      <w:pPr>
        <w:tabs>
          <w:tab w:val="left" w:pos="720"/>
          <w:tab w:val="left" w:pos="6912"/>
        </w:tabs>
        <w:spacing w:line="240" w:lineRule="auto"/>
        <w:rPr>
          <w:rFonts w:ascii="Calibri" w:eastAsia="Times New Roman" w:hAnsi="Calibri" w:cs="Times New Roman"/>
        </w:rPr>
      </w:pPr>
      <w:bookmarkStart w:id="295" w:name="_Toc251924050"/>
      <w:r w:rsidRPr="00383A74">
        <w:rPr>
          <w:rFonts w:ascii="Calibri" w:eastAsia="Times New Roman" w:hAnsi="Calibri" w:cs="Times New Roman"/>
        </w:rPr>
        <w:t>Implementacija identificiranih mjera zahtijevat će mobilizaciju značajnih financijskih sredstava. Pregled potencijalnih izvora financiranja provedbe mjera iz ovog Plana generalno obuhvaća tri kategorije financijskih instrumenata:</w:t>
      </w:r>
    </w:p>
    <w:p w14:paraId="0CB717AD" w14:textId="587C90EF" w:rsidR="00233428" w:rsidRPr="00383A74" w:rsidRDefault="00233428" w:rsidP="002E3C28">
      <w:pPr>
        <w:numPr>
          <w:ilvl w:val="0"/>
          <w:numId w:val="60"/>
        </w:numPr>
        <w:tabs>
          <w:tab w:val="left" w:pos="720"/>
          <w:tab w:val="left" w:pos="6912"/>
        </w:tabs>
        <w:spacing w:after="0" w:line="240" w:lineRule="auto"/>
        <w:rPr>
          <w:rFonts w:ascii="Calibri" w:eastAsia="Times New Roman" w:hAnsi="Calibri" w:cs="Times New Roman"/>
        </w:rPr>
      </w:pPr>
      <w:r w:rsidRPr="00383A74">
        <w:rPr>
          <w:rFonts w:ascii="Calibri" w:eastAsia="Times New Roman" w:hAnsi="Calibri" w:cs="Times New Roman"/>
        </w:rPr>
        <w:t>Financijske instrumente</w:t>
      </w:r>
      <w:r w:rsidR="000509A0">
        <w:rPr>
          <w:rFonts w:ascii="Calibri" w:eastAsia="Times New Roman" w:hAnsi="Calibri" w:cs="Times New Roman"/>
        </w:rPr>
        <w:t xml:space="preserve"> i </w:t>
      </w:r>
      <w:r w:rsidRPr="00383A74">
        <w:rPr>
          <w:rFonts w:ascii="Calibri" w:eastAsia="Times New Roman" w:hAnsi="Calibri" w:cs="Times New Roman"/>
        </w:rPr>
        <w:t xml:space="preserve">modele koji su danas dostupni u Republici Hrvatskoj; </w:t>
      </w:r>
    </w:p>
    <w:p w14:paraId="6713F57A" w14:textId="3DD11351" w:rsidR="00233428" w:rsidRPr="00383A74" w:rsidRDefault="00233428" w:rsidP="002E3C28">
      <w:pPr>
        <w:numPr>
          <w:ilvl w:val="0"/>
          <w:numId w:val="60"/>
        </w:numPr>
        <w:tabs>
          <w:tab w:val="left" w:pos="720"/>
          <w:tab w:val="left" w:pos="6912"/>
        </w:tabs>
        <w:spacing w:after="0" w:line="240" w:lineRule="auto"/>
        <w:rPr>
          <w:rFonts w:ascii="Calibri" w:eastAsia="Times New Roman" w:hAnsi="Calibri" w:cs="Times New Roman"/>
        </w:rPr>
      </w:pPr>
      <w:r w:rsidRPr="00383A74">
        <w:rPr>
          <w:rFonts w:ascii="Calibri" w:eastAsia="Times New Roman" w:hAnsi="Calibri" w:cs="Times New Roman"/>
        </w:rPr>
        <w:t>Financijske instrumente</w:t>
      </w:r>
      <w:r w:rsidR="000509A0">
        <w:rPr>
          <w:rFonts w:ascii="Calibri" w:eastAsia="Times New Roman" w:hAnsi="Calibri" w:cs="Times New Roman"/>
        </w:rPr>
        <w:t xml:space="preserve"> i </w:t>
      </w:r>
      <w:r w:rsidRPr="00383A74">
        <w:rPr>
          <w:rFonts w:ascii="Calibri" w:eastAsia="Times New Roman" w:hAnsi="Calibri" w:cs="Times New Roman"/>
        </w:rPr>
        <w:t xml:space="preserve">modele koji su danas dostupni EU, ali još nisu korišteni u Hrvatskoj </w:t>
      </w:r>
    </w:p>
    <w:p w14:paraId="03BD3AEA" w14:textId="77777777" w:rsidR="00233428" w:rsidRPr="00383A74" w:rsidRDefault="00233428" w:rsidP="002E3C28">
      <w:pPr>
        <w:numPr>
          <w:ilvl w:val="0"/>
          <w:numId w:val="60"/>
        </w:numPr>
        <w:tabs>
          <w:tab w:val="left" w:pos="720"/>
          <w:tab w:val="left" w:pos="6912"/>
        </w:tabs>
        <w:spacing w:line="240" w:lineRule="auto"/>
        <w:rPr>
          <w:rFonts w:ascii="Calibri" w:eastAsia="Times New Roman" w:hAnsi="Calibri" w:cs="Times New Roman"/>
        </w:rPr>
      </w:pPr>
      <w:r w:rsidRPr="00383A74">
        <w:rPr>
          <w:rFonts w:ascii="Calibri" w:eastAsia="Times New Roman" w:hAnsi="Calibri" w:cs="Times New Roman"/>
        </w:rPr>
        <w:t xml:space="preserve">Inovativne financijske modele koji se razvijaju za potrebe realizacije pojedinih mjera iz Akcijskog plana. </w:t>
      </w:r>
    </w:p>
    <w:p w14:paraId="0D89E493" w14:textId="62D6C242" w:rsidR="00E87057" w:rsidRDefault="00233428" w:rsidP="00233428">
      <w:pPr>
        <w:spacing w:line="240" w:lineRule="auto"/>
        <w:rPr>
          <w:rFonts w:ascii="Calibri" w:eastAsia="Times New Roman" w:hAnsi="Calibri" w:cs="Times New Roman"/>
        </w:rPr>
      </w:pPr>
      <w:r w:rsidRPr="00E87057">
        <w:rPr>
          <w:rFonts w:ascii="Calibri" w:eastAsia="Times New Roman" w:hAnsi="Calibri" w:cs="Times New Roman"/>
        </w:rPr>
        <w:t xml:space="preserve">U </w:t>
      </w:r>
      <w:r w:rsidRPr="005808FC">
        <w:fldChar w:fldCharType="begin"/>
      </w:r>
      <w:r w:rsidRPr="00E87057">
        <w:rPr>
          <w:rFonts w:ascii="Calibri" w:eastAsia="Times New Roman" w:hAnsi="Calibri" w:cs="Times New Roman"/>
        </w:rPr>
        <w:instrText xml:space="preserve"> REF _Ref468194566 \h  \* MERGEFORMAT </w:instrText>
      </w:r>
      <w:r w:rsidRPr="005808FC">
        <w:rPr>
          <w:rFonts w:ascii="Calibri" w:eastAsia="Times New Roman" w:hAnsi="Calibri" w:cs="Times New Roman"/>
        </w:rPr>
        <w:fldChar w:fldCharType="separate"/>
      </w:r>
      <w:r w:rsidR="00E87057" w:rsidRPr="005808FC">
        <w:t xml:space="preserve">Tablica </w:t>
      </w:r>
      <w:r w:rsidR="00E87057" w:rsidRPr="005808FC">
        <w:rPr>
          <w:noProof/>
        </w:rPr>
        <w:t>11.2</w:t>
      </w:r>
      <w:r w:rsidRPr="005808FC">
        <w:fldChar w:fldCharType="end"/>
      </w:r>
      <w:r w:rsidRPr="00E87057">
        <w:rPr>
          <w:rFonts w:ascii="Calibri" w:eastAsia="Times New Roman" w:hAnsi="Calibri" w:cs="Times New Roman"/>
        </w:rPr>
        <w:t xml:space="preserve"> dan je pregled mogućih izvora financiranja koji stoji na raspolaganju Gradu Zagrebu za uspješnu realizaciju mjera.</w:t>
      </w:r>
    </w:p>
    <w:p w14:paraId="7E128C67" w14:textId="18DED2E2" w:rsidR="00233428" w:rsidRPr="005808FC" w:rsidRDefault="00233428" w:rsidP="00E87057">
      <w:pPr>
        <w:pStyle w:val="Heading8"/>
        <w:rPr>
          <w:lang w:val="it-IT"/>
        </w:rPr>
      </w:pPr>
      <w:bookmarkStart w:id="296" w:name="_Ref468194566"/>
      <w:bookmarkStart w:id="297" w:name="_Toc477265484"/>
      <w:bookmarkStart w:id="298" w:name="_Toc493666382"/>
      <w:bookmarkStart w:id="299" w:name="_Toc4156019"/>
      <w:r w:rsidRPr="00383A74">
        <w:t xml:space="preserve">Tablica </w:t>
      </w:r>
      <w:r w:rsidR="00CA6C6C">
        <w:rPr>
          <w:noProof/>
        </w:rPr>
        <w:fldChar w:fldCharType="begin"/>
      </w:r>
      <w:r w:rsidR="00CA6C6C">
        <w:rPr>
          <w:noProof/>
        </w:rPr>
        <w:instrText xml:space="preserve"> STYLEREF 1 \s </w:instrText>
      </w:r>
      <w:r w:rsidR="00CA6C6C">
        <w:rPr>
          <w:noProof/>
        </w:rPr>
        <w:fldChar w:fldCharType="separate"/>
      </w:r>
      <w:r w:rsidR="0019556A">
        <w:rPr>
          <w:noProof/>
        </w:rPr>
        <w:t>11</w:t>
      </w:r>
      <w:r w:rsidR="00CA6C6C">
        <w:rPr>
          <w:noProof/>
        </w:rPr>
        <w:fldChar w:fldCharType="end"/>
      </w:r>
      <w:r w:rsidR="0019556A">
        <w:t>.</w:t>
      </w:r>
      <w:r w:rsidR="00CA6C6C">
        <w:rPr>
          <w:noProof/>
        </w:rPr>
        <w:fldChar w:fldCharType="begin"/>
      </w:r>
      <w:r w:rsidR="00CA6C6C">
        <w:rPr>
          <w:noProof/>
        </w:rPr>
        <w:instrText xml:space="preserve"> SEQ Tablica \* ARABIC \s 1 </w:instrText>
      </w:r>
      <w:r w:rsidR="00CA6C6C">
        <w:rPr>
          <w:noProof/>
        </w:rPr>
        <w:fldChar w:fldCharType="separate"/>
      </w:r>
      <w:r w:rsidR="0019556A">
        <w:rPr>
          <w:noProof/>
        </w:rPr>
        <w:t>2</w:t>
      </w:r>
      <w:r w:rsidR="00CA6C6C">
        <w:rPr>
          <w:noProof/>
        </w:rPr>
        <w:fldChar w:fldCharType="end"/>
      </w:r>
      <w:bookmarkEnd w:id="296"/>
      <w:r w:rsidR="00E35782">
        <w:t xml:space="preserve"> -</w:t>
      </w:r>
      <w:r w:rsidR="00B25B9E">
        <w:t xml:space="preserve"> </w:t>
      </w:r>
      <w:r w:rsidRPr="00383A74">
        <w:rPr>
          <w:lang w:val="x-none"/>
        </w:rPr>
        <w:t>Pregled mogućih izvora financiranja mjera</w:t>
      </w:r>
      <w:r w:rsidR="000509A0">
        <w:rPr>
          <w:lang w:val="x-none"/>
        </w:rPr>
        <w:t xml:space="preserve"> i </w:t>
      </w:r>
      <w:r w:rsidRPr="00383A74">
        <w:rPr>
          <w:lang w:val="x-none"/>
        </w:rPr>
        <w:t>aktivnosti</w:t>
      </w:r>
      <w:bookmarkEnd w:id="295"/>
      <w:bookmarkEnd w:id="297"/>
      <w:bookmarkEnd w:id="298"/>
      <w:bookmarkEnd w:id="299"/>
      <w:r w:rsidRPr="00383A74">
        <w:rPr>
          <w:lang w:val="x-none"/>
        </w:rPr>
        <w:t xml:space="preserve"> </w:t>
      </w:r>
    </w:p>
    <w:tbl>
      <w:tblPr>
        <w:tblW w:w="5000" w:type="pct"/>
        <w:jc w:val="center"/>
        <w:tblLook w:val="04A0" w:firstRow="1" w:lastRow="0" w:firstColumn="1" w:lastColumn="0" w:noHBand="0" w:noVBand="1"/>
      </w:tblPr>
      <w:tblGrid>
        <w:gridCol w:w="2207"/>
        <w:gridCol w:w="2591"/>
        <w:gridCol w:w="2463"/>
        <w:gridCol w:w="1755"/>
      </w:tblGrid>
      <w:tr w:rsidR="00233428" w:rsidRPr="00383A74" w14:paraId="21832799" w14:textId="77777777" w:rsidTr="005808FC">
        <w:trPr>
          <w:trHeight w:val="499"/>
          <w:jc w:val="center"/>
        </w:trPr>
        <w:tc>
          <w:tcPr>
            <w:tcW w:w="12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A143AE" w14:textId="77777777" w:rsidR="00233428" w:rsidRPr="00383A74" w:rsidRDefault="00233428" w:rsidP="004E3846">
            <w:pPr>
              <w:spacing w:after="0" w:line="240" w:lineRule="auto"/>
              <w:rPr>
                <w:rFonts w:ascii="Calibri" w:eastAsia="Times New Roman" w:hAnsi="Calibri" w:cs="Times New Roman"/>
                <w:b/>
                <w:bCs/>
                <w:color w:val="000000"/>
                <w:sz w:val="20"/>
                <w:szCs w:val="20"/>
                <w:lang w:eastAsia="hr-HR"/>
              </w:rPr>
            </w:pPr>
            <w:r w:rsidRPr="00383A74">
              <w:rPr>
                <w:rFonts w:ascii="Calibri" w:eastAsia="Times New Roman" w:hAnsi="Calibri" w:cs="Times New Roman"/>
                <w:b/>
                <w:bCs/>
                <w:color w:val="000000"/>
                <w:sz w:val="20"/>
                <w:szCs w:val="20"/>
                <w:lang w:eastAsia="hr-HR"/>
              </w:rPr>
              <w:t>Izvor financiranja</w:t>
            </w:r>
          </w:p>
        </w:tc>
        <w:tc>
          <w:tcPr>
            <w:tcW w:w="143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DAE3237" w14:textId="77777777" w:rsidR="00233428" w:rsidRPr="00383A74" w:rsidRDefault="00233428" w:rsidP="004E3846">
            <w:pPr>
              <w:spacing w:after="0" w:line="240" w:lineRule="auto"/>
              <w:jc w:val="center"/>
              <w:rPr>
                <w:rFonts w:ascii="Calibri" w:eastAsia="Times New Roman" w:hAnsi="Calibri" w:cs="Times New Roman"/>
                <w:b/>
                <w:bCs/>
                <w:color w:val="000000"/>
                <w:sz w:val="20"/>
                <w:szCs w:val="20"/>
                <w:lang w:eastAsia="hr-HR"/>
              </w:rPr>
            </w:pPr>
            <w:r w:rsidRPr="00383A74">
              <w:rPr>
                <w:rFonts w:ascii="Calibri" w:eastAsia="Times New Roman" w:hAnsi="Calibri" w:cs="Times New Roman"/>
                <w:b/>
                <w:bCs/>
                <w:color w:val="000000"/>
                <w:sz w:val="20"/>
                <w:szCs w:val="20"/>
                <w:lang w:eastAsia="hr-HR"/>
              </w:rPr>
              <w:t>Vrsta</w:t>
            </w:r>
          </w:p>
        </w:tc>
        <w:tc>
          <w:tcPr>
            <w:tcW w:w="1366"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EC9572D" w14:textId="77777777" w:rsidR="00233428" w:rsidRPr="00383A74" w:rsidRDefault="00233428" w:rsidP="004E3846">
            <w:pPr>
              <w:spacing w:after="0" w:line="240" w:lineRule="auto"/>
              <w:jc w:val="center"/>
              <w:rPr>
                <w:rFonts w:ascii="Calibri" w:eastAsia="Times New Roman" w:hAnsi="Calibri" w:cs="Times New Roman"/>
                <w:b/>
                <w:bCs/>
                <w:color w:val="000000"/>
                <w:sz w:val="20"/>
                <w:szCs w:val="20"/>
                <w:lang w:eastAsia="hr-HR"/>
              </w:rPr>
            </w:pPr>
            <w:r w:rsidRPr="00383A74">
              <w:rPr>
                <w:rFonts w:ascii="Calibri" w:eastAsia="Times New Roman" w:hAnsi="Calibri" w:cs="Times New Roman"/>
                <w:b/>
                <w:bCs/>
                <w:color w:val="000000"/>
                <w:sz w:val="20"/>
                <w:szCs w:val="20"/>
                <w:lang w:eastAsia="hr-HR"/>
              </w:rPr>
              <w:t>Maksimalni iznos</w:t>
            </w:r>
          </w:p>
        </w:tc>
        <w:tc>
          <w:tcPr>
            <w:tcW w:w="973"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D22221A" w14:textId="77777777" w:rsidR="00233428" w:rsidRPr="00383A74" w:rsidRDefault="00233428" w:rsidP="004E3846">
            <w:pPr>
              <w:spacing w:after="0" w:line="240" w:lineRule="auto"/>
              <w:jc w:val="center"/>
              <w:rPr>
                <w:rFonts w:ascii="Calibri" w:eastAsia="Times New Roman" w:hAnsi="Calibri" w:cs="Times New Roman"/>
                <w:b/>
                <w:bCs/>
                <w:color w:val="000000"/>
                <w:sz w:val="20"/>
                <w:szCs w:val="20"/>
                <w:lang w:eastAsia="hr-HR"/>
              </w:rPr>
            </w:pPr>
            <w:r w:rsidRPr="00383A74">
              <w:rPr>
                <w:rFonts w:ascii="Calibri" w:eastAsia="Times New Roman" w:hAnsi="Calibri" w:cs="Times New Roman"/>
                <w:b/>
                <w:bCs/>
                <w:color w:val="000000"/>
                <w:sz w:val="20"/>
                <w:szCs w:val="20"/>
                <w:lang w:eastAsia="hr-HR"/>
              </w:rPr>
              <w:t>Udio u ukupnim troškovima (%)</w:t>
            </w:r>
          </w:p>
        </w:tc>
      </w:tr>
      <w:tr w:rsidR="00233428" w:rsidRPr="00383A74" w14:paraId="74779EFE" w14:textId="77777777" w:rsidTr="005808FC">
        <w:trPr>
          <w:trHeight w:val="293"/>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F92DEA4"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Gradski proračun</w:t>
            </w:r>
          </w:p>
        </w:tc>
        <w:tc>
          <w:tcPr>
            <w:tcW w:w="1437" w:type="pct"/>
            <w:tcBorders>
              <w:top w:val="nil"/>
              <w:left w:val="nil"/>
              <w:bottom w:val="single" w:sz="4" w:space="0" w:color="auto"/>
              <w:right w:val="single" w:sz="4" w:space="0" w:color="auto"/>
            </w:tcBorders>
            <w:shd w:val="clear" w:color="auto" w:fill="auto"/>
            <w:vAlign w:val="center"/>
            <w:hideMark/>
          </w:tcPr>
          <w:p w14:paraId="00740D0D"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Vlastita sredstva</w:t>
            </w:r>
          </w:p>
        </w:tc>
        <w:tc>
          <w:tcPr>
            <w:tcW w:w="1366" w:type="pct"/>
            <w:tcBorders>
              <w:top w:val="nil"/>
              <w:left w:val="nil"/>
              <w:bottom w:val="single" w:sz="4" w:space="0" w:color="auto"/>
              <w:right w:val="single" w:sz="4" w:space="0" w:color="auto"/>
            </w:tcBorders>
            <w:shd w:val="clear" w:color="auto" w:fill="auto"/>
            <w:vAlign w:val="center"/>
            <w:hideMark/>
          </w:tcPr>
          <w:p w14:paraId="7F256C88"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w:t>
            </w:r>
          </w:p>
        </w:tc>
        <w:tc>
          <w:tcPr>
            <w:tcW w:w="973" w:type="pct"/>
            <w:tcBorders>
              <w:top w:val="nil"/>
              <w:left w:val="nil"/>
              <w:bottom w:val="single" w:sz="4" w:space="0" w:color="auto"/>
              <w:right w:val="single" w:sz="4" w:space="0" w:color="auto"/>
            </w:tcBorders>
            <w:shd w:val="clear" w:color="auto" w:fill="auto"/>
            <w:vAlign w:val="center"/>
            <w:hideMark/>
          </w:tcPr>
          <w:p w14:paraId="59C1A22E"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100</w:t>
            </w:r>
          </w:p>
        </w:tc>
      </w:tr>
      <w:tr w:rsidR="00233428" w:rsidRPr="00383A74" w14:paraId="534C3591"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C1B5FC6"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Nacionalni programi energetske obnove</w:t>
            </w:r>
          </w:p>
        </w:tc>
        <w:tc>
          <w:tcPr>
            <w:tcW w:w="1437" w:type="pct"/>
            <w:tcBorders>
              <w:top w:val="nil"/>
              <w:left w:val="nil"/>
              <w:bottom w:val="single" w:sz="4" w:space="0" w:color="auto"/>
              <w:right w:val="single" w:sz="4" w:space="0" w:color="auto"/>
            </w:tcBorders>
            <w:shd w:val="clear" w:color="auto" w:fill="auto"/>
            <w:vAlign w:val="center"/>
            <w:hideMark/>
          </w:tcPr>
          <w:p w14:paraId="3135FF2E"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sredstva/kredit</w:t>
            </w:r>
          </w:p>
        </w:tc>
        <w:tc>
          <w:tcPr>
            <w:tcW w:w="1366" w:type="pct"/>
            <w:tcBorders>
              <w:top w:val="nil"/>
              <w:left w:val="nil"/>
              <w:bottom w:val="single" w:sz="4" w:space="0" w:color="auto"/>
              <w:right w:val="single" w:sz="4" w:space="0" w:color="auto"/>
            </w:tcBorders>
            <w:shd w:val="clear" w:color="auto" w:fill="auto"/>
            <w:vAlign w:val="center"/>
            <w:hideMark/>
          </w:tcPr>
          <w:p w14:paraId="7F8B4FC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nil"/>
              <w:left w:val="nil"/>
              <w:bottom w:val="single" w:sz="4" w:space="0" w:color="auto"/>
              <w:right w:val="single" w:sz="4" w:space="0" w:color="auto"/>
            </w:tcBorders>
            <w:shd w:val="clear" w:color="auto" w:fill="auto"/>
            <w:vAlign w:val="center"/>
            <w:hideMark/>
          </w:tcPr>
          <w:p w14:paraId="1E80EE8C"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95</w:t>
            </w:r>
          </w:p>
        </w:tc>
      </w:tr>
      <w:tr w:rsidR="00233428" w:rsidRPr="00383A74" w14:paraId="79DCDD1A"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DAFEB2C"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FZOEU</w:t>
            </w:r>
          </w:p>
        </w:tc>
        <w:tc>
          <w:tcPr>
            <w:tcW w:w="1437" w:type="pct"/>
            <w:tcBorders>
              <w:top w:val="nil"/>
              <w:left w:val="nil"/>
              <w:bottom w:val="single" w:sz="4" w:space="0" w:color="auto"/>
              <w:right w:val="single" w:sz="4" w:space="0" w:color="auto"/>
            </w:tcBorders>
            <w:shd w:val="clear" w:color="auto" w:fill="auto"/>
            <w:vAlign w:val="center"/>
            <w:hideMark/>
          </w:tcPr>
          <w:p w14:paraId="50DDB540"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647F2FE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nil"/>
              <w:left w:val="nil"/>
              <w:bottom w:val="single" w:sz="4" w:space="0" w:color="auto"/>
              <w:right w:val="single" w:sz="4" w:space="0" w:color="auto"/>
            </w:tcBorders>
            <w:shd w:val="clear" w:color="auto" w:fill="auto"/>
            <w:vAlign w:val="center"/>
            <w:hideMark/>
          </w:tcPr>
          <w:p w14:paraId="7E5E11C6"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80</w:t>
            </w:r>
          </w:p>
        </w:tc>
      </w:tr>
      <w:tr w:rsidR="00233428" w:rsidRPr="00383A74" w14:paraId="15DA1BCE"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91B182C"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 xml:space="preserve">ESI </w:t>
            </w:r>
            <w:r w:rsidRPr="005808FC">
              <w:rPr>
                <w:rFonts w:ascii="Calibri" w:eastAsia="Times New Roman" w:hAnsi="Calibri" w:cs="Times New Roman"/>
                <w:b/>
                <w:bCs/>
                <w:color w:val="000000"/>
                <w:sz w:val="20"/>
                <w:szCs w:val="20"/>
                <w:lang w:eastAsia="hr-HR"/>
              </w:rPr>
              <w:t>fondovi</w:t>
            </w:r>
          </w:p>
        </w:tc>
        <w:tc>
          <w:tcPr>
            <w:tcW w:w="1437" w:type="pct"/>
            <w:tcBorders>
              <w:top w:val="nil"/>
              <w:left w:val="nil"/>
              <w:bottom w:val="single" w:sz="4" w:space="0" w:color="auto"/>
              <w:right w:val="single" w:sz="4" w:space="0" w:color="auto"/>
            </w:tcBorders>
            <w:shd w:val="clear" w:color="auto" w:fill="auto"/>
            <w:vAlign w:val="center"/>
            <w:hideMark/>
          </w:tcPr>
          <w:p w14:paraId="0F7B0ED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71046261" w14:textId="77777777" w:rsidR="00233428" w:rsidRDefault="00B94D05" w:rsidP="004E3846">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Zasebno određen po pojedinim SC – ostatak u perspektivi 2014-2020 teško je procjenjiv</w:t>
            </w:r>
          </w:p>
          <w:p w14:paraId="7EF583E1" w14:textId="05968D0E" w:rsidR="00B94D05" w:rsidRPr="00383A74" w:rsidRDefault="00B94D05" w:rsidP="004E3846">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Potencijal iz 2021-</w:t>
            </w:r>
            <w:r w:rsidR="00D05D04">
              <w:rPr>
                <w:rFonts w:ascii="Calibri" w:eastAsia="Times New Roman" w:hAnsi="Calibri" w:cs="Times New Roman"/>
                <w:color w:val="000000"/>
                <w:sz w:val="20"/>
                <w:szCs w:val="20"/>
                <w:lang w:eastAsia="hr-HR"/>
              </w:rPr>
              <w:t>2027</w:t>
            </w:r>
          </w:p>
        </w:tc>
        <w:tc>
          <w:tcPr>
            <w:tcW w:w="973" w:type="pct"/>
            <w:tcBorders>
              <w:top w:val="nil"/>
              <w:left w:val="nil"/>
              <w:bottom w:val="single" w:sz="4" w:space="0" w:color="auto"/>
              <w:right w:val="single" w:sz="4" w:space="0" w:color="auto"/>
            </w:tcBorders>
            <w:shd w:val="clear" w:color="auto" w:fill="auto"/>
            <w:vAlign w:val="center"/>
            <w:hideMark/>
          </w:tcPr>
          <w:p w14:paraId="2BD141E8"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100</w:t>
            </w:r>
          </w:p>
        </w:tc>
      </w:tr>
      <w:tr w:rsidR="00B94D05" w:rsidRPr="00383A74" w14:paraId="2D1068B7"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tcPr>
          <w:p w14:paraId="6FB1EAE5" w14:textId="76F699B4" w:rsidR="00B94D05" w:rsidRPr="005808FC" w:rsidRDefault="00B94D05" w:rsidP="005808FC">
            <w:pPr>
              <w:spacing w:after="0" w:line="240" w:lineRule="auto"/>
              <w:rPr>
                <w:rFonts w:ascii="Calibri" w:eastAsia="Times New Roman" w:hAnsi="Calibri" w:cs="Times New Roman"/>
                <w:b/>
                <w:bCs/>
                <w:color w:val="000000" w:themeColor="text1"/>
                <w:sz w:val="20"/>
                <w:szCs w:val="20"/>
                <w:lang w:eastAsia="hr-HR"/>
              </w:rPr>
            </w:pPr>
            <w:r w:rsidRPr="00291DF5">
              <w:rPr>
                <w:rFonts w:ascii="Calibri" w:eastAsia="Times New Roman" w:hAnsi="Calibri" w:cs="Times New Roman"/>
                <w:b/>
                <w:bCs/>
                <w:color w:val="000000"/>
                <w:sz w:val="20"/>
                <w:szCs w:val="20"/>
                <w:lang w:eastAsia="hr-HR"/>
              </w:rPr>
              <w:t>EFS</w:t>
            </w:r>
            <w:r w:rsidR="2EFE3D37" w:rsidRPr="005808FC">
              <w:rPr>
                <w:rFonts w:ascii="Calibri" w:eastAsia="Times New Roman" w:hAnsi="Calibri" w:cs="Times New Roman"/>
                <w:b/>
                <w:bCs/>
                <w:color w:val="000000"/>
                <w:sz w:val="20"/>
                <w:szCs w:val="20"/>
                <w:lang w:eastAsia="hr-HR"/>
              </w:rPr>
              <w:t>U</w:t>
            </w:r>
          </w:p>
        </w:tc>
        <w:tc>
          <w:tcPr>
            <w:tcW w:w="1437" w:type="pct"/>
            <w:tcBorders>
              <w:top w:val="nil"/>
              <w:left w:val="nil"/>
              <w:bottom w:val="single" w:sz="4" w:space="0" w:color="auto"/>
              <w:right w:val="single" w:sz="4" w:space="0" w:color="auto"/>
            </w:tcBorders>
            <w:shd w:val="clear" w:color="auto" w:fill="auto"/>
            <w:vAlign w:val="center"/>
          </w:tcPr>
          <w:p w14:paraId="178D399F" w14:textId="34FE06FE" w:rsidR="00B94D05" w:rsidRPr="00383A74" w:rsidRDefault="00B94D05" w:rsidP="004E3846">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Garantna sredstva</w:t>
            </w:r>
          </w:p>
        </w:tc>
        <w:tc>
          <w:tcPr>
            <w:tcW w:w="1366" w:type="pct"/>
            <w:tcBorders>
              <w:top w:val="nil"/>
              <w:left w:val="nil"/>
              <w:bottom w:val="single" w:sz="4" w:space="0" w:color="auto"/>
              <w:right w:val="single" w:sz="4" w:space="0" w:color="auto"/>
            </w:tcBorders>
            <w:shd w:val="clear" w:color="auto" w:fill="auto"/>
            <w:vAlign w:val="center"/>
          </w:tcPr>
          <w:p w14:paraId="1FE847EE" w14:textId="1DFFEB75" w:rsidR="00B94D05" w:rsidRDefault="00B94D05" w:rsidP="004E3846">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Nije određeno</w:t>
            </w:r>
          </w:p>
        </w:tc>
        <w:tc>
          <w:tcPr>
            <w:tcW w:w="973" w:type="pct"/>
            <w:tcBorders>
              <w:top w:val="nil"/>
              <w:left w:val="nil"/>
              <w:bottom w:val="single" w:sz="4" w:space="0" w:color="auto"/>
              <w:right w:val="single" w:sz="4" w:space="0" w:color="auto"/>
            </w:tcBorders>
            <w:shd w:val="clear" w:color="auto" w:fill="auto"/>
            <w:vAlign w:val="center"/>
          </w:tcPr>
          <w:p w14:paraId="2D1C2DA9" w14:textId="424E489D" w:rsidR="00B94D05" w:rsidRPr="00383A74" w:rsidRDefault="00B94D05" w:rsidP="004E3846">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n/p</w:t>
            </w:r>
          </w:p>
        </w:tc>
      </w:tr>
      <w:tr w:rsidR="00233428" w:rsidRPr="00383A74" w14:paraId="212E9FB4" w14:textId="77777777" w:rsidTr="005808FC">
        <w:trPr>
          <w:trHeight w:val="53"/>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B695BFD"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HBOR</w:t>
            </w:r>
          </w:p>
        </w:tc>
        <w:tc>
          <w:tcPr>
            <w:tcW w:w="1437" w:type="pct"/>
            <w:tcBorders>
              <w:top w:val="nil"/>
              <w:left w:val="nil"/>
              <w:bottom w:val="single" w:sz="4" w:space="0" w:color="auto"/>
              <w:right w:val="single" w:sz="4" w:space="0" w:color="auto"/>
            </w:tcBorders>
            <w:shd w:val="clear" w:color="auto" w:fill="auto"/>
            <w:vAlign w:val="center"/>
            <w:hideMark/>
          </w:tcPr>
          <w:p w14:paraId="43FAF4E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Kredit</w:t>
            </w:r>
          </w:p>
        </w:tc>
        <w:tc>
          <w:tcPr>
            <w:tcW w:w="1366" w:type="pct"/>
            <w:tcBorders>
              <w:top w:val="nil"/>
              <w:left w:val="nil"/>
              <w:bottom w:val="single" w:sz="4" w:space="0" w:color="auto"/>
              <w:right w:val="single" w:sz="4" w:space="0" w:color="auto"/>
            </w:tcBorders>
            <w:shd w:val="clear" w:color="auto" w:fill="auto"/>
            <w:vAlign w:val="center"/>
            <w:hideMark/>
          </w:tcPr>
          <w:p w14:paraId="0D92A687"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nil"/>
              <w:left w:val="nil"/>
              <w:bottom w:val="single" w:sz="4" w:space="0" w:color="auto"/>
              <w:right w:val="single" w:sz="4" w:space="0" w:color="auto"/>
            </w:tcBorders>
            <w:shd w:val="clear" w:color="auto" w:fill="auto"/>
            <w:vAlign w:val="center"/>
            <w:hideMark/>
          </w:tcPr>
          <w:p w14:paraId="4E0B43A3"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75</w:t>
            </w:r>
          </w:p>
        </w:tc>
      </w:tr>
      <w:tr w:rsidR="00233428" w:rsidRPr="00383A74" w14:paraId="05EA0FA7" w14:textId="77777777" w:rsidTr="005808FC">
        <w:trPr>
          <w:trHeight w:val="293"/>
          <w:jc w:val="center"/>
        </w:trPr>
        <w:tc>
          <w:tcPr>
            <w:tcW w:w="1224" w:type="pct"/>
            <w:tcBorders>
              <w:top w:val="nil"/>
              <w:left w:val="single" w:sz="4" w:space="0" w:color="auto"/>
              <w:bottom w:val="nil"/>
              <w:right w:val="single" w:sz="4" w:space="0" w:color="auto"/>
            </w:tcBorders>
            <w:shd w:val="clear" w:color="auto" w:fill="F2DBDB" w:themeFill="accent2" w:themeFillTint="33"/>
            <w:vAlign w:val="center"/>
            <w:hideMark/>
          </w:tcPr>
          <w:p w14:paraId="14B18DEA"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EIB</w:t>
            </w:r>
          </w:p>
        </w:tc>
        <w:tc>
          <w:tcPr>
            <w:tcW w:w="1437" w:type="pct"/>
            <w:tcBorders>
              <w:top w:val="nil"/>
              <w:left w:val="nil"/>
              <w:bottom w:val="nil"/>
              <w:right w:val="single" w:sz="4" w:space="0" w:color="auto"/>
            </w:tcBorders>
            <w:shd w:val="clear" w:color="auto" w:fill="auto"/>
            <w:vAlign w:val="center"/>
            <w:hideMark/>
          </w:tcPr>
          <w:p w14:paraId="7A9E1575"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Kredit/jamstva</w:t>
            </w:r>
          </w:p>
        </w:tc>
        <w:tc>
          <w:tcPr>
            <w:tcW w:w="1366" w:type="pct"/>
            <w:tcBorders>
              <w:top w:val="nil"/>
              <w:left w:val="nil"/>
              <w:bottom w:val="single" w:sz="4" w:space="0" w:color="auto"/>
              <w:right w:val="single" w:sz="4" w:space="0" w:color="auto"/>
            </w:tcBorders>
            <w:shd w:val="clear" w:color="auto" w:fill="auto"/>
            <w:vAlign w:val="center"/>
            <w:hideMark/>
          </w:tcPr>
          <w:p w14:paraId="1DAA2656"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nil"/>
              <w:left w:val="nil"/>
              <w:bottom w:val="nil"/>
              <w:right w:val="single" w:sz="4" w:space="0" w:color="auto"/>
            </w:tcBorders>
            <w:shd w:val="clear" w:color="auto" w:fill="auto"/>
            <w:vAlign w:val="center"/>
            <w:hideMark/>
          </w:tcPr>
          <w:p w14:paraId="238D7C66"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50</w:t>
            </w:r>
          </w:p>
        </w:tc>
      </w:tr>
      <w:tr w:rsidR="00233428" w:rsidRPr="00383A74" w14:paraId="67AC8F2C" w14:textId="77777777" w:rsidTr="005808FC">
        <w:trPr>
          <w:trHeight w:val="60"/>
          <w:jc w:val="center"/>
        </w:trPr>
        <w:tc>
          <w:tcPr>
            <w:tcW w:w="1224" w:type="pct"/>
            <w:tcBorders>
              <w:top w:val="single" w:sz="4" w:space="0" w:color="auto"/>
              <w:left w:val="single" w:sz="4" w:space="0" w:color="auto"/>
              <w:bottom w:val="nil"/>
              <w:right w:val="single" w:sz="4" w:space="0" w:color="auto"/>
            </w:tcBorders>
            <w:shd w:val="clear" w:color="auto" w:fill="F2DBDB" w:themeFill="accent2" w:themeFillTint="33"/>
            <w:vAlign w:val="center"/>
            <w:hideMark/>
          </w:tcPr>
          <w:p w14:paraId="7F672ECA"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EBRD</w:t>
            </w:r>
          </w:p>
        </w:tc>
        <w:tc>
          <w:tcPr>
            <w:tcW w:w="1437" w:type="pct"/>
            <w:tcBorders>
              <w:top w:val="single" w:sz="4" w:space="0" w:color="auto"/>
              <w:left w:val="nil"/>
              <w:bottom w:val="nil"/>
              <w:right w:val="single" w:sz="4" w:space="0" w:color="auto"/>
            </w:tcBorders>
            <w:shd w:val="clear" w:color="auto" w:fill="auto"/>
            <w:vAlign w:val="center"/>
            <w:hideMark/>
          </w:tcPr>
          <w:p w14:paraId="347AF345"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Kredit</w:t>
            </w:r>
          </w:p>
        </w:tc>
        <w:tc>
          <w:tcPr>
            <w:tcW w:w="1366" w:type="pct"/>
            <w:tcBorders>
              <w:top w:val="nil"/>
              <w:left w:val="nil"/>
              <w:bottom w:val="single" w:sz="4" w:space="0" w:color="auto"/>
              <w:right w:val="single" w:sz="4" w:space="0" w:color="auto"/>
            </w:tcBorders>
            <w:shd w:val="clear" w:color="auto" w:fill="auto"/>
            <w:vAlign w:val="center"/>
            <w:hideMark/>
          </w:tcPr>
          <w:p w14:paraId="6BD36984"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5-230 mil. EUR po projektu</w:t>
            </w:r>
          </w:p>
        </w:tc>
        <w:tc>
          <w:tcPr>
            <w:tcW w:w="973" w:type="pct"/>
            <w:tcBorders>
              <w:top w:val="single" w:sz="4" w:space="0" w:color="auto"/>
              <w:left w:val="nil"/>
              <w:bottom w:val="nil"/>
              <w:right w:val="single" w:sz="4" w:space="0" w:color="auto"/>
            </w:tcBorders>
            <w:shd w:val="clear" w:color="auto" w:fill="auto"/>
            <w:vAlign w:val="center"/>
            <w:hideMark/>
          </w:tcPr>
          <w:p w14:paraId="2883E9C9"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35</w:t>
            </w:r>
          </w:p>
        </w:tc>
      </w:tr>
      <w:tr w:rsidR="00233428" w:rsidRPr="00383A74" w14:paraId="55547003" w14:textId="77777777" w:rsidTr="005808FC">
        <w:trPr>
          <w:trHeight w:val="293"/>
          <w:jc w:val="center"/>
        </w:trPr>
        <w:tc>
          <w:tcPr>
            <w:tcW w:w="12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FD6BF1"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EEEF</w:t>
            </w:r>
          </w:p>
        </w:tc>
        <w:tc>
          <w:tcPr>
            <w:tcW w:w="1437" w:type="pct"/>
            <w:tcBorders>
              <w:top w:val="single" w:sz="4" w:space="0" w:color="auto"/>
              <w:left w:val="nil"/>
              <w:bottom w:val="single" w:sz="4" w:space="0" w:color="auto"/>
              <w:right w:val="single" w:sz="4" w:space="0" w:color="auto"/>
            </w:tcBorders>
            <w:shd w:val="clear" w:color="auto" w:fill="auto"/>
            <w:vAlign w:val="center"/>
            <w:hideMark/>
          </w:tcPr>
          <w:p w14:paraId="5222D80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Kredit</w:t>
            </w:r>
          </w:p>
        </w:tc>
        <w:tc>
          <w:tcPr>
            <w:tcW w:w="1366" w:type="pct"/>
            <w:tcBorders>
              <w:top w:val="nil"/>
              <w:left w:val="nil"/>
              <w:bottom w:val="single" w:sz="4" w:space="0" w:color="auto"/>
              <w:right w:val="single" w:sz="4" w:space="0" w:color="auto"/>
            </w:tcBorders>
            <w:shd w:val="clear" w:color="auto" w:fill="auto"/>
            <w:vAlign w:val="center"/>
            <w:hideMark/>
          </w:tcPr>
          <w:p w14:paraId="1DC6C928"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6E1FCEF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100</w:t>
            </w:r>
          </w:p>
        </w:tc>
      </w:tr>
      <w:tr w:rsidR="00233428" w:rsidRPr="00383A74" w14:paraId="44D9679C" w14:textId="77777777" w:rsidTr="005808FC">
        <w:trPr>
          <w:trHeight w:val="293"/>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35A149C"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WeBSEFF II</w:t>
            </w:r>
          </w:p>
        </w:tc>
        <w:tc>
          <w:tcPr>
            <w:tcW w:w="1437" w:type="pct"/>
            <w:tcBorders>
              <w:top w:val="nil"/>
              <w:left w:val="nil"/>
              <w:bottom w:val="single" w:sz="4" w:space="0" w:color="auto"/>
              <w:right w:val="single" w:sz="4" w:space="0" w:color="auto"/>
            </w:tcBorders>
            <w:shd w:val="clear" w:color="auto" w:fill="auto"/>
            <w:vAlign w:val="center"/>
            <w:hideMark/>
          </w:tcPr>
          <w:p w14:paraId="51D55F44"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Kredit/bespovratna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01B48F32"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2,5 mil. EUR</w:t>
            </w:r>
          </w:p>
        </w:tc>
        <w:tc>
          <w:tcPr>
            <w:tcW w:w="973" w:type="pct"/>
            <w:tcBorders>
              <w:top w:val="nil"/>
              <w:left w:val="nil"/>
              <w:bottom w:val="single" w:sz="4" w:space="0" w:color="auto"/>
              <w:right w:val="single" w:sz="4" w:space="0" w:color="auto"/>
            </w:tcBorders>
            <w:shd w:val="clear" w:color="auto" w:fill="auto"/>
            <w:vAlign w:val="center"/>
            <w:hideMark/>
          </w:tcPr>
          <w:p w14:paraId="06E61C54"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50</w:t>
            </w:r>
          </w:p>
        </w:tc>
      </w:tr>
      <w:tr w:rsidR="00233428" w:rsidRPr="00383A74" w14:paraId="5218188D" w14:textId="77777777" w:rsidTr="005808FC">
        <w:trPr>
          <w:trHeight w:val="293"/>
          <w:jc w:val="center"/>
        </w:trPr>
        <w:tc>
          <w:tcPr>
            <w:tcW w:w="1224"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36892C5"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Obzor 2020</w:t>
            </w:r>
          </w:p>
        </w:tc>
        <w:tc>
          <w:tcPr>
            <w:tcW w:w="1437" w:type="pct"/>
            <w:tcBorders>
              <w:top w:val="single" w:sz="4" w:space="0" w:color="auto"/>
              <w:left w:val="nil"/>
              <w:bottom w:val="single" w:sz="4" w:space="0" w:color="auto"/>
              <w:right w:val="single" w:sz="4" w:space="0" w:color="auto"/>
            </w:tcBorders>
            <w:shd w:val="clear" w:color="auto" w:fill="auto"/>
            <w:vAlign w:val="center"/>
            <w:hideMark/>
          </w:tcPr>
          <w:p w14:paraId="3DD36895"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725FEDDF"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18 mil. EUR</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65358AB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100</w:t>
            </w:r>
          </w:p>
        </w:tc>
      </w:tr>
      <w:tr w:rsidR="00233428" w:rsidRPr="00383A74" w14:paraId="749FB10D" w14:textId="77777777" w:rsidTr="005808FC">
        <w:trPr>
          <w:trHeight w:val="499"/>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0172B34A"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EU programi teritorijalne suradnje</w:t>
            </w:r>
          </w:p>
        </w:tc>
        <w:tc>
          <w:tcPr>
            <w:tcW w:w="1437" w:type="pct"/>
            <w:tcBorders>
              <w:top w:val="nil"/>
              <w:left w:val="nil"/>
              <w:bottom w:val="single" w:sz="4" w:space="0" w:color="auto"/>
              <w:right w:val="single" w:sz="4" w:space="0" w:color="auto"/>
            </w:tcBorders>
            <w:shd w:val="clear" w:color="auto" w:fill="auto"/>
            <w:vAlign w:val="center"/>
            <w:hideMark/>
          </w:tcPr>
          <w:p w14:paraId="2854DE19"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5AD9321C"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5 mil. EUR po projektu</w:t>
            </w:r>
          </w:p>
        </w:tc>
        <w:tc>
          <w:tcPr>
            <w:tcW w:w="973" w:type="pct"/>
            <w:tcBorders>
              <w:top w:val="nil"/>
              <w:left w:val="nil"/>
              <w:bottom w:val="single" w:sz="4" w:space="0" w:color="auto"/>
              <w:right w:val="single" w:sz="4" w:space="0" w:color="auto"/>
            </w:tcBorders>
            <w:shd w:val="clear" w:color="auto" w:fill="auto"/>
            <w:vAlign w:val="center"/>
            <w:hideMark/>
          </w:tcPr>
          <w:p w14:paraId="59643705"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85</w:t>
            </w:r>
          </w:p>
        </w:tc>
      </w:tr>
      <w:tr w:rsidR="00233428" w:rsidRPr="00383A74" w14:paraId="6B255247" w14:textId="77777777" w:rsidTr="005808FC">
        <w:trPr>
          <w:trHeight w:val="293"/>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D5831B1"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ELENA</w:t>
            </w:r>
          </w:p>
        </w:tc>
        <w:tc>
          <w:tcPr>
            <w:tcW w:w="1437" w:type="pct"/>
            <w:tcBorders>
              <w:top w:val="nil"/>
              <w:left w:val="nil"/>
              <w:bottom w:val="single" w:sz="4" w:space="0" w:color="auto"/>
              <w:right w:val="single" w:sz="4" w:space="0" w:color="auto"/>
            </w:tcBorders>
            <w:shd w:val="clear" w:color="auto" w:fill="auto"/>
            <w:vAlign w:val="center"/>
            <w:hideMark/>
          </w:tcPr>
          <w:p w14:paraId="2B77116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11E3FF9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w:t>
            </w:r>
          </w:p>
        </w:tc>
        <w:tc>
          <w:tcPr>
            <w:tcW w:w="973" w:type="pct"/>
            <w:tcBorders>
              <w:top w:val="nil"/>
              <w:left w:val="nil"/>
              <w:bottom w:val="single" w:sz="4" w:space="0" w:color="auto"/>
              <w:right w:val="single" w:sz="4" w:space="0" w:color="auto"/>
            </w:tcBorders>
            <w:shd w:val="clear" w:color="auto" w:fill="auto"/>
            <w:vAlign w:val="center"/>
            <w:hideMark/>
          </w:tcPr>
          <w:p w14:paraId="72D18697"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90</w:t>
            </w:r>
          </w:p>
        </w:tc>
      </w:tr>
      <w:tr w:rsidR="00233428" w:rsidRPr="00383A74" w14:paraId="589B46DF"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D689489"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JASPERS</w:t>
            </w:r>
          </w:p>
        </w:tc>
        <w:tc>
          <w:tcPr>
            <w:tcW w:w="1437" w:type="pct"/>
            <w:tcBorders>
              <w:top w:val="nil"/>
              <w:left w:val="nil"/>
              <w:bottom w:val="single" w:sz="4" w:space="0" w:color="auto"/>
              <w:right w:val="single" w:sz="4" w:space="0" w:color="auto"/>
            </w:tcBorders>
            <w:shd w:val="clear" w:color="auto" w:fill="auto"/>
            <w:vAlign w:val="center"/>
            <w:hideMark/>
          </w:tcPr>
          <w:p w14:paraId="7017198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Tehnička pomoć</w:t>
            </w:r>
          </w:p>
        </w:tc>
        <w:tc>
          <w:tcPr>
            <w:tcW w:w="1366" w:type="pct"/>
            <w:tcBorders>
              <w:top w:val="nil"/>
              <w:left w:val="nil"/>
              <w:bottom w:val="single" w:sz="4" w:space="0" w:color="auto"/>
              <w:right w:val="single" w:sz="4" w:space="0" w:color="auto"/>
            </w:tcBorders>
            <w:shd w:val="clear" w:color="auto" w:fill="auto"/>
            <w:vAlign w:val="center"/>
            <w:hideMark/>
          </w:tcPr>
          <w:p w14:paraId="413BD82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w:t>
            </w:r>
          </w:p>
        </w:tc>
        <w:tc>
          <w:tcPr>
            <w:tcW w:w="973" w:type="pct"/>
            <w:tcBorders>
              <w:top w:val="nil"/>
              <w:left w:val="nil"/>
              <w:bottom w:val="single" w:sz="4" w:space="0" w:color="auto"/>
              <w:right w:val="single" w:sz="4" w:space="0" w:color="auto"/>
            </w:tcBorders>
            <w:shd w:val="clear" w:color="auto" w:fill="auto"/>
            <w:vAlign w:val="center"/>
            <w:hideMark/>
          </w:tcPr>
          <w:p w14:paraId="2FE0A80A"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w:t>
            </w:r>
          </w:p>
        </w:tc>
      </w:tr>
      <w:tr w:rsidR="00233428" w:rsidRPr="00383A74" w14:paraId="1439463E" w14:textId="77777777" w:rsidTr="005808FC">
        <w:trPr>
          <w:trHeight w:val="85"/>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57FABE8A" w14:textId="5ADAEB92"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Darovnice članica Europske Ekonomske Zone</w:t>
            </w:r>
            <w:r w:rsidR="000509A0">
              <w:rPr>
                <w:rFonts w:ascii="Calibri" w:eastAsia="Times New Roman" w:hAnsi="Calibri" w:cs="Times New Roman"/>
                <w:b/>
                <w:bCs/>
                <w:color w:val="000000"/>
                <w:sz w:val="20"/>
                <w:szCs w:val="20"/>
                <w:lang w:eastAsia="hr-HR"/>
              </w:rPr>
              <w:t xml:space="preserve"> i </w:t>
            </w:r>
            <w:r w:rsidRPr="00291DF5">
              <w:rPr>
                <w:rFonts w:ascii="Calibri" w:eastAsia="Times New Roman" w:hAnsi="Calibri" w:cs="Times New Roman"/>
                <w:b/>
                <w:bCs/>
                <w:color w:val="000000"/>
                <w:sz w:val="20"/>
                <w:szCs w:val="20"/>
                <w:lang w:eastAsia="hr-HR"/>
              </w:rPr>
              <w:t>Norveške</w:t>
            </w:r>
          </w:p>
        </w:tc>
        <w:tc>
          <w:tcPr>
            <w:tcW w:w="1437" w:type="pct"/>
            <w:tcBorders>
              <w:top w:val="nil"/>
              <w:left w:val="nil"/>
              <w:bottom w:val="single" w:sz="4" w:space="0" w:color="auto"/>
              <w:right w:val="single" w:sz="4" w:space="0" w:color="auto"/>
            </w:tcBorders>
            <w:shd w:val="clear" w:color="auto" w:fill="auto"/>
            <w:vAlign w:val="center"/>
            <w:hideMark/>
          </w:tcPr>
          <w:p w14:paraId="496C92B1"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Bespovratna sredstva</w:t>
            </w:r>
          </w:p>
        </w:tc>
        <w:tc>
          <w:tcPr>
            <w:tcW w:w="1366" w:type="pct"/>
            <w:tcBorders>
              <w:top w:val="nil"/>
              <w:left w:val="nil"/>
              <w:bottom w:val="single" w:sz="4" w:space="0" w:color="auto"/>
              <w:right w:val="single" w:sz="4" w:space="0" w:color="auto"/>
            </w:tcBorders>
            <w:shd w:val="clear" w:color="auto" w:fill="auto"/>
            <w:vAlign w:val="center"/>
            <w:hideMark/>
          </w:tcPr>
          <w:p w14:paraId="654472F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103,4 mil. EUR ukupno</w:t>
            </w:r>
          </w:p>
        </w:tc>
        <w:tc>
          <w:tcPr>
            <w:tcW w:w="973" w:type="pct"/>
            <w:tcBorders>
              <w:top w:val="nil"/>
              <w:left w:val="nil"/>
              <w:bottom w:val="single" w:sz="4" w:space="0" w:color="auto"/>
              <w:right w:val="single" w:sz="4" w:space="0" w:color="auto"/>
            </w:tcBorders>
            <w:shd w:val="clear" w:color="auto" w:fill="auto"/>
            <w:vAlign w:val="center"/>
            <w:hideMark/>
          </w:tcPr>
          <w:p w14:paraId="0DFBE97E"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Nije određeno</w:t>
            </w:r>
          </w:p>
        </w:tc>
      </w:tr>
      <w:tr w:rsidR="00233428" w:rsidRPr="00383A74" w14:paraId="22CE1D2E" w14:textId="77777777" w:rsidTr="005808FC">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tcPr>
          <w:p w14:paraId="7448663A"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ESCO</w:t>
            </w:r>
          </w:p>
        </w:tc>
        <w:tc>
          <w:tcPr>
            <w:tcW w:w="1437" w:type="pct"/>
            <w:tcBorders>
              <w:top w:val="nil"/>
              <w:left w:val="nil"/>
              <w:bottom w:val="single" w:sz="4" w:space="0" w:color="auto"/>
              <w:right w:val="single" w:sz="4" w:space="0" w:color="auto"/>
            </w:tcBorders>
            <w:shd w:val="clear" w:color="auto" w:fill="auto"/>
            <w:vAlign w:val="center"/>
          </w:tcPr>
          <w:p w14:paraId="1886B7A2"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Privatni kapital/kredit</w:t>
            </w:r>
          </w:p>
        </w:tc>
        <w:tc>
          <w:tcPr>
            <w:tcW w:w="1366" w:type="pct"/>
            <w:tcBorders>
              <w:top w:val="nil"/>
              <w:left w:val="nil"/>
              <w:bottom w:val="single" w:sz="4" w:space="0" w:color="auto"/>
              <w:right w:val="single" w:sz="4" w:space="0" w:color="auto"/>
            </w:tcBorders>
            <w:shd w:val="clear" w:color="auto" w:fill="auto"/>
            <w:vAlign w:val="center"/>
          </w:tcPr>
          <w:p w14:paraId="033F7F5F"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w:t>
            </w:r>
          </w:p>
        </w:tc>
        <w:tc>
          <w:tcPr>
            <w:tcW w:w="973" w:type="pct"/>
            <w:tcBorders>
              <w:top w:val="nil"/>
              <w:left w:val="nil"/>
              <w:bottom w:val="single" w:sz="4" w:space="0" w:color="auto"/>
              <w:right w:val="single" w:sz="4" w:space="0" w:color="auto"/>
            </w:tcBorders>
            <w:shd w:val="clear" w:color="auto" w:fill="auto"/>
            <w:vAlign w:val="center"/>
          </w:tcPr>
          <w:p w14:paraId="360617DC"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100</w:t>
            </w:r>
          </w:p>
        </w:tc>
      </w:tr>
      <w:tr w:rsidR="00233428" w:rsidRPr="00383A74" w14:paraId="0E736326" w14:textId="77777777" w:rsidTr="00D05D04">
        <w:trPr>
          <w:trHeight w:val="60"/>
          <w:jc w:val="center"/>
        </w:trPr>
        <w:tc>
          <w:tcPr>
            <w:tcW w:w="1224" w:type="pct"/>
            <w:tcBorders>
              <w:top w:val="nil"/>
              <w:left w:val="single" w:sz="4" w:space="0" w:color="auto"/>
              <w:bottom w:val="single" w:sz="4" w:space="0" w:color="auto"/>
              <w:right w:val="single" w:sz="4" w:space="0" w:color="auto"/>
            </w:tcBorders>
            <w:shd w:val="clear" w:color="auto" w:fill="F2DBDB" w:themeFill="accent2" w:themeFillTint="33"/>
            <w:vAlign w:val="center"/>
          </w:tcPr>
          <w:p w14:paraId="5842386A" w14:textId="77777777" w:rsidR="00233428" w:rsidRPr="005808FC" w:rsidRDefault="00233428" w:rsidP="005808FC">
            <w:pPr>
              <w:spacing w:after="0" w:line="240" w:lineRule="auto"/>
              <w:rPr>
                <w:rFonts w:ascii="Calibri" w:eastAsia="Times New Roman" w:hAnsi="Calibri" w:cs="Times New Roman"/>
                <w:b/>
                <w:bCs/>
                <w:color w:val="000000"/>
                <w:sz w:val="20"/>
                <w:szCs w:val="20"/>
                <w:lang w:eastAsia="hr-HR"/>
              </w:rPr>
            </w:pPr>
            <w:r w:rsidRPr="00291DF5">
              <w:rPr>
                <w:rFonts w:ascii="Calibri" w:eastAsia="Times New Roman" w:hAnsi="Calibri" w:cs="Times New Roman"/>
                <w:b/>
                <w:bCs/>
                <w:color w:val="000000"/>
                <w:sz w:val="20"/>
                <w:szCs w:val="20"/>
                <w:lang w:eastAsia="hr-HR"/>
              </w:rPr>
              <w:t>Javno-privatno partnerstvo</w:t>
            </w:r>
          </w:p>
        </w:tc>
        <w:tc>
          <w:tcPr>
            <w:tcW w:w="1437" w:type="pct"/>
            <w:tcBorders>
              <w:top w:val="nil"/>
              <w:left w:val="nil"/>
              <w:bottom w:val="single" w:sz="4" w:space="0" w:color="auto"/>
              <w:right w:val="single" w:sz="4" w:space="0" w:color="auto"/>
            </w:tcBorders>
            <w:shd w:val="clear" w:color="auto" w:fill="auto"/>
            <w:vAlign w:val="center"/>
          </w:tcPr>
          <w:p w14:paraId="7F7B1804"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Privatni kapital</w:t>
            </w:r>
          </w:p>
        </w:tc>
        <w:tc>
          <w:tcPr>
            <w:tcW w:w="1366" w:type="pct"/>
            <w:tcBorders>
              <w:top w:val="nil"/>
              <w:left w:val="nil"/>
              <w:bottom w:val="single" w:sz="4" w:space="0" w:color="auto"/>
              <w:right w:val="single" w:sz="4" w:space="0" w:color="auto"/>
            </w:tcBorders>
            <w:shd w:val="clear" w:color="auto" w:fill="auto"/>
            <w:vAlign w:val="center"/>
          </w:tcPr>
          <w:p w14:paraId="305545AB"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w:t>
            </w:r>
          </w:p>
        </w:tc>
        <w:tc>
          <w:tcPr>
            <w:tcW w:w="973" w:type="pct"/>
            <w:tcBorders>
              <w:top w:val="nil"/>
              <w:left w:val="nil"/>
              <w:bottom w:val="single" w:sz="4" w:space="0" w:color="auto"/>
              <w:right w:val="single" w:sz="4" w:space="0" w:color="auto"/>
            </w:tcBorders>
            <w:shd w:val="clear" w:color="auto" w:fill="auto"/>
            <w:vAlign w:val="center"/>
          </w:tcPr>
          <w:p w14:paraId="525E8078" w14:textId="77777777" w:rsidR="00233428" w:rsidRPr="00383A74" w:rsidRDefault="00233428" w:rsidP="004E3846">
            <w:pPr>
              <w:spacing w:after="0" w:line="240" w:lineRule="auto"/>
              <w:jc w:val="center"/>
              <w:rPr>
                <w:rFonts w:ascii="Calibri" w:eastAsia="Times New Roman" w:hAnsi="Calibri" w:cs="Times New Roman"/>
                <w:color w:val="000000"/>
                <w:sz w:val="20"/>
                <w:szCs w:val="20"/>
                <w:lang w:eastAsia="hr-HR"/>
              </w:rPr>
            </w:pPr>
            <w:r w:rsidRPr="00383A74">
              <w:rPr>
                <w:rFonts w:ascii="Calibri" w:eastAsia="Times New Roman" w:hAnsi="Calibri" w:cs="Times New Roman"/>
                <w:color w:val="000000"/>
                <w:sz w:val="20"/>
                <w:szCs w:val="20"/>
                <w:lang w:eastAsia="hr-HR"/>
              </w:rPr>
              <w:t>Do 100</w:t>
            </w:r>
          </w:p>
        </w:tc>
      </w:tr>
    </w:tbl>
    <w:p w14:paraId="7730411E" w14:textId="77777777" w:rsidR="00AB2731" w:rsidRDefault="00AB2731" w:rsidP="00D94C49">
      <w:pPr>
        <w:rPr>
          <w:highlight w:val="lightGray"/>
          <w14:scene3d>
            <w14:camera w14:prst="orthographicFront"/>
            <w14:lightRig w14:rig="threePt" w14:dir="t">
              <w14:rot w14:lat="0" w14:lon="0" w14:rev="0"/>
            </w14:lightRig>
          </w14:scene3d>
        </w:rPr>
      </w:pPr>
      <w:bookmarkStart w:id="300" w:name="_Toc467589723"/>
      <w:bookmarkStart w:id="301" w:name="_Toc477265329"/>
      <w:bookmarkStart w:id="302" w:name="_Toc493666279"/>
    </w:p>
    <w:p w14:paraId="3C3A2DCC" w14:textId="77777777" w:rsidR="00AB2731" w:rsidRDefault="00AB2731">
      <w:pPr>
        <w:rPr>
          <w:rFonts w:eastAsiaTheme="majorEastAsia" w:cstheme="majorBidi"/>
          <w:b/>
          <w:color w:val="000000"/>
          <w:sz w:val="26"/>
          <w:highlight w:val="lightGray"/>
          <w14:scene3d>
            <w14:camera w14:prst="orthographicFront"/>
            <w14:lightRig w14:rig="threePt" w14:dir="t">
              <w14:rot w14:lat="0" w14:lon="0" w14:rev="0"/>
            </w14:lightRig>
          </w14:scene3d>
        </w:rPr>
      </w:pPr>
      <w:r>
        <w:rPr>
          <w:bCs/>
          <w:color w:val="000000"/>
          <w:highlight w:val="lightGray"/>
          <w14:scene3d>
            <w14:camera w14:prst="orthographicFront"/>
            <w14:lightRig w14:rig="threePt" w14:dir="t">
              <w14:rot w14:lat="0" w14:lon="0" w14:rev="0"/>
            </w14:lightRig>
          </w14:scene3d>
        </w:rPr>
        <w:br w:type="page"/>
      </w:r>
    </w:p>
    <w:p w14:paraId="7BAF5D53" w14:textId="6159BE40" w:rsidR="00233428" w:rsidRPr="00383A74" w:rsidRDefault="00B25B9E" w:rsidP="00E16DFD">
      <w:pPr>
        <w:pStyle w:val="Heading3"/>
        <w:ind w:left="851" w:hanging="851"/>
      </w:pPr>
      <w:r>
        <w:lastRenderedPageBreak/>
        <w:t xml:space="preserve"> </w:t>
      </w:r>
      <w:bookmarkStart w:id="303" w:name="_Toc4156125"/>
      <w:r w:rsidR="00233428" w:rsidRPr="00383A74">
        <w:t>Nacionalni programi energetske obnove u sektoru zgradarstva</w:t>
      </w:r>
      <w:bookmarkEnd w:id="300"/>
      <w:bookmarkEnd w:id="301"/>
      <w:bookmarkEnd w:id="302"/>
      <w:bookmarkEnd w:id="303"/>
      <w:r w:rsidR="00233428" w:rsidRPr="00383A74">
        <w:t xml:space="preserve"> </w:t>
      </w:r>
    </w:p>
    <w:p w14:paraId="119C4605" w14:textId="77777777" w:rsidR="00233428" w:rsidRPr="00383A74" w:rsidRDefault="00233428" w:rsidP="005808FC">
      <w:pPr>
        <w:pStyle w:val="Heading4"/>
        <w:numPr>
          <w:ilvl w:val="0"/>
          <w:numId w:val="92"/>
        </w:numPr>
      </w:pPr>
      <w:bookmarkStart w:id="304" w:name="_Toc467589724"/>
      <w:bookmarkStart w:id="305" w:name="_Toc477265330"/>
      <w:bookmarkStart w:id="306" w:name="_Toc493666280"/>
      <w:r w:rsidRPr="00383A74">
        <w:t>Energetska obnova zgrada javnog sektora</w:t>
      </w:r>
      <w:bookmarkEnd w:id="304"/>
      <w:bookmarkEnd w:id="305"/>
      <w:bookmarkEnd w:id="306"/>
    </w:p>
    <w:p w14:paraId="3336F3E0" w14:textId="1B8C2FC2"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Vlada Republike Hrvatske je na sjednici održanoj 31. listopada 2013. godine usvojila Program energetske obnove zgrada javnog sektora za razdoblje 2014. – 2015. godine kojim je predviđeno da se u 2014.</w:t>
      </w:r>
      <w:r w:rsidR="000509A0">
        <w:rPr>
          <w:rFonts w:ascii="Calibri" w:eastAsia="Times New Roman" w:hAnsi="Calibri" w:cs="Times New Roman"/>
        </w:rPr>
        <w:t xml:space="preserve"> i </w:t>
      </w:r>
      <w:r w:rsidRPr="00383A74">
        <w:rPr>
          <w:rFonts w:ascii="Calibri" w:eastAsia="Times New Roman" w:hAnsi="Calibri" w:cs="Times New Roman"/>
        </w:rPr>
        <w:t>2015. godini obnovi oko 200 zgrada javne namjene, čime bi se potaknule investicije procijenjene vrijednosti od oko 400 milijuna kuna.</w:t>
      </w:r>
    </w:p>
    <w:p w14:paraId="5E36ABD8" w14:textId="621FC39B"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Jedan od ciljeva je ispunjenje zahtjeva sukladno Direktivi 2012/27/EU Europskog parlamenta</w:t>
      </w:r>
      <w:r w:rsidR="000509A0">
        <w:rPr>
          <w:rFonts w:ascii="Calibri" w:eastAsia="Times New Roman" w:hAnsi="Calibri" w:cs="Times New Roman"/>
        </w:rPr>
        <w:t xml:space="preserve"> i </w:t>
      </w:r>
      <w:r w:rsidRPr="00383A74">
        <w:rPr>
          <w:rFonts w:ascii="Calibri" w:eastAsia="Times New Roman" w:hAnsi="Calibri" w:cs="Times New Roman"/>
        </w:rPr>
        <w:t>Vijeća od 25. listopada 2012. godine o energetskoj učinkovitosti prema kojoj se od država članica traži da od 1. siječnja 2014. godine svake godine obnove 3% ukupne površine poda grijanih i/ili hlađenih zgrada u vlasništvu</w:t>
      </w:r>
      <w:r w:rsidR="000509A0">
        <w:rPr>
          <w:rFonts w:ascii="Calibri" w:eastAsia="Times New Roman" w:hAnsi="Calibri" w:cs="Times New Roman"/>
        </w:rPr>
        <w:t xml:space="preserve"> i </w:t>
      </w:r>
      <w:r w:rsidRPr="00383A74">
        <w:rPr>
          <w:rFonts w:ascii="Calibri" w:eastAsia="Times New Roman" w:hAnsi="Calibri" w:cs="Times New Roman"/>
        </w:rPr>
        <w:t>uporabi središnje vlasti.</w:t>
      </w:r>
    </w:p>
    <w:p w14:paraId="726B64A4" w14:textId="7BE9E0E0"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Zakonom o energetskoj učinkovitosti (Narodne novine, br. 127/14)</w:t>
      </w:r>
      <w:r w:rsidR="000509A0">
        <w:rPr>
          <w:rFonts w:ascii="Calibri" w:eastAsia="Times New Roman" w:hAnsi="Calibri" w:cs="Times New Roman"/>
        </w:rPr>
        <w:t xml:space="preserve"> i </w:t>
      </w:r>
      <w:r w:rsidRPr="00383A74">
        <w:rPr>
          <w:rFonts w:ascii="Calibri" w:eastAsia="Times New Roman" w:hAnsi="Calibri" w:cs="Times New Roman"/>
        </w:rPr>
        <w:t>Uredbom o ugovaranju</w:t>
      </w:r>
      <w:r w:rsidR="000509A0">
        <w:rPr>
          <w:rFonts w:ascii="Calibri" w:eastAsia="Times New Roman" w:hAnsi="Calibri" w:cs="Times New Roman"/>
        </w:rPr>
        <w:t xml:space="preserve"> i </w:t>
      </w:r>
      <w:r w:rsidRPr="00383A74">
        <w:rPr>
          <w:rFonts w:ascii="Calibri" w:eastAsia="Times New Roman" w:hAnsi="Calibri" w:cs="Times New Roman"/>
        </w:rPr>
        <w:t>provedbi energetske usluge u javnom sektoru (Narodne novine, broj 69/2012) uređen je postupak provođenja energetskih usluga u javnom sektoru</w:t>
      </w:r>
      <w:r w:rsidR="000509A0">
        <w:rPr>
          <w:rFonts w:ascii="Calibri" w:eastAsia="Times New Roman" w:hAnsi="Calibri" w:cs="Times New Roman"/>
        </w:rPr>
        <w:t xml:space="preserve"> i </w:t>
      </w:r>
      <w:r w:rsidRPr="00383A74">
        <w:rPr>
          <w:rFonts w:ascii="Calibri" w:eastAsia="Times New Roman" w:hAnsi="Calibri" w:cs="Times New Roman"/>
        </w:rPr>
        <w:t>time je osigurano da se bez dodatnog trošenja proračunskih sredstava vlasnika/korisnika provedu mjere poboljšanja energetske učinkovitosti u zgradama javnog sektora.</w:t>
      </w:r>
    </w:p>
    <w:p w14:paraId="1D00EC5A" w14:textId="4798028B"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Za provedbu Programa zadužena je Agencija za pravni promet</w:t>
      </w:r>
      <w:r w:rsidR="000509A0">
        <w:rPr>
          <w:rFonts w:ascii="Calibri" w:eastAsia="Times New Roman" w:hAnsi="Calibri" w:cs="Times New Roman"/>
        </w:rPr>
        <w:t xml:space="preserve"> i </w:t>
      </w:r>
      <w:r w:rsidRPr="00383A74">
        <w:rPr>
          <w:rFonts w:ascii="Calibri" w:eastAsia="Times New Roman" w:hAnsi="Calibri" w:cs="Times New Roman"/>
        </w:rPr>
        <w:t>posredovanje nekretninama a Fond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 osigurava sredstava za financiranje</w:t>
      </w:r>
      <w:r w:rsidR="000509A0">
        <w:rPr>
          <w:rFonts w:ascii="Calibri" w:eastAsia="Times New Roman" w:hAnsi="Calibri" w:cs="Times New Roman"/>
        </w:rPr>
        <w:t xml:space="preserve"> i </w:t>
      </w:r>
      <w:r w:rsidRPr="00383A74">
        <w:rPr>
          <w:rFonts w:ascii="Calibri" w:eastAsia="Times New Roman" w:hAnsi="Calibri" w:cs="Times New Roman"/>
        </w:rPr>
        <w:t>sufinanciranje provedbe.</w:t>
      </w:r>
    </w:p>
    <w:p w14:paraId="47780D70" w14:textId="1CFC02BE" w:rsidR="00233428" w:rsidRDefault="00233428" w:rsidP="00E35782">
      <w:pPr>
        <w:tabs>
          <w:tab w:val="num" w:pos="360"/>
          <w:tab w:val="left" w:pos="720"/>
          <w:tab w:val="left" w:pos="6912"/>
        </w:tabs>
        <w:spacing w:before="240"/>
        <w:rPr>
          <w:rFonts w:ascii="Calibri" w:eastAsia="Times New Roman" w:hAnsi="Calibri" w:cs="Times New Roman"/>
        </w:rPr>
      </w:pPr>
      <w:r w:rsidRPr="00383A74">
        <w:rPr>
          <w:rFonts w:ascii="Calibri" w:eastAsia="Times New Roman" w:hAnsi="Calibri" w:cs="Times New Roman"/>
        </w:rPr>
        <w:t>Ministarstvo graditeljstva</w:t>
      </w:r>
      <w:r w:rsidR="000509A0">
        <w:rPr>
          <w:rFonts w:ascii="Calibri" w:eastAsia="Times New Roman" w:hAnsi="Calibri" w:cs="Times New Roman"/>
        </w:rPr>
        <w:t xml:space="preserve"> i </w:t>
      </w:r>
      <w:r w:rsidRPr="00383A74">
        <w:rPr>
          <w:rFonts w:ascii="Calibri" w:eastAsia="Times New Roman" w:hAnsi="Calibri" w:cs="Times New Roman"/>
        </w:rPr>
        <w:t>prostornog uređenja je pripremilo novi Program energetske učinkovitosti zgrada javnog sektora u Republici Hrvatskoj za razdoblje od 2016. do 2020. godine kojim je predviđena alokacija 211 milijuna Eura iz Europskih Strukturnih</w:t>
      </w:r>
      <w:r w:rsidR="000509A0">
        <w:rPr>
          <w:rFonts w:ascii="Calibri" w:eastAsia="Times New Roman" w:hAnsi="Calibri" w:cs="Times New Roman"/>
        </w:rPr>
        <w:t xml:space="preserve"> i </w:t>
      </w:r>
      <w:r w:rsidRPr="00383A74">
        <w:rPr>
          <w:rFonts w:ascii="Calibri" w:eastAsia="Times New Roman" w:hAnsi="Calibri" w:cs="Times New Roman"/>
        </w:rPr>
        <w:t xml:space="preserve">investicijskih fondova. </w:t>
      </w:r>
    </w:p>
    <w:p w14:paraId="0B020167" w14:textId="18CD7288" w:rsidR="002132C9" w:rsidRDefault="002132C9" w:rsidP="00E35782">
      <w:pPr>
        <w:tabs>
          <w:tab w:val="num" w:pos="360"/>
          <w:tab w:val="left" w:pos="720"/>
          <w:tab w:val="left" w:pos="6912"/>
        </w:tabs>
        <w:spacing w:before="240"/>
        <w:rPr>
          <w:rFonts w:ascii="Calibri" w:eastAsia="Times New Roman" w:hAnsi="Calibri" w:cs="Times New Roman"/>
        </w:rPr>
      </w:pPr>
      <w:r w:rsidRPr="00544C30">
        <w:rPr>
          <w:rFonts w:ascii="Calibri" w:eastAsia="Times New Roman" w:hAnsi="Calibri" w:cs="Times New Roman"/>
        </w:rPr>
        <w:t>Prema Operativnom programu Konkurentnost i kohezija, za energetsku obnovu zgrada do 2020. godine na raspolaganju je 1.110.000.000,00 kuna iz ESI fondova za sufinanciranje projekata energetske obnove zgrada javne namjene u okviru Poziva Ministarstva graditeljstva i prostornoga uređenja „Energetska obnova i korištenje obnovljivih izvora energije u zgradama javnog sektora“</w:t>
      </w:r>
      <w:r>
        <w:rPr>
          <w:rFonts w:ascii="Calibri" w:eastAsia="Times New Roman" w:hAnsi="Calibri" w:cs="Times New Roman"/>
        </w:rPr>
        <w:t>. Ukupno je u sklopu navedenog poziva provedeno četiri natječaja</w:t>
      </w:r>
      <w:r w:rsidR="009E635B">
        <w:rPr>
          <w:rFonts w:ascii="Calibri" w:eastAsia="Times New Roman" w:hAnsi="Calibri" w:cs="Times New Roman"/>
        </w:rPr>
        <w:t xml:space="preserve"> od kojih je zadnji bio u rujnu 2018. godine, s tim da je Ministarstvo graditeljstva i prostornoga uređenja na svojim službenim Internet dana 4. veljače 2019. godine objavilo obavijest o zatvaranju Poziva uslijed zaprimljenog velikog broja prijava.</w:t>
      </w:r>
      <w:r w:rsidRPr="00544C30">
        <w:rPr>
          <w:rFonts w:ascii="Calibri" w:eastAsia="Times New Roman" w:hAnsi="Calibri" w:cs="Times New Roman"/>
        </w:rPr>
        <w:t xml:space="preserve"> </w:t>
      </w:r>
      <w:r w:rsidR="009E635B">
        <w:rPr>
          <w:rFonts w:ascii="Calibri" w:eastAsia="Times New Roman" w:hAnsi="Calibri" w:cs="Times New Roman"/>
        </w:rPr>
        <w:t>U trenutku pisanja ovog dokumenta nisu dostupne informacije o mogućem ponovnom otvaranju poziva.</w:t>
      </w:r>
    </w:p>
    <w:p w14:paraId="61CF014D" w14:textId="325F5CD5" w:rsidR="00B94D05" w:rsidRPr="00383A74" w:rsidRDefault="00B94D05" w:rsidP="00E35782">
      <w:pPr>
        <w:tabs>
          <w:tab w:val="num" w:pos="360"/>
          <w:tab w:val="left" w:pos="720"/>
          <w:tab w:val="left" w:pos="6912"/>
        </w:tabs>
        <w:spacing w:before="240"/>
        <w:rPr>
          <w:rFonts w:ascii="Calibri" w:eastAsia="Times New Roman" w:hAnsi="Calibri" w:cs="Times New Roman"/>
        </w:rPr>
      </w:pPr>
      <w:r>
        <w:rPr>
          <w:rFonts w:ascii="Calibri" w:eastAsia="Times New Roman" w:hAnsi="Calibri" w:cs="Times New Roman"/>
        </w:rPr>
        <w:t>Alokacija za provedbu mjera energetske učinkovitosti u zgradarstvu za financijsku perspektivu 2021-202</w:t>
      </w:r>
      <w:r w:rsidR="00636990">
        <w:rPr>
          <w:rFonts w:ascii="Calibri" w:eastAsia="Times New Roman" w:hAnsi="Calibri" w:cs="Times New Roman"/>
        </w:rPr>
        <w:t>7</w:t>
      </w:r>
      <w:r>
        <w:rPr>
          <w:rFonts w:ascii="Calibri" w:eastAsia="Times New Roman" w:hAnsi="Calibri" w:cs="Times New Roman"/>
        </w:rPr>
        <w:t xml:space="preserve"> biti će poznata tek po završetku procesa programiranja</w:t>
      </w:r>
      <w:r w:rsidR="000509A0">
        <w:rPr>
          <w:rFonts w:ascii="Calibri" w:eastAsia="Times New Roman" w:hAnsi="Calibri" w:cs="Times New Roman"/>
        </w:rPr>
        <w:t xml:space="preserve"> i </w:t>
      </w:r>
      <w:r>
        <w:rPr>
          <w:rFonts w:ascii="Calibri" w:eastAsia="Times New Roman" w:hAnsi="Calibri" w:cs="Times New Roman"/>
        </w:rPr>
        <w:t>odobrenja Operativnih programa od strane EK. Mjere koje su ovim dokumentom planirane formirane su na način da ih se lako može iskoristiti u procesu programiranja OP-a.</w:t>
      </w:r>
    </w:p>
    <w:p w14:paraId="63A86C3C" w14:textId="77777777" w:rsidR="00233428" w:rsidRPr="00383A74" w:rsidRDefault="00233428" w:rsidP="00E35782">
      <w:pPr>
        <w:pStyle w:val="Heading4"/>
      </w:pPr>
      <w:bookmarkStart w:id="307" w:name="_Toc467589725"/>
      <w:bookmarkStart w:id="308" w:name="_Toc477265331"/>
      <w:bookmarkStart w:id="309" w:name="_Toc493666281"/>
      <w:r w:rsidRPr="00383A74">
        <w:t>Program energetske obnove obiteljskih kuća</w:t>
      </w:r>
      <w:bookmarkEnd w:id="307"/>
      <w:bookmarkEnd w:id="308"/>
      <w:bookmarkEnd w:id="309"/>
    </w:p>
    <w:p w14:paraId="4F4D1EE0" w14:textId="40C334F9"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Program energetske obnove obiteljskih kuća za razdoblje od 2014. do 2020. godine s detaljnim planom za razdoblje od 2014. do 2016. godine (Narodne novine 43/14, 36/15) donijela je Vlada Republike Hrvatske 27. ožujka 2014. godine. Ciljevi Programa su utvrđivanje</w:t>
      </w:r>
      <w:r w:rsidR="000509A0">
        <w:rPr>
          <w:rFonts w:ascii="Calibri" w:eastAsia="Times New Roman" w:hAnsi="Calibri" w:cs="Times New Roman"/>
        </w:rPr>
        <w:t xml:space="preserve"> i </w:t>
      </w:r>
      <w:r w:rsidRPr="00383A74">
        <w:rPr>
          <w:rFonts w:ascii="Calibri" w:eastAsia="Times New Roman" w:hAnsi="Calibri" w:cs="Times New Roman"/>
        </w:rPr>
        <w:t>analiza potrošnje energije</w:t>
      </w:r>
      <w:r w:rsidR="000509A0">
        <w:rPr>
          <w:rFonts w:ascii="Calibri" w:eastAsia="Times New Roman" w:hAnsi="Calibri" w:cs="Times New Roman"/>
        </w:rPr>
        <w:t xml:space="preserve"> i </w:t>
      </w:r>
      <w:r w:rsidRPr="00383A74">
        <w:rPr>
          <w:rFonts w:ascii="Calibri" w:eastAsia="Times New Roman" w:hAnsi="Calibri" w:cs="Times New Roman"/>
        </w:rPr>
        <w:t>energetske učinkovitosti u postojećem stambenom fondu RH, utvrđivanje potencijala</w:t>
      </w:r>
      <w:r w:rsidR="000509A0">
        <w:rPr>
          <w:rFonts w:ascii="Calibri" w:eastAsia="Times New Roman" w:hAnsi="Calibri" w:cs="Times New Roman"/>
        </w:rPr>
        <w:t xml:space="preserve"> i </w:t>
      </w:r>
      <w:r w:rsidRPr="00383A74">
        <w:rPr>
          <w:rFonts w:ascii="Calibri" w:eastAsia="Times New Roman" w:hAnsi="Calibri" w:cs="Times New Roman"/>
        </w:rPr>
        <w:t xml:space="preserve">mogućnosti </w:t>
      </w:r>
      <w:r w:rsidRPr="00383A74">
        <w:rPr>
          <w:rFonts w:ascii="Calibri" w:eastAsia="Times New Roman" w:hAnsi="Calibri" w:cs="Times New Roman"/>
        </w:rPr>
        <w:lastRenderedPageBreak/>
        <w:t>smanjenja potrošnje energije u postojećim stambenim zgradama, razrada provedbe mjera za poticanje poboljšanja energetske učinkovitosti u postojećim stambenim zgradama te ocjena njihovog učinka. Izmjenama Programa od 26. ožujka 2015. godine omogućene su jednake mogućnosti za ostvarivanje subvencija svim građanima Republike Hrvatske, vremenski tijek provedbe energetske obnove je skraćen, a provedba se pojednostavila.</w:t>
      </w:r>
    </w:p>
    <w:p w14:paraId="5CA6527D" w14:textId="0E8CD9AF"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Program energetske obnove obiteljskih kuća Vlada RH provodi putem Ministarstva graditeljstva</w:t>
      </w:r>
      <w:r w:rsidR="000509A0">
        <w:rPr>
          <w:rFonts w:ascii="Calibri" w:eastAsia="Times New Roman" w:hAnsi="Calibri" w:cs="Times New Roman"/>
        </w:rPr>
        <w:t xml:space="preserve"> i </w:t>
      </w:r>
      <w:r w:rsidRPr="00383A74">
        <w:rPr>
          <w:rFonts w:ascii="Calibri" w:eastAsia="Times New Roman" w:hAnsi="Calibri" w:cs="Times New Roman"/>
        </w:rPr>
        <w:t>prostornog uređenja te Fonda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w:t>
      </w:r>
      <w:r w:rsidR="000509A0">
        <w:rPr>
          <w:rFonts w:ascii="Calibri" w:eastAsia="Times New Roman" w:hAnsi="Calibri" w:cs="Times New Roman"/>
        </w:rPr>
        <w:t xml:space="preserve"> i </w:t>
      </w:r>
      <w:r w:rsidRPr="00383A74">
        <w:rPr>
          <w:rFonts w:ascii="Calibri" w:eastAsia="Times New Roman" w:hAnsi="Calibri" w:cs="Times New Roman"/>
        </w:rPr>
        <w:t>to bespovratnim sredstvima kojima je moguće subvencionirati od 40 do 80% prihvatljivih troškova, ovisno o lokaciji prijavitelja. Indikativna alokacija iz sredstava ESI fondova iznosi 20 milijuna eura do kraja 2020. godine dok se dodatno očekuje</w:t>
      </w:r>
      <w:r w:rsidR="000509A0">
        <w:rPr>
          <w:rFonts w:ascii="Calibri" w:eastAsia="Times New Roman" w:hAnsi="Calibri" w:cs="Times New Roman"/>
        </w:rPr>
        <w:t xml:space="preserve"> i </w:t>
      </w:r>
      <w:r w:rsidRPr="00383A74">
        <w:rPr>
          <w:rFonts w:ascii="Calibri" w:eastAsia="Times New Roman" w:hAnsi="Calibri" w:cs="Times New Roman"/>
        </w:rPr>
        <w:t>financijska participacija Fonda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w:t>
      </w:r>
      <w:r w:rsidR="009E635B">
        <w:rPr>
          <w:rFonts w:ascii="Calibri" w:eastAsia="Times New Roman" w:hAnsi="Calibri" w:cs="Times New Roman"/>
        </w:rPr>
        <w:t>, s tim da je prema najavama Ministarstva graditeljstva i prostornoga uređenja predviđeno raspisivanje poziva za sufinanciranje energetske obnove obiteljskih kuća sredinom 2019. godine.</w:t>
      </w:r>
      <w:r w:rsidR="00E10D4C">
        <w:rPr>
          <w:rFonts w:ascii="Calibri" w:eastAsia="Times New Roman" w:hAnsi="Calibri" w:cs="Times New Roman"/>
        </w:rPr>
        <w:t xml:space="preserve"> </w:t>
      </w:r>
      <w:r w:rsidR="009E635B">
        <w:rPr>
          <w:rFonts w:ascii="Calibri" w:eastAsia="Times New Roman" w:hAnsi="Calibri" w:cs="Times New Roman"/>
        </w:rPr>
        <w:t>M</w:t>
      </w:r>
      <w:r w:rsidR="00636990">
        <w:rPr>
          <w:rFonts w:ascii="Calibri" w:eastAsia="Times New Roman" w:hAnsi="Calibri" w:cs="Times New Roman"/>
        </w:rPr>
        <w:t xml:space="preserve">jere koje su razrađene u ovom dokumentu mogu poslužiti </w:t>
      </w:r>
      <w:r w:rsidR="009E635B">
        <w:rPr>
          <w:rFonts w:ascii="Calibri" w:eastAsia="Times New Roman" w:hAnsi="Calibri" w:cs="Times New Roman"/>
        </w:rPr>
        <w:t xml:space="preserve">i </w:t>
      </w:r>
      <w:r w:rsidR="00636990">
        <w:rPr>
          <w:rFonts w:ascii="Calibri" w:eastAsia="Times New Roman" w:hAnsi="Calibri" w:cs="Times New Roman"/>
        </w:rPr>
        <w:t>kao podloga za planiranje mjere</w:t>
      </w:r>
      <w:r w:rsidR="000509A0">
        <w:rPr>
          <w:rFonts w:ascii="Calibri" w:eastAsia="Times New Roman" w:hAnsi="Calibri" w:cs="Times New Roman"/>
        </w:rPr>
        <w:t xml:space="preserve"> i </w:t>
      </w:r>
      <w:r w:rsidR="00636990">
        <w:rPr>
          <w:rFonts w:ascii="Calibri" w:eastAsia="Times New Roman" w:hAnsi="Calibri" w:cs="Times New Roman"/>
        </w:rPr>
        <w:t>alokacije u Operativnom programu 2021-2027.</w:t>
      </w:r>
    </w:p>
    <w:p w14:paraId="73B75A73" w14:textId="77777777" w:rsidR="00233428" w:rsidRPr="00383A74" w:rsidRDefault="00233428" w:rsidP="00E35782">
      <w:pPr>
        <w:pStyle w:val="Heading4"/>
      </w:pPr>
      <w:r w:rsidRPr="00383A74">
        <w:t xml:space="preserve"> </w:t>
      </w:r>
      <w:bookmarkStart w:id="310" w:name="_Toc467589726"/>
      <w:bookmarkStart w:id="311" w:name="_Toc477265332"/>
      <w:bookmarkStart w:id="312" w:name="_Toc493666282"/>
      <w:r w:rsidRPr="00383A74">
        <w:t>Energetska obnova višestambenih zgrada</w:t>
      </w:r>
      <w:bookmarkEnd w:id="310"/>
      <w:bookmarkEnd w:id="311"/>
      <w:bookmarkEnd w:id="312"/>
    </w:p>
    <w:p w14:paraId="5C15F433" w14:textId="5FBB0563"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Program energetske obnove višestambenih zgrada za razdoblje od 2014. do 2020. godine s detaljnim planom za razdoblje od 2014. do 2016. godine (Narodne novine 78/14) donijela je Vlada Republike Hrvatske 24. lipnja 2014. godine. Ciljevi ovog Programa su utvrđivanje</w:t>
      </w:r>
      <w:r w:rsidR="000509A0">
        <w:rPr>
          <w:rFonts w:ascii="Calibri" w:eastAsia="Times New Roman" w:hAnsi="Calibri" w:cs="Times New Roman"/>
        </w:rPr>
        <w:t xml:space="preserve"> i </w:t>
      </w:r>
      <w:r w:rsidRPr="00383A74">
        <w:rPr>
          <w:rFonts w:ascii="Calibri" w:eastAsia="Times New Roman" w:hAnsi="Calibri" w:cs="Times New Roman"/>
        </w:rPr>
        <w:t>analiza potrošnje energije</w:t>
      </w:r>
      <w:r w:rsidR="000509A0">
        <w:rPr>
          <w:rFonts w:ascii="Calibri" w:eastAsia="Times New Roman" w:hAnsi="Calibri" w:cs="Times New Roman"/>
        </w:rPr>
        <w:t xml:space="preserve"> i </w:t>
      </w:r>
      <w:r w:rsidRPr="00383A74">
        <w:rPr>
          <w:rFonts w:ascii="Calibri" w:eastAsia="Times New Roman" w:hAnsi="Calibri" w:cs="Times New Roman"/>
        </w:rPr>
        <w:t>energetske učinkovitosti u postojećem stambenom fondu RH, utvrđivanje potencijala</w:t>
      </w:r>
      <w:r w:rsidR="000509A0">
        <w:rPr>
          <w:rFonts w:ascii="Calibri" w:eastAsia="Times New Roman" w:hAnsi="Calibri" w:cs="Times New Roman"/>
        </w:rPr>
        <w:t xml:space="preserve"> i </w:t>
      </w:r>
      <w:r w:rsidRPr="00383A74">
        <w:rPr>
          <w:rFonts w:ascii="Calibri" w:eastAsia="Times New Roman" w:hAnsi="Calibri" w:cs="Times New Roman"/>
        </w:rPr>
        <w:t>mogućnosti smanjenja potrošnje energije u postojećim stambenim zgradama, razrada provedbe mjera za poticanje poboljšanja energetske učinkovitosti u postojećim stambenim zgradama te ocjena njihovog učinka.</w:t>
      </w:r>
      <w:r w:rsidR="00B25B9E">
        <w:rPr>
          <w:rFonts w:ascii="Calibri" w:eastAsia="Times New Roman" w:hAnsi="Calibri" w:cs="Times New Roman"/>
        </w:rPr>
        <w:t xml:space="preserve"> </w:t>
      </w:r>
      <w:r w:rsidRPr="00383A74">
        <w:rPr>
          <w:rFonts w:ascii="Calibri" w:eastAsia="Times New Roman" w:hAnsi="Calibri" w:cs="Times New Roman"/>
        </w:rPr>
        <w:t xml:space="preserve"> </w:t>
      </w:r>
    </w:p>
    <w:p w14:paraId="51461D45" w14:textId="0DC8D68F"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Program suvlasnicima zgrada nudi mogućnost sufinanciranja energetskih pregleda</w:t>
      </w:r>
      <w:r w:rsidR="000509A0">
        <w:rPr>
          <w:rFonts w:ascii="Calibri" w:eastAsia="Times New Roman" w:hAnsi="Calibri" w:cs="Times New Roman"/>
        </w:rPr>
        <w:t xml:space="preserve"> i </w:t>
      </w:r>
      <w:r w:rsidRPr="00383A74">
        <w:rPr>
          <w:rFonts w:ascii="Calibri" w:eastAsia="Times New Roman" w:hAnsi="Calibri" w:cs="Times New Roman"/>
        </w:rPr>
        <w:t>certificiranja, izrade projektne dokumentacije za projekt obnove te sufinancira mjere povećanja energetske učinkovitosti odnosno energetsku obnovu zgrade. Indikativna alokacija iz sredstava ESI fondova iznosi 80 milijuna eura do kraja 2020. godine dok se dodatno očekuje</w:t>
      </w:r>
      <w:r w:rsidR="000509A0">
        <w:rPr>
          <w:rFonts w:ascii="Calibri" w:eastAsia="Times New Roman" w:hAnsi="Calibri" w:cs="Times New Roman"/>
        </w:rPr>
        <w:t xml:space="preserve"> i </w:t>
      </w:r>
      <w:r w:rsidRPr="00383A74">
        <w:rPr>
          <w:rFonts w:ascii="Calibri" w:eastAsia="Times New Roman" w:hAnsi="Calibri" w:cs="Times New Roman"/>
        </w:rPr>
        <w:t>financijska participacija Fonda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w:t>
      </w:r>
      <w:r w:rsidR="00636990">
        <w:rPr>
          <w:rFonts w:ascii="Calibri" w:eastAsia="Times New Roman" w:hAnsi="Calibri" w:cs="Times New Roman"/>
        </w:rPr>
        <w:t xml:space="preserve"> Financijska alokacija za energetsku obnovu višestambenih zgrada iz Operativnog programa konkurentnost</w:t>
      </w:r>
      <w:r w:rsidR="000509A0">
        <w:rPr>
          <w:rFonts w:ascii="Calibri" w:eastAsia="Times New Roman" w:hAnsi="Calibri" w:cs="Times New Roman"/>
        </w:rPr>
        <w:t xml:space="preserve"> i </w:t>
      </w:r>
      <w:r w:rsidR="00636990">
        <w:rPr>
          <w:rFonts w:ascii="Calibri" w:eastAsia="Times New Roman" w:hAnsi="Calibri" w:cs="Times New Roman"/>
        </w:rPr>
        <w:t>kohezija 2014-2020 je iskorištena, eventualno je moguće povećanje alokacije kroz izmjenu OP-a, no cilj je koristiti mjere predviđene ovim dokumentom za planiranje novog OP-a u financijskoj perspektivi 2021-2027.</w:t>
      </w:r>
    </w:p>
    <w:p w14:paraId="09DDCA9E" w14:textId="77777777" w:rsidR="00233428" w:rsidRPr="00383A74" w:rsidRDefault="00233428" w:rsidP="00E35782">
      <w:pPr>
        <w:pStyle w:val="Heading4"/>
      </w:pPr>
      <w:bookmarkStart w:id="313" w:name="_Toc467589727"/>
      <w:bookmarkStart w:id="314" w:name="_Toc477265333"/>
      <w:bookmarkStart w:id="315" w:name="_Toc493666283"/>
      <w:r w:rsidRPr="00383A74">
        <w:t>Program energetske obnove zgrada komercijalnih nestambenih zgrada</w:t>
      </w:r>
      <w:bookmarkEnd w:id="313"/>
      <w:bookmarkEnd w:id="314"/>
      <w:bookmarkEnd w:id="315"/>
      <w:r w:rsidRPr="00383A74">
        <w:t xml:space="preserve"> </w:t>
      </w:r>
    </w:p>
    <w:p w14:paraId="1CB2CE1E" w14:textId="4A22A9C0"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Program energetske obnove zgrada komercijalnih nestambenih zgrada za razdoblje od 2014. do 2020. godine sa detaljnim planom energetske obnove komercijalnih nestambenih zgrada za razdoblje 2014. do 2016. godine (Narodne novine broj 98/14), donijela je Vlada Republike Hrvatske 30. srpnja 2014. godine. Vlada Republike Hrvatske preko Fonda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 dodjeljuje subvencije koje se mogu dobiti za energetsku obnovu ovojnice zgrade ili za cjelovitu obnovu. Cjelovitom obnovom postiže se standard zgrade gotovo nulte energije (e</w:t>
      </w:r>
      <w:r w:rsidRPr="00291DF5">
        <w:rPr>
          <w:rFonts w:ascii="Calibri" w:eastAsia="Times New Roman" w:hAnsi="Calibri" w:cs="Times New Roman"/>
          <w:i/>
          <w:iCs/>
        </w:rPr>
        <w:t>ngl. Nearly Zero Energy Building</w:t>
      </w:r>
      <w:r w:rsidRPr="00383A74">
        <w:rPr>
          <w:rFonts w:ascii="Calibri" w:eastAsia="Times New Roman" w:hAnsi="Calibri" w:cs="Times New Roman"/>
        </w:rPr>
        <w:t>), a to je zgrada koja ima vrlo visoka energetska svojstva</w:t>
      </w:r>
      <w:r w:rsidR="000509A0">
        <w:rPr>
          <w:rFonts w:ascii="Calibri" w:eastAsia="Times New Roman" w:hAnsi="Calibri" w:cs="Times New Roman"/>
        </w:rPr>
        <w:t xml:space="preserve"> i </w:t>
      </w:r>
      <w:r w:rsidRPr="00383A74">
        <w:rPr>
          <w:rFonts w:ascii="Calibri" w:eastAsia="Times New Roman" w:hAnsi="Calibri" w:cs="Times New Roman"/>
        </w:rPr>
        <w:t xml:space="preserve">kod koje se vrlo značajni udio energetskih potreba podmiruje iz obnovljivih izvora, uključujući energiju iz obnovljivih izvora koja se proizvodi na zgradi ili u njezinoj blizini. Financijska alokacija za provedbu energetske obnove </w:t>
      </w:r>
      <w:r w:rsidRPr="00383A74">
        <w:rPr>
          <w:rFonts w:ascii="Calibri" w:eastAsia="Times New Roman" w:hAnsi="Calibri" w:cs="Times New Roman"/>
        </w:rPr>
        <w:lastRenderedPageBreak/>
        <w:t xml:space="preserve">komercijalnih nestambenih zgrada nije poznata, ali se očekuje da slijediti </w:t>
      </w:r>
      <w:r w:rsidRPr="00E10D4C">
        <w:rPr>
          <w:rFonts w:ascii="Calibri" w:eastAsia="Times New Roman" w:hAnsi="Calibri" w:cs="Times New Roman"/>
          <w:i/>
        </w:rPr>
        <w:t>de minimis</w:t>
      </w:r>
      <w:r w:rsidRPr="00383A74">
        <w:rPr>
          <w:rFonts w:ascii="Calibri" w:eastAsia="Times New Roman" w:hAnsi="Calibri" w:cs="Times New Roman"/>
        </w:rPr>
        <w:t xml:space="preserve"> pravila EU o maksimalnim iznosima subvencija (200.000 eura) prema subjektima koji obavljaju tržišnu djelatnost.</w:t>
      </w:r>
    </w:p>
    <w:p w14:paraId="129A09A7" w14:textId="2ED71A2B" w:rsidR="00233428" w:rsidRPr="00383A74" w:rsidRDefault="00233428" w:rsidP="00E35782">
      <w:pPr>
        <w:pStyle w:val="Heading4"/>
      </w:pPr>
      <w:bookmarkStart w:id="316" w:name="_Toc251920824"/>
      <w:bookmarkStart w:id="317" w:name="_Toc404268134"/>
      <w:bookmarkStart w:id="318" w:name="_Toc467589728"/>
      <w:bookmarkStart w:id="319" w:name="_Toc477265334"/>
      <w:bookmarkStart w:id="320" w:name="_Toc493666284"/>
      <w:r w:rsidRPr="00383A74">
        <w:t>Fond za zaštitu okoliša</w:t>
      </w:r>
      <w:r w:rsidR="000509A0">
        <w:t xml:space="preserve"> i </w:t>
      </w:r>
      <w:r w:rsidRPr="00383A74">
        <w:t>energetsku učinkovitost</w:t>
      </w:r>
      <w:bookmarkEnd w:id="316"/>
      <w:r w:rsidRPr="00383A74">
        <w:t xml:space="preserve"> (FZOEU)</w:t>
      </w:r>
      <w:bookmarkEnd w:id="317"/>
      <w:bookmarkEnd w:id="318"/>
      <w:bookmarkEnd w:id="319"/>
      <w:bookmarkEnd w:id="320"/>
    </w:p>
    <w:p w14:paraId="3A70FA59" w14:textId="2058577A"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Fond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 (FZOEU), osnovan Zakonom o Fondu za zaštitu okoliša</w:t>
      </w:r>
      <w:r w:rsidR="000509A0">
        <w:rPr>
          <w:rFonts w:ascii="Calibri" w:eastAsia="Times New Roman" w:hAnsi="Calibri" w:cs="Times New Roman"/>
        </w:rPr>
        <w:t xml:space="preserve"> i </w:t>
      </w:r>
      <w:r w:rsidRPr="00383A74">
        <w:rPr>
          <w:rFonts w:ascii="Calibri" w:eastAsia="Times New Roman" w:hAnsi="Calibri" w:cs="Times New Roman"/>
        </w:rPr>
        <w:t>energetsku učinkovitost (NN 107/03) sukladno odredbama članka 60. stavka 5. Zakona o zaštiti okoliša (NN 82/94</w:t>
      </w:r>
      <w:r w:rsidR="000509A0">
        <w:rPr>
          <w:rFonts w:ascii="Calibri" w:eastAsia="Times New Roman" w:hAnsi="Calibri" w:cs="Times New Roman"/>
        </w:rPr>
        <w:t xml:space="preserve"> i </w:t>
      </w:r>
      <w:r w:rsidRPr="00383A74">
        <w:rPr>
          <w:rFonts w:ascii="Calibri" w:eastAsia="Times New Roman" w:hAnsi="Calibri" w:cs="Times New Roman"/>
        </w:rPr>
        <w:t>128/99)</w:t>
      </w:r>
      <w:r w:rsidR="000509A0">
        <w:rPr>
          <w:rFonts w:ascii="Calibri" w:eastAsia="Times New Roman" w:hAnsi="Calibri" w:cs="Times New Roman"/>
        </w:rPr>
        <w:t xml:space="preserve"> i </w:t>
      </w:r>
      <w:r w:rsidRPr="00383A74">
        <w:rPr>
          <w:rFonts w:ascii="Calibri" w:eastAsia="Times New Roman" w:hAnsi="Calibri" w:cs="Times New Roman"/>
        </w:rPr>
        <w:t>članka 11. Zakona o energiji (NN 68/01) od svog pokretanja, 1. siječnja 2004. godine kroz brojne programe sufinanciranja potiče projekte iz područja zaštite okoliša,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 xml:space="preserve">obnovljivih izvora energije. Sredstva za financiranje djelatnosti Fonda osiguravaju se iz namjenskih prihoda Fonda od: </w:t>
      </w:r>
    </w:p>
    <w:p w14:paraId="1B410865" w14:textId="77777777" w:rsidR="00233428" w:rsidRPr="00383A74" w:rsidRDefault="00233428" w:rsidP="00E35782">
      <w:pPr>
        <w:numPr>
          <w:ilvl w:val="0"/>
          <w:numId w:val="63"/>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Naknada onečišćivača okoliša;</w:t>
      </w:r>
    </w:p>
    <w:p w14:paraId="28EBB8ED" w14:textId="77777777" w:rsidR="00233428" w:rsidRPr="00383A74" w:rsidRDefault="00233428" w:rsidP="00E35782">
      <w:pPr>
        <w:numPr>
          <w:ilvl w:val="0"/>
          <w:numId w:val="63"/>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Naknada korisnika okoliša;</w:t>
      </w:r>
    </w:p>
    <w:p w14:paraId="76221258" w14:textId="7820B0A5" w:rsidR="00233428" w:rsidRPr="00383A74" w:rsidRDefault="00233428" w:rsidP="00E35782">
      <w:pPr>
        <w:numPr>
          <w:ilvl w:val="0"/>
          <w:numId w:val="63"/>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 xml:space="preserve">Naknada </w:t>
      </w:r>
      <w:r w:rsidR="002A5362">
        <w:rPr>
          <w:rFonts w:ascii="Calibri" w:eastAsia="Times New Roman" w:hAnsi="Calibri" w:cs="Times New Roman"/>
        </w:rPr>
        <w:t>z</w:t>
      </w:r>
      <w:r w:rsidRPr="00383A74">
        <w:rPr>
          <w:rFonts w:ascii="Calibri" w:eastAsia="Times New Roman" w:hAnsi="Calibri" w:cs="Times New Roman"/>
        </w:rPr>
        <w:t>a opterećivanje okoliša otpadom;</w:t>
      </w:r>
    </w:p>
    <w:p w14:paraId="1426A74B" w14:textId="77777777" w:rsidR="00233428" w:rsidRPr="00383A74" w:rsidRDefault="00233428" w:rsidP="00E35782">
      <w:pPr>
        <w:numPr>
          <w:ilvl w:val="0"/>
          <w:numId w:val="63"/>
        </w:numPr>
        <w:tabs>
          <w:tab w:val="left" w:pos="720"/>
          <w:tab w:val="left" w:pos="6912"/>
        </w:tabs>
        <w:rPr>
          <w:rFonts w:ascii="Calibri" w:eastAsia="Times New Roman" w:hAnsi="Calibri" w:cs="Times New Roman"/>
        </w:rPr>
      </w:pPr>
      <w:r w:rsidRPr="00383A74">
        <w:rPr>
          <w:rFonts w:ascii="Calibri" w:eastAsia="Times New Roman" w:hAnsi="Calibri" w:cs="Times New Roman"/>
        </w:rPr>
        <w:t>Posebnih naknada za okoliš na vozila na motorni pogon.</w:t>
      </w:r>
    </w:p>
    <w:p w14:paraId="29EC9C53" w14:textId="6209DADD"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Sredstva Fonda se dodjeljuju temeljem usvojenih nacionalnih programa, odnosno provedenog javnog natječaja</w:t>
      </w:r>
      <w:r w:rsidR="000509A0">
        <w:rPr>
          <w:rFonts w:ascii="Calibri" w:eastAsia="Times New Roman" w:hAnsi="Calibri" w:cs="Times New Roman"/>
        </w:rPr>
        <w:t xml:space="preserve"> i </w:t>
      </w:r>
      <w:r w:rsidRPr="00383A74">
        <w:rPr>
          <w:rFonts w:ascii="Calibri" w:eastAsia="Times New Roman" w:hAnsi="Calibri" w:cs="Times New Roman"/>
        </w:rPr>
        <w:t>to za financijske instrumente koji uključuju beskamatne zajmove, subvencije, financijske pomoći</w:t>
      </w:r>
      <w:r w:rsidR="000509A0">
        <w:rPr>
          <w:rFonts w:ascii="Calibri" w:eastAsia="Times New Roman" w:hAnsi="Calibri" w:cs="Times New Roman"/>
        </w:rPr>
        <w:t xml:space="preserve"> i </w:t>
      </w:r>
      <w:r w:rsidRPr="00383A74">
        <w:rPr>
          <w:rFonts w:ascii="Calibri" w:eastAsia="Times New Roman" w:hAnsi="Calibri" w:cs="Times New Roman"/>
        </w:rPr>
        <w:t>donacije, a korisnici mogu biti jedinice lokalne</w:t>
      </w:r>
      <w:r w:rsidR="000509A0">
        <w:rPr>
          <w:rFonts w:ascii="Calibri" w:eastAsia="Times New Roman" w:hAnsi="Calibri" w:cs="Times New Roman"/>
        </w:rPr>
        <w:t xml:space="preserve"> i </w:t>
      </w:r>
      <w:r w:rsidRPr="00383A74">
        <w:rPr>
          <w:rFonts w:ascii="Calibri" w:eastAsia="Times New Roman" w:hAnsi="Calibri" w:cs="Times New Roman"/>
        </w:rPr>
        <w:t>regionalne samouprave, trgovačka društva</w:t>
      </w:r>
      <w:r w:rsidR="000509A0">
        <w:rPr>
          <w:rFonts w:ascii="Calibri" w:eastAsia="Times New Roman" w:hAnsi="Calibri" w:cs="Times New Roman"/>
        </w:rPr>
        <w:t xml:space="preserve"> i </w:t>
      </w:r>
      <w:r w:rsidRPr="00383A74">
        <w:rPr>
          <w:rFonts w:ascii="Calibri" w:eastAsia="Times New Roman" w:hAnsi="Calibri" w:cs="Times New Roman"/>
        </w:rPr>
        <w:t xml:space="preserve">druge pravne osobe, obrtnici te fizičke osobe. Ulaskom Republike Hrvatske u Europsku uniju sredstva Fonda </w:t>
      </w:r>
      <w:r>
        <w:rPr>
          <w:rFonts w:ascii="Calibri" w:eastAsia="Times New Roman" w:hAnsi="Calibri" w:cs="Times New Roman"/>
        </w:rPr>
        <w:t>služe</w:t>
      </w:r>
      <w:r w:rsidRPr="00383A74">
        <w:rPr>
          <w:rFonts w:ascii="Calibri" w:eastAsia="Times New Roman" w:hAnsi="Calibri" w:cs="Times New Roman"/>
        </w:rPr>
        <w:t xml:space="preserve"> kao komplementarni izvori financiranja sredstvima iz Europskih Strukturnih</w:t>
      </w:r>
      <w:r w:rsidR="000509A0">
        <w:rPr>
          <w:rFonts w:ascii="Calibri" w:eastAsia="Times New Roman" w:hAnsi="Calibri" w:cs="Times New Roman"/>
        </w:rPr>
        <w:t xml:space="preserve"> i </w:t>
      </w:r>
      <w:r w:rsidRPr="00383A74">
        <w:rPr>
          <w:rFonts w:ascii="Calibri" w:eastAsia="Times New Roman" w:hAnsi="Calibri" w:cs="Times New Roman"/>
        </w:rPr>
        <w:t>investicijskih fondova.</w:t>
      </w:r>
    </w:p>
    <w:p w14:paraId="7535D8D7" w14:textId="2F1E2EB2" w:rsidR="00233428" w:rsidRPr="00383A74" w:rsidRDefault="00B25B9E" w:rsidP="00E16DFD">
      <w:pPr>
        <w:pStyle w:val="Heading3"/>
        <w:ind w:left="851" w:hanging="851"/>
      </w:pPr>
      <w:bookmarkStart w:id="321" w:name="_Toc404268130"/>
      <w:bookmarkStart w:id="322" w:name="_Toc467589729"/>
      <w:bookmarkStart w:id="323" w:name="_Toc477265335"/>
      <w:bookmarkStart w:id="324" w:name="_Toc493666285"/>
      <w:r>
        <w:t xml:space="preserve"> </w:t>
      </w:r>
      <w:bookmarkStart w:id="325" w:name="_Toc4156126"/>
      <w:r w:rsidR="00233428" w:rsidRPr="00383A74">
        <w:t>Europski Strukturni</w:t>
      </w:r>
      <w:r w:rsidR="000509A0">
        <w:t xml:space="preserve"> i </w:t>
      </w:r>
      <w:r w:rsidR="00233428" w:rsidRPr="00383A74">
        <w:t>investicijski (ESI) fondovi</w:t>
      </w:r>
      <w:bookmarkEnd w:id="321"/>
      <w:bookmarkEnd w:id="322"/>
      <w:bookmarkEnd w:id="323"/>
      <w:bookmarkEnd w:id="324"/>
      <w:bookmarkEnd w:id="325"/>
    </w:p>
    <w:p w14:paraId="2DCCB541" w14:textId="543C2A98"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Strukturni</w:t>
      </w:r>
      <w:r w:rsidR="000509A0">
        <w:rPr>
          <w:rFonts w:ascii="Calibri" w:eastAsia="Times New Roman" w:hAnsi="Calibri" w:cs="Times New Roman"/>
        </w:rPr>
        <w:t xml:space="preserve"> i </w:t>
      </w:r>
      <w:r w:rsidRPr="00383A74">
        <w:rPr>
          <w:rFonts w:ascii="Calibri" w:eastAsia="Times New Roman" w:hAnsi="Calibri" w:cs="Times New Roman"/>
        </w:rPr>
        <w:t>investicijski fondovi,</w:t>
      </w:r>
      <w:r w:rsidR="00B25B9E">
        <w:rPr>
          <w:rFonts w:ascii="Calibri" w:eastAsia="Times New Roman" w:hAnsi="Calibri" w:cs="Times New Roman"/>
        </w:rPr>
        <w:t xml:space="preserve"> </w:t>
      </w:r>
      <w:r w:rsidRPr="00383A74">
        <w:rPr>
          <w:rFonts w:ascii="Calibri" w:eastAsia="Times New Roman" w:hAnsi="Calibri" w:cs="Times New Roman"/>
        </w:rPr>
        <w:t>u kojima je pohranjeno više od trećine proračuna EU, u službi su kohezijske politike EU, čiji je glavni cilj uspostaviti gospodarsku</w:t>
      </w:r>
      <w:r w:rsidR="000509A0">
        <w:rPr>
          <w:rFonts w:ascii="Calibri" w:eastAsia="Times New Roman" w:hAnsi="Calibri" w:cs="Times New Roman"/>
        </w:rPr>
        <w:t xml:space="preserve"> i </w:t>
      </w:r>
      <w:r w:rsidRPr="00383A74">
        <w:rPr>
          <w:rFonts w:ascii="Calibri" w:eastAsia="Times New Roman" w:hAnsi="Calibri" w:cs="Times New Roman"/>
        </w:rPr>
        <w:t>društvenu koheziju, odnosno ujednačen razvitak država</w:t>
      </w:r>
      <w:r w:rsidR="000509A0">
        <w:rPr>
          <w:rFonts w:ascii="Calibri" w:eastAsia="Times New Roman" w:hAnsi="Calibri" w:cs="Times New Roman"/>
        </w:rPr>
        <w:t xml:space="preserve"> i </w:t>
      </w:r>
      <w:r w:rsidRPr="00383A74">
        <w:rPr>
          <w:rFonts w:ascii="Calibri" w:eastAsia="Times New Roman" w:hAnsi="Calibri" w:cs="Times New Roman"/>
        </w:rPr>
        <w:t>regija unutar Europske unije.</w:t>
      </w:r>
    </w:p>
    <w:p w14:paraId="21524FEA" w14:textId="255945CC"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Uz Europski fond za regionalni razvoj (EFRR), Kohezijski fond predstavlja najvažniji izvor financiranja nacionalnih infrastrukturnih projekata te se u proračunskom razdoblju 2014.-2020. očekuje znatno veća zastupljenost projekata iz sektora energetike. Važno je naglasiti kako program predviđa</w:t>
      </w:r>
      <w:r w:rsidR="000509A0">
        <w:rPr>
          <w:rFonts w:ascii="Calibri" w:eastAsia="Times New Roman" w:hAnsi="Calibri" w:cs="Times New Roman"/>
        </w:rPr>
        <w:t xml:space="preserve"> i </w:t>
      </w:r>
      <w:r w:rsidRPr="00383A74">
        <w:rPr>
          <w:rFonts w:ascii="Calibri" w:eastAsia="Times New Roman" w:hAnsi="Calibri" w:cs="Times New Roman"/>
        </w:rPr>
        <w:t>posebna sredstva namijenjena za tehničku pripremu</w:t>
      </w:r>
      <w:r w:rsidR="000509A0">
        <w:rPr>
          <w:rFonts w:ascii="Calibri" w:eastAsia="Times New Roman" w:hAnsi="Calibri" w:cs="Times New Roman"/>
        </w:rPr>
        <w:t xml:space="preserve"> i </w:t>
      </w:r>
      <w:r w:rsidRPr="00383A74">
        <w:rPr>
          <w:rFonts w:ascii="Calibri" w:eastAsia="Times New Roman" w:hAnsi="Calibri" w:cs="Times New Roman"/>
        </w:rPr>
        <w:t>izradu projektne dokumentacije kojom bi se stvorila baza pripremljenih projekata za sufinanciranje.</w:t>
      </w:r>
    </w:p>
    <w:p w14:paraId="6DD07A8E" w14:textId="1C72068C"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Razina sufinanciranja iz Strukturnih</w:t>
      </w:r>
      <w:r w:rsidR="000509A0">
        <w:rPr>
          <w:rFonts w:ascii="Calibri" w:eastAsia="Times New Roman" w:hAnsi="Calibri" w:cs="Times New Roman"/>
        </w:rPr>
        <w:t xml:space="preserve"> i </w:t>
      </w:r>
      <w:r w:rsidRPr="00383A74">
        <w:rPr>
          <w:rFonts w:ascii="Calibri" w:eastAsia="Times New Roman" w:hAnsi="Calibri" w:cs="Times New Roman"/>
        </w:rPr>
        <w:t>Kohezijskog fonda može iznositi do 100% ukupno prihvatljivih troškova, pri čemu je važno naglasiti da ova stopa znatno ovisi o indeksu razvijenosti grada ili općine unutar koje se investicija realizira te njenoj financijskoj isplativosti. Pravila financiranja putem EU fondova nalažu da projekti koji su komercijalno isplativi, odnosno ostvaruju brz povrat početne investicije, nisu prihvatljivi za financiranje sredstvima EU fondova. S druge strane, projekti koji imaju nepovoljne financijske pokazatelje, ali stvaraju pozitivan društveni</w:t>
      </w:r>
      <w:r w:rsidR="000509A0">
        <w:rPr>
          <w:rFonts w:ascii="Calibri" w:eastAsia="Times New Roman" w:hAnsi="Calibri" w:cs="Times New Roman"/>
        </w:rPr>
        <w:t xml:space="preserve"> i </w:t>
      </w:r>
      <w:r w:rsidRPr="00383A74">
        <w:rPr>
          <w:rFonts w:ascii="Calibri" w:eastAsia="Times New Roman" w:hAnsi="Calibri" w:cs="Times New Roman"/>
        </w:rPr>
        <w:t>ekološki učinak na širu zajednicu smatraju se podobnima za financiranje bespovratnim sredstvima EU.</w:t>
      </w:r>
    </w:p>
    <w:p w14:paraId="71FA7C6A" w14:textId="1BE3D785"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 xml:space="preserve">Republika Hrvatska je za potrebe korištenja Strukturnih fondova podijeljena u dvije NUTS 2 regije, a Grad Zagreb pripada regiji Kontinentalna Hrvatska. </w:t>
      </w:r>
      <w:r w:rsidR="000F60B7">
        <w:rPr>
          <w:rFonts w:ascii="Calibri" w:eastAsia="Times New Roman" w:hAnsi="Calibri" w:cs="Times New Roman"/>
        </w:rPr>
        <w:t xml:space="preserve"> U trenutku izrade ovog dokumenta </w:t>
      </w:r>
      <w:r w:rsidR="00035704">
        <w:rPr>
          <w:rFonts w:ascii="Calibri" w:eastAsia="Times New Roman" w:hAnsi="Calibri" w:cs="Times New Roman"/>
        </w:rPr>
        <w:t xml:space="preserve">u tijeku je izrada nove NUTS 2 klasifikacije Republike Hrvatske. Prema dostupnim informacijama, Grad Zagreb </w:t>
      </w:r>
      <w:r w:rsidR="00035704">
        <w:rPr>
          <w:rFonts w:ascii="Calibri" w:eastAsia="Times New Roman" w:hAnsi="Calibri" w:cs="Times New Roman"/>
        </w:rPr>
        <w:lastRenderedPageBreak/>
        <w:t>trebao bi biti izdvojen u zasebnu NUTS 2 regiju s obzirom na stupanj razvijenosti. Što će to konkretno značiti za sufinanciranje projekata iz ESI fondova biti će poznato po službenom donošenju nove klasifikacije.</w:t>
      </w:r>
    </w:p>
    <w:p w14:paraId="3183DED4" w14:textId="7407A1F2"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U sedmogodišnjoj financijskoj perspektivi osigurana je znatno izdašnija financijska alokacija u odnosu na sredstva instrumenata pretpristupne pomoći (IPA) koja iznose 10,676 milijardi Eura. Europska komisija je donijela 11 tematskih ciljeva unutar kojih je svaka država definirala svoja prioritetna sektorska područja za financiranje putem ESI fondova. Kao jedan od glavnih tematskih ciljeva istaknuta je podrška prijelazu prema ekonomiji temeljenoj na niskoj razini emisije CO</w:t>
      </w:r>
      <w:r w:rsidRPr="00383A74">
        <w:rPr>
          <w:rFonts w:ascii="Calibri" w:eastAsia="Times New Roman" w:hAnsi="Calibri" w:cs="Times New Roman"/>
          <w:vertAlign w:val="subscript"/>
        </w:rPr>
        <w:t>2</w:t>
      </w:r>
      <w:r w:rsidRPr="00383A74">
        <w:rPr>
          <w:rFonts w:ascii="Calibri" w:eastAsia="Times New Roman" w:hAnsi="Calibri" w:cs="Times New Roman"/>
        </w:rPr>
        <w:t xml:space="preserve"> u svom sektorima. Vlada RH je tijekom izrade </w:t>
      </w:r>
      <w:r w:rsidRPr="00291DF5">
        <w:rPr>
          <w:rFonts w:ascii="Calibri" w:eastAsia="Times New Roman" w:hAnsi="Calibri" w:cs="Times New Roman"/>
          <w:i/>
          <w:iCs/>
        </w:rPr>
        <w:t>Operativnog programa Konkurentnost</w:t>
      </w:r>
      <w:r w:rsidR="000509A0">
        <w:rPr>
          <w:rFonts w:ascii="Calibri" w:eastAsia="Times New Roman" w:hAnsi="Calibri" w:cs="Times New Roman"/>
          <w:i/>
          <w:iCs/>
        </w:rPr>
        <w:t xml:space="preserve"> i </w:t>
      </w:r>
      <w:r w:rsidRPr="00291DF5">
        <w:rPr>
          <w:rFonts w:ascii="Calibri" w:eastAsia="Times New Roman" w:hAnsi="Calibri" w:cs="Times New Roman"/>
          <w:i/>
          <w:iCs/>
        </w:rPr>
        <w:t>kohezija</w:t>
      </w:r>
      <w:r w:rsidRPr="00383A74">
        <w:rPr>
          <w:rFonts w:ascii="Calibri" w:eastAsia="Times New Roman" w:hAnsi="Calibri" w:cs="Times New Roman"/>
        </w:rPr>
        <w:t xml:space="preserve"> za razdoblje 2014.-2020. godine predvidjela značajnija financijska sredstava za projekte iz sektora energetike. Sufinanciranje projekata provodit će se kroz četvrtu prioritetnu os ovog operativnog programa nazvanom </w:t>
      </w:r>
      <w:r w:rsidRPr="00291DF5">
        <w:rPr>
          <w:rFonts w:ascii="Calibri" w:eastAsia="Times New Roman" w:hAnsi="Calibri" w:cs="Times New Roman"/>
          <w:i/>
          <w:iCs/>
        </w:rPr>
        <w:t>Promicanje energetske učinkovitosti</w:t>
      </w:r>
      <w:r w:rsidR="000509A0">
        <w:rPr>
          <w:rFonts w:ascii="Calibri" w:eastAsia="Times New Roman" w:hAnsi="Calibri" w:cs="Times New Roman"/>
          <w:i/>
          <w:iCs/>
        </w:rPr>
        <w:t xml:space="preserve"> i </w:t>
      </w:r>
      <w:r w:rsidRPr="00291DF5">
        <w:rPr>
          <w:rFonts w:ascii="Calibri" w:eastAsia="Times New Roman" w:hAnsi="Calibri" w:cs="Times New Roman"/>
          <w:i/>
          <w:iCs/>
        </w:rPr>
        <w:t>obnovljivih izvora energije</w:t>
      </w:r>
      <w:r w:rsidRPr="00383A74">
        <w:rPr>
          <w:rFonts w:ascii="Calibri" w:eastAsia="Times New Roman" w:hAnsi="Calibri" w:cs="Times New Roman"/>
        </w:rPr>
        <w:t>, za koju ukupna sedmogodišnja alokacija iznosi 531.810.805 Eura. Ova prioritetna os sastoji se od sljedećih specifičnih ciljeva:</w:t>
      </w:r>
    </w:p>
    <w:p w14:paraId="2B082948" w14:textId="411C6B43" w:rsidR="00233428" w:rsidRPr="00383A74" w:rsidRDefault="00233428" w:rsidP="00E35782">
      <w:pPr>
        <w:numPr>
          <w:ilvl w:val="0"/>
          <w:numId w:val="61"/>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Podupiranje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korištenje obnovljivih izvora energije u poduzetništvu. Financijska alokacija za ovu mjeru iznosi 100 milijuna Eura, a namijenjena je projektima povećanja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primjene OIE u industrijskom</w:t>
      </w:r>
      <w:r w:rsidR="000509A0">
        <w:rPr>
          <w:rFonts w:ascii="Calibri" w:eastAsia="Times New Roman" w:hAnsi="Calibri" w:cs="Times New Roman"/>
        </w:rPr>
        <w:t xml:space="preserve"> i </w:t>
      </w:r>
      <w:r w:rsidRPr="00383A74">
        <w:rPr>
          <w:rFonts w:ascii="Calibri" w:eastAsia="Times New Roman" w:hAnsi="Calibri" w:cs="Times New Roman"/>
        </w:rPr>
        <w:t xml:space="preserve">uslužnom sektoru. </w:t>
      </w:r>
    </w:p>
    <w:p w14:paraId="732486D2" w14:textId="23F536E4" w:rsidR="00233428" w:rsidRPr="00383A74" w:rsidRDefault="00233428" w:rsidP="00E35782">
      <w:pPr>
        <w:numPr>
          <w:ilvl w:val="0"/>
          <w:numId w:val="61"/>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Podupiranje energetske učinkovitosti, pametnog upravljanja energijom</w:t>
      </w:r>
      <w:r w:rsidR="000509A0">
        <w:rPr>
          <w:rFonts w:ascii="Calibri" w:eastAsia="Times New Roman" w:hAnsi="Calibri" w:cs="Times New Roman"/>
        </w:rPr>
        <w:t xml:space="preserve"> i </w:t>
      </w:r>
      <w:r w:rsidRPr="00383A74">
        <w:rPr>
          <w:rFonts w:ascii="Calibri" w:eastAsia="Times New Roman" w:hAnsi="Calibri" w:cs="Times New Roman"/>
        </w:rPr>
        <w:t>korištenje obnovljivih izvora energije u javnoj infrastrukturi, uključujući javne zgrade</w:t>
      </w:r>
      <w:r w:rsidR="000509A0">
        <w:rPr>
          <w:rFonts w:ascii="Calibri" w:eastAsia="Times New Roman" w:hAnsi="Calibri" w:cs="Times New Roman"/>
        </w:rPr>
        <w:t xml:space="preserve"> i </w:t>
      </w:r>
      <w:r w:rsidRPr="00383A74">
        <w:rPr>
          <w:rFonts w:ascii="Calibri" w:eastAsia="Times New Roman" w:hAnsi="Calibri" w:cs="Times New Roman"/>
        </w:rPr>
        <w:t>u stambenom sektoru. Financijska alokacija za ovu mjeru iznosi 411.810.805 Eura. Energetskoj obnovi infrastrukture javnog sektora namijenjeno je 211.810.805 Eura, dok je za obnovu višestambenih zgrada</w:t>
      </w:r>
      <w:r w:rsidR="000509A0">
        <w:rPr>
          <w:rFonts w:ascii="Calibri" w:eastAsia="Times New Roman" w:hAnsi="Calibri" w:cs="Times New Roman"/>
        </w:rPr>
        <w:t xml:space="preserve"> i </w:t>
      </w:r>
      <w:r w:rsidRPr="00383A74">
        <w:rPr>
          <w:rFonts w:ascii="Calibri" w:eastAsia="Times New Roman" w:hAnsi="Calibri" w:cs="Times New Roman"/>
        </w:rPr>
        <w:t>obiteljskih kuća predviđeno 100 milijuna Eura. Ostatak alokacije od 100 milijuna Eura predviđen je za projekte povećanja učinkovitosti sustava toplinarstva</w:t>
      </w:r>
      <w:r w:rsidR="000509A0">
        <w:rPr>
          <w:rFonts w:ascii="Calibri" w:eastAsia="Times New Roman" w:hAnsi="Calibri" w:cs="Times New Roman"/>
        </w:rPr>
        <w:t xml:space="preserve"> i </w:t>
      </w:r>
      <w:r w:rsidRPr="00383A74">
        <w:rPr>
          <w:rFonts w:ascii="Calibri" w:eastAsia="Times New Roman" w:hAnsi="Calibri" w:cs="Times New Roman"/>
        </w:rPr>
        <w:t>javne rasvjete.</w:t>
      </w:r>
    </w:p>
    <w:p w14:paraId="5B55140F" w14:textId="030D593F" w:rsidR="00233428" w:rsidRPr="00383A74" w:rsidRDefault="00233428" w:rsidP="00E35782">
      <w:pPr>
        <w:numPr>
          <w:ilvl w:val="0"/>
          <w:numId w:val="61"/>
        </w:numPr>
        <w:tabs>
          <w:tab w:val="left" w:pos="720"/>
          <w:tab w:val="left" w:pos="6912"/>
        </w:tabs>
        <w:rPr>
          <w:rFonts w:ascii="Calibri" w:eastAsia="Times New Roman" w:hAnsi="Calibri" w:cs="Times New Roman"/>
        </w:rPr>
      </w:pPr>
      <w:r w:rsidRPr="00383A74">
        <w:rPr>
          <w:rFonts w:ascii="Calibri" w:eastAsia="Times New Roman" w:hAnsi="Calibri" w:cs="Times New Roman"/>
        </w:rPr>
        <w:t>Razvoj</w:t>
      </w:r>
      <w:r w:rsidR="000509A0">
        <w:rPr>
          <w:rFonts w:ascii="Calibri" w:eastAsia="Times New Roman" w:hAnsi="Calibri" w:cs="Times New Roman"/>
        </w:rPr>
        <w:t xml:space="preserve"> i </w:t>
      </w:r>
      <w:r w:rsidRPr="00383A74">
        <w:rPr>
          <w:rFonts w:ascii="Calibri" w:eastAsia="Times New Roman" w:hAnsi="Calibri" w:cs="Times New Roman"/>
        </w:rPr>
        <w:t>provedba pametnih sustava distribucije električne energije. Financijska alokacija za ovu mjeru kojom će se demonstrirati uvođenje pametnih mreža u dva tipa gradova (veći od 100 tisuća stanovnika</w:t>
      </w:r>
      <w:r w:rsidR="000509A0">
        <w:rPr>
          <w:rFonts w:ascii="Calibri" w:eastAsia="Times New Roman" w:hAnsi="Calibri" w:cs="Times New Roman"/>
        </w:rPr>
        <w:t xml:space="preserve"> i </w:t>
      </w:r>
      <w:r w:rsidRPr="00383A74">
        <w:rPr>
          <w:rFonts w:ascii="Calibri" w:eastAsia="Times New Roman" w:hAnsi="Calibri" w:cs="Times New Roman"/>
        </w:rPr>
        <w:t xml:space="preserve">između 40-60 tisuća stanovnika) iznosi 20 milijuna Eura. </w:t>
      </w:r>
    </w:p>
    <w:p w14:paraId="69EF6155" w14:textId="32257F82"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Osim provedbe na nacionalnoj razini, uveden je</w:t>
      </w:r>
      <w:r w:rsidR="000509A0">
        <w:rPr>
          <w:rFonts w:ascii="Calibri" w:eastAsia="Times New Roman" w:hAnsi="Calibri" w:cs="Times New Roman"/>
        </w:rPr>
        <w:t xml:space="preserve"> i </w:t>
      </w:r>
      <w:r w:rsidRPr="00383A74">
        <w:rPr>
          <w:rFonts w:ascii="Calibri" w:eastAsia="Times New Roman" w:hAnsi="Calibri" w:cs="Times New Roman"/>
        </w:rPr>
        <w:t xml:space="preserve">dodatan sustav provođenja projekata podržanih operativnim programima s ciljem jačanja uloge gradova kao pokretača gospodarskog razvoja u razdoblju od 2014. – 2020. godine - mehanizam Integriranih teritorijalnih ulaganja (ITU). ITU mehanizam je osmišljen kako bi olakšao provedbu aktivnosti koje imaju naglašenu teritorijalnu dimenziju, a koje se mogu financirati iz tri različita ESI fonda: Europskog fonda za regionalni razvoj, Kohezijskog fonda te Europskog socijalnog fonda. </w:t>
      </w:r>
    </w:p>
    <w:p w14:paraId="1F75EA93" w14:textId="63996BDA"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U svrhu planiranja</w:t>
      </w:r>
      <w:r w:rsidR="000509A0">
        <w:rPr>
          <w:rFonts w:ascii="Calibri" w:eastAsia="Times New Roman" w:hAnsi="Calibri" w:cs="Times New Roman"/>
        </w:rPr>
        <w:t xml:space="preserve"> i </w:t>
      </w:r>
      <w:r w:rsidRPr="00383A74">
        <w:rPr>
          <w:rFonts w:ascii="Calibri" w:eastAsia="Times New Roman" w:hAnsi="Calibri" w:cs="Times New Roman"/>
        </w:rPr>
        <w:t>usklađivanja održivog urbanog razvoja, sukladno Zakonu o regionalnom razvoju Republike Hrvatske, u ožujku 2016.</w:t>
      </w:r>
      <w:r w:rsidR="00B25B9E">
        <w:rPr>
          <w:rFonts w:ascii="Calibri" w:eastAsia="Times New Roman" w:hAnsi="Calibri" w:cs="Times New Roman"/>
        </w:rPr>
        <w:t xml:space="preserve"> </w:t>
      </w:r>
      <w:r w:rsidRPr="00383A74">
        <w:rPr>
          <w:rFonts w:ascii="Calibri" w:eastAsia="Times New Roman" w:hAnsi="Calibri" w:cs="Times New Roman"/>
        </w:rPr>
        <w:t>godine ustrojena je Urbana aglomeracija Zagreb, sa sjedištem u Zagrebu. Usvajanjem Strategije razvoja Urbane aglomeracije Zagreb omogućeno je financiranje aktivnosti koje pridonose sljedećim tematskim područjima:</w:t>
      </w:r>
    </w:p>
    <w:p w14:paraId="09B4C413" w14:textId="77777777" w:rsidR="00233428" w:rsidRPr="00383A74" w:rsidRDefault="00233428" w:rsidP="00E35782">
      <w:pPr>
        <w:numPr>
          <w:ilvl w:val="0"/>
          <w:numId w:val="73"/>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Gradovi kao pokretači gospodarskog razvoja;</w:t>
      </w:r>
    </w:p>
    <w:p w14:paraId="76D2C8FE" w14:textId="77777777" w:rsidR="00233428" w:rsidRPr="00383A74" w:rsidRDefault="00233428" w:rsidP="00E35782">
      <w:pPr>
        <w:numPr>
          <w:ilvl w:val="0"/>
          <w:numId w:val="73"/>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Čisti gradovi, odnosno, gradovi u borbi protiv klimatskih promjena;</w:t>
      </w:r>
    </w:p>
    <w:p w14:paraId="0F75AC0A" w14:textId="77777777" w:rsidR="00233428" w:rsidRPr="00383A74" w:rsidRDefault="00233428" w:rsidP="00E35782">
      <w:pPr>
        <w:numPr>
          <w:ilvl w:val="0"/>
          <w:numId w:val="73"/>
        </w:numPr>
        <w:tabs>
          <w:tab w:val="left" w:pos="720"/>
          <w:tab w:val="left" w:pos="6912"/>
        </w:tabs>
        <w:rPr>
          <w:rFonts w:ascii="Calibri" w:eastAsia="Times New Roman" w:hAnsi="Calibri" w:cs="Times New Roman"/>
        </w:rPr>
      </w:pPr>
      <w:r w:rsidRPr="00383A74">
        <w:rPr>
          <w:rFonts w:ascii="Calibri" w:eastAsia="Times New Roman" w:hAnsi="Calibri" w:cs="Times New Roman"/>
        </w:rPr>
        <w:t>Uključivi gradovi, odnosno, gradovi u borbi protiv siromaštva.</w:t>
      </w:r>
    </w:p>
    <w:p w14:paraId="3055C789" w14:textId="0ECFC99C" w:rsidR="00233428"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lastRenderedPageBreak/>
        <w:t xml:space="preserve">Ukupna financijska alokacija za provedbu projekata Urbane aglomeracije Zagreb putem ITU mehanizma iznosi </w:t>
      </w:r>
      <w:r w:rsidR="00B730CD">
        <w:rPr>
          <w:rFonts w:ascii="Calibri" w:eastAsia="Times New Roman" w:hAnsi="Calibri" w:cs="Times New Roman"/>
        </w:rPr>
        <w:t>126</w:t>
      </w:r>
      <w:r w:rsidRPr="00383A74">
        <w:rPr>
          <w:rFonts w:ascii="Calibri" w:eastAsia="Times New Roman" w:hAnsi="Calibri" w:cs="Times New Roman"/>
        </w:rPr>
        <w:t xml:space="preserve"> milijuna Eura</w:t>
      </w:r>
      <w:r w:rsidR="00B730CD">
        <w:rPr>
          <w:rFonts w:ascii="Calibri" w:eastAsia="Times New Roman" w:hAnsi="Calibri" w:cs="Times New Roman"/>
        </w:rPr>
        <w:t>, s time da je na energetsku učinkovitost alokacijom za revitalizaciju sustava toplinarstva osigurano 55.5 milijuna €</w:t>
      </w:r>
      <w:r w:rsidRPr="00383A74">
        <w:rPr>
          <w:rFonts w:ascii="Calibri" w:eastAsia="Times New Roman" w:hAnsi="Calibri" w:cs="Times New Roman"/>
        </w:rPr>
        <w:t>.</w:t>
      </w:r>
    </w:p>
    <w:p w14:paraId="5476134D" w14:textId="50CF6290" w:rsidR="00035704" w:rsidRDefault="00035704" w:rsidP="00E35782">
      <w:pPr>
        <w:tabs>
          <w:tab w:val="left" w:pos="720"/>
          <w:tab w:val="left" w:pos="6912"/>
        </w:tabs>
        <w:spacing w:after="0"/>
        <w:rPr>
          <w:rFonts w:ascii="Calibri" w:eastAsia="Times New Roman" w:hAnsi="Calibri" w:cs="Times New Roman"/>
        </w:rPr>
      </w:pPr>
    </w:p>
    <w:p w14:paraId="3F05163D" w14:textId="7C4FF38E" w:rsidR="00035704" w:rsidRDefault="00035704" w:rsidP="00E35782">
      <w:pPr>
        <w:tabs>
          <w:tab w:val="left" w:pos="720"/>
          <w:tab w:val="left" w:pos="6912"/>
        </w:tabs>
        <w:spacing w:after="0"/>
        <w:rPr>
          <w:rFonts w:ascii="Calibri" w:eastAsia="Times New Roman" w:hAnsi="Calibri" w:cs="Times New Roman"/>
        </w:rPr>
      </w:pPr>
      <w:r>
        <w:rPr>
          <w:rFonts w:ascii="Calibri" w:eastAsia="Times New Roman" w:hAnsi="Calibri" w:cs="Times New Roman"/>
        </w:rPr>
        <w:t xml:space="preserve">Napominjemo da se ročnost SECAP-a preklapa s završetkom višegodišnjeg financijskog razdoblja 2014. – 2020. i s novim razdobljem 2021. – 2027. Mjere su u dokumentu, u dijelu prijedloga financiranja, obrađene na način da se tamo gdje je to moguće koristi dostupnost sredstava iz Operativnog programa konkurentnosti i kohezija 2014. – 2020. i planski na način da su rađene kao podloga za strukturiranje i planiranje novog operativnog programa u perspektivi 2021. – 2027. </w:t>
      </w:r>
    </w:p>
    <w:p w14:paraId="7C0D29D4" w14:textId="77777777" w:rsidR="00522500" w:rsidRDefault="00522500" w:rsidP="00E35782">
      <w:pPr>
        <w:tabs>
          <w:tab w:val="left" w:pos="720"/>
          <w:tab w:val="left" w:pos="6912"/>
        </w:tabs>
        <w:spacing w:after="0"/>
        <w:rPr>
          <w:rFonts w:ascii="Calibri" w:eastAsia="Times New Roman" w:hAnsi="Calibri" w:cs="Times New Roman"/>
        </w:rPr>
      </w:pPr>
    </w:p>
    <w:p w14:paraId="632ACF00" w14:textId="6501DF6C" w:rsidR="00ED05AC" w:rsidRDefault="00522500" w:rsidP="3F9C34E3">
      <w:pPr>
        <w:pStyle w:val="Heading3"/>
        <w:ind w:left="0" w:firstLine="0"/>
      </w:pPr>
      <w:bookmarkStart w:id="326" w:name="_Toc4156127"/>
      <w:r>
        <w:t>Europski fond za strateška ulaganja (EFSU)</w:t>
      </w:r>
      <w:bookmarkEnd w:id="326"/>
    </w:p>
    <w:p w14:paraId="67EF3BBC" w14:textId="0EA938AF" w:rsidR="00522500" w:rsidRPr="005808FC" w:rsidRDefault="00522500" w:rsidP="005808FC">
      <w:pPr>
        <w:shd w:val="clear" w:color="auto" w:fill="FFFFFF" w:themeFill="background1"/>
        <w:spacing w:after="192" w:line="240" w:lineRule="auto"/>
        <w:rPr>
          <w:rFonts w:ascii="Calibri" w:eastAsia="Times New Roman" w:hAnsi="Calibri" w:cs="Times New Roman"/>
        </w:rPr>
      </w:pPr>
      <w:r w:rsidRPr="005808FC">
        <w:rPr>
          <w:rFonts w:ascii="Calibri" w:eastAsia="Times New Roman" w:hAnsi="Calibri" w:cs="Times New Roman"/>
        </w:rPr>
        <w:t>Europski fond za strateška ulaganja (EFSU) okosnica je Plana ulaganja za Europu. Cilj mu je riješiti problem nedostatka povjerenja</w:t>
      </w:r>
      <w:r w:rsidR="000509A0">
        <w:rPr>
          <w:rFonts w:ascii="Calibri" w:eastAsia="Times New Roman" w:hAnsi="Calibri" w:cs="Times New Roman"/>
        </w:rPr>
        <w:t xml:space="preserve"> i </w:t>
      </w:r>
      <w:r w:rsidRPr="005808FC">
        <w:rPr>
          <w:rFonts w:ascii="Calibri" w:eastAsia="Times New Roman" w:hAnsi="Calibri" w:cs="Times New Roman"/>
        </w:rPr>
        <w:t>ulaganja koji je posljedica gospodarske</w:t>
      </w:r>
      <w:r w:rsidR="000509A0">
        <w:rPr>
          <w:rFonts w:ascii="Calibri" w:eastAsia="Times New Roman" w:hAnsi="Calibri" w:cs="Times New Roman"/>
        </w:rPr>
        <w:t xml:space="preserve"> i </w:t>
      </w:r>
      <w:r w:rsidRPr="005808FC">
        <w:rPr>
          <w:rFonts w:ascii="Calibri" w:eastAsia="Times New Roman" w:hAnsi="Calibri" w:cs="Times New Roman"/>
        </w:rPr>
        <w:t>financijske krize te iskoristiti likvidnost koju posjeduju financijske institucije, trgovačka društva</w:t>
      </w:r>
      <w:r w:rsidR="000509A0">
        <w:rPr>
          <w:rFonts w:ascii="Calibri" w:eastAsia="Times New Roman" w:hAnsi="Calibri" w:cs="Times New Roman"/>
        </w:rPr>
        <w:t xml:space="preserve"> i </w:t>
      </w:r>
      <w:r w:rsidRPr="005808FC">
        <w:rPr>
          <w:rFonts w:ascii="Calibri" w:eastAsia="Times New Roman" w:hAnsi="Calibri" w:cs="Times New Roman"/>
        </w:rPr>
        <w:t>pojedinci u vrijeme kada su javni resursi sve oskudniji.</w:t>
      </w:r>
    </w:p>
    <w:p w14:paraId="5FD39162" w14:textId="5F8D16A1" w:rsidR="00522500" w:rsidRPr="005808FC" w:rsidRDefault="00522500" w:rsidP="005808FC">
      <w:pPr>
        <w:shd w:val="clear" w:color="auto" w:fill="FFFFFF" w:themeFill="background1"/>
        <w:spacing w:after="192" w:line="240" w:lineRule="auto"/>
        <w:rPr>
          <w:rFonts w:ascii="Calibri" w:eastAsia="Times New Roman" w:hAnsi="Calibri" w:cs="Times New Roman"/>
        </w:rPr>
      </w:pPr>
      <w:r w:rsidRPr="005808FC">
        <w:rPr>
          <w:rFonts w:ascii="Calibri" w:eastAsia="Times New Roman" w:hAnsi="Calibri" w:cs="Times New Roman"/>
        </w:rPr>
        <w:t>Komisija surađuje sa svojim strateškim partnerom, Grupom Europske investicijske banke (EIB). EFSU podržava strateška ulaganja u ključnim područjima kao što su infrastruktura, energetska učinkovitost</w:t>
      </w:r>
      <w:r w:rsidR="000509A0">
        <w:rPr>
          <w:rFonts w:ascii="Calibri" w:eastAsia="Times New Roman" w:hAnsi="Calibri" w:cs="Times New Roman"/>
        </w:rPr>
        <w:t xml:space="preserve"> i </w:t>
      </w:r>
      <w:r w:rsidRPr="005808FC">
        <w:rPr>
          <w:rFonts w:ascii="Calibri" w:eastAsia="Times New Roman" w:hAnsi="Calibri" w:cs="Times New Roman"/>
        </w:rPr>
        <w:t>obnovljivi izvori energije, istraživanje</w:t>
      </w:r>
      <w:r w:rsidR="000509A0">
        <w:rPr>
          <w:rFonts w:ascii="Calibri" w:eastAsia="Times New Roman" w:hAnsi="Calibri" w:cs="Times New Roman"/>
        </w:rPr>
        <w:t xml:space="preserve"> i </w:t>
      </w:r>
      <w:r w:rsidRPr="005808FC">
        <w:rPr>
          <w:rFonts w:ascii="Calibri" w:eastAsia="Times New Roman" w:hAnsi="Calibri" w:cs="Times New Roman"/>
        </w:rPr>
        <w:t>inovacije, zaštita okoliša, poljoprivreda, digitalne tehnologije, obrazovanje, zdravstvo</w:t>
      </w:r>
      <w:r w:rsidR="000509A0">
        <w:rPr>
          <w:rFonts w:ascii="Calibri" w:eastAsia="Times New Roman" w:hAnsi="Calibri" w:cs="Times New Roman"/>
        </w:rPr>
        <w:t xml:space="preserve"> i </w:t>
      </w:r>
      <w:r w:rsidRPr="005808FC">
        <w:rPr>
          <w:rFonts w:ascii="Calibri" w:eastAsia="Times New Roman" w:hAnsi="Calibri" w:cs="Times New Roman"/>
        </w:rPr>
        <w:t>socijalni projekti. Pružanjem rizičnog financiranja pomaže</w:t>
      </w:r>
      <w:r w:rsidR="000509A0">
        <w:rPr>
          <w:rFonts w:ascii="Calibri" w:eastAsia="Times New Roman" w:hAnsi="Calibri" w:cs="Times New Roman"/>
        </w:rPr>
        <w:t xml:space="preserve"> i </w:t>
      </w:r>
      <w:r w:rsidRPr="005808FC">
        <w:rPr>
          <w:rFonts w:ascii="Calibri" w:eastAsia="Times New Roman" w:hAnsi="Calibri" w:cs="Times New Roman"/>
        </w:rPr>
        <w:t>pokretanje, rast</w:t>
      </w:r>
      <w:r w:rsidR="000509A0">
        <w:rPr>
          <w:rFonts w:ascii="Calibri" w:eastAsia="Times New Roman" w:hAnsi="Calibri" w:cs="Times New Roman"/>
        </w:rPr>
        <w:t xml:space="preserve"> i </w:t>
      </w:r>
      <w:r w:rsidRPr="005808FC">
        <w:rPr>
          <w:rFonts w:ascii="Calibri" w:eastAsia="Times New Roman" w:hAnsi="Calibri" w:cs="Times New Roman"/>
        </w:rPr>
        <w:t>razvoj malih poduzeća.</w:t>
      </w:r>
    </w:p>
    <w:p w14:paraId="30D52F62" w14:textId="358D42FD" w:rsidR="00522500" w:rsidRPr="005808FC" w:rsidRDefault="00522500" w:rsidP="005808FC">
      <w:pPr>
        <w:shd w:val="clear" w:color="auto" w:fill="FFFFFF" w:themeFill="background1"/>
        <w:spacing w:after="192" w:line="240" w:lineRule="auto"/>
        <w:rPr>
          <w:rFonts w:ascii="Calibri" w:eastAsia="Times New Roman" w:hAnsi="Calibri" w:cs="Times New Roman"/>
        </w:rPr>
      </w:pPr>
      <w:r w:rsidRPr="005808FC">
        <w:rPr>
          <w:rFonts w:ascii="Calibri" w:eastAsia="Times New Roman" w:hAnsi="Calibri" w:cs="Times New Roman"/>
        </w:rPr>
        <w:t>EFSU je proračunsko jamstvo EU-a kojim se Grupi EIB-a osigurava zaštita od prvih gubitaka. To znači da Grupa EIB-a može osigurati financiranje za projekte koji su rizičniji od onih koje bi inače financirala. Neovisni odbor za ulaganja služi se strogim kriterijima prilikom odlučivanja je li neki projekt prihvatljiv za potporu EFSU-a. Pritom ne postoje kvote ni po sektoru ni po zemlji. Financiranje se temelji isključivo na potražnji.</w:t>
      </w:r>
    </w:p>
    <w:p w14:paraId="65D4ACAE" w14:textId="42AA00DF" w:rsidR="00233428" w:rsidRPr="00383A74" w:rsidRDefault="00B25B9E" w:rsidP="00E16DFD">
      <w:pPr>
        <w:pStyle w:val="Heading3"/>
        <w:ind w:left="993" w:hanging="993"/>
      </w:pPr>
      <w:bookmarkStart w:id="327" w:name="_Toc251920823"/>
      <w:bookmarkStart w:id="328" w:name="_Toc404268133"/>
      <w:bookmarkStart w:id="329" w:name="_Toc467589730"/>
      <w:bookmarkStart w:id="330" w:name="_Toc477265336"/>
      <w:bookmarkStart w:id="331" w:name="_Toc493666286"/>
      <w:r>
        <w:t xml:space="preserve"> </w:t>
      </w:r>
      <w:bookmarkStart w:id="332" w:name="_Toc4156128"/>
      <w:r w:rsidR="00233428" w:rsidRPr="00383A74">
        <w:t>Hrvatska banka za obnovu</w:t>
      </w:r>
      <w:r w:rsidR="000509A0">
        <w:t xml:space="preserve"> i </w:t>
      </w:r>
      <w:r w:rsidR="00233428" w:rsidRPr="00383A74">
        <w:t>razv</w:t>
      </w:r>
      <w:bookmarkEnd w:id="327"/>
      <w:r w:rsidR="00233428" w:rsidRPr="00383A74">
        <w:t>itak (HBOR)</w:t>
      </w:r>
      <w:bookmarkEnd w:id="328"/>
      <w:bookmarkEnd w:id="329"/>
      <w:bookmarkEnd w:id="330"/>
      <w:bookmarkEnd w:id="331"/>
      <w:bookmarkEnd w:id="332"/>
    </w:p>
    <w:p w14:paraId="2AF18E37" w14:textId="6970F949" w:rsidR="00233428"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Hrvatska banka za obnovu</w:t>
      </w:r>
      <w:r w:rsidR="000509A0">
        <w:rPr>
          <w:rFonts w:ascii="Calibri" w:eastAsia="Times New Roman" w:hAnsi="Calibri" w:cs="Times New Roman"/>
        </w:rPr>
        <w:t xml:space="preserve"> i </w:t>
      </w:r>
      <w:r w:rsidRPr="00383A74">
        <w:rPr>
          <w:rFonts w:ascii="Calibri" w:eastAsia="Times New Roman" w:hAnsi="Calibri" w:cs="Times New Roman"/>
        </w:rPr>
        <w:t>razvitak (HBOR) osnovana je 12. lipnja 1992. godine donošenjem Zakona o Hrvatskoj kreditnoj banci za obnovu (HKBO) (NN 33/92) s osnovnim ciljem kreditiranja obnove</w:t>
      </w:r>
      <w:r w:rsidR="000509A0">
        <w:rPr>
          <w:rFonts w:ascii="Calibri" w:eastAsia="Times New Roman" w:hAnsi="Calibri" w:cs="Times New Roman"/>
        </w:rPr>
        <w:t xml:space="preserve"> i </w:t>
      </w:r>
      <w:r w:rsidRPr="00383A74">
        <w:rPr>
          <w:rFonts w:ascii="Calibri" w:eastAsia="Times New Roman" w:hAnsi="Calibri" w:cs="Times New Roman"/>
        </w:rPr>
        <w:t>razvitka hrvatskog gospodarstva. Osnivač</w:t>
      </w:r>
      <w:r w:rsidR="000509A0">
        <w:rPr>
          <w:rFonts w:ascii="Calibri" w:eastAsia="Times New Roman" w:hAnsi="Calibri" w:cs="Times New Roman"/>
        </w:rPr>
        <w:t xml:space="preserve"> i </w:t>
      </w:r>
      <w:r w:rsidRPr="00383A74">
        <w:rPr>
          <w:rFonts w:ascii="Calibri" w:eastAsia="Times New Roman" w:hAnsi="Calibri" w:cs="Times New Roman"/>
        </w:rPr>
        <w:t xml:space="preserve">100%-tni vlasnik HBOR-a je Republika Hrvatska koja jamči za sve nastale obaveze. Temeljni kapital utvrđen je Zakonom o HBOR-u (NN 138/06) u visini od 7 milijardi kuna čiju dinamiku uplate iz Državnog proračuna određuje Vlada Republike Hrvatske. </w:t>
      </w:r>
    </w:p>
    <w:p w14:paraId="3BF98162" w14:textId="0FD1EC1B" w:rsidR="00437711" w:rsidRPr="00383A74" w:rsidRDefault="00F12AC8" w:rsidP="00E35782">
      <w:pPr>
        <w:tabs>
          <w:tab w:val="left" w:pos="720"/>
          <w:tab w:val="left" w:pos="6912"/>
        </w:tabs>
        <w:rPr>
          <w:rFonts w:ascii="Calibri" w:eastAsia="Times New Roman" w:hAnsi="Calibri" w:cs="Times New Roman"/>
        </w:rPr>
      </w:pPr>
      <w:r>
        <w:rPr>
          <w:rFonts w:ascii="Calibri" w:eastAsia="Times New Roman" w:hAnsi="Calibri" w:cs="Times New Roman"/>
        </w:rPr>
        <w:t>Posebn</w:t>
      </w:r>
      <w:r w:rsidR="00291846">
        <w:rPr>
          <w:rFonts w:ascii="Calibri" w:eastAsia="Times New Roman" w:hAnsi="Calibri" w:cs="Times New Roman"/>
        </w:rPr>
        <w:t>e</w:t>
      </w:r>
      <w:r>
        <w:rPr>
          <w:rFonts w:ascii="Calibri" w:eastAsia="Times New Roman" w:hAnsi="Calibri" w:cs="Times New Roman"/>
        </w:rPr>
        <w:t xml:space="preserve"> linij</w:t>
      </w:r>
      <w:r w:rsidR="00291846">
        <w:rPr>
          <w:rFonts w:ascii="Calibri" w:eastAsia="Times New Roman" w:hAnsi="Calibri" w:cs="Times New Roman"/>
        </w:rPr>
        <w:t>e</w:t>
      </w:r>
      <w:r>
        <w:rPr>
          <w:rFonts w:ascii="Calibri" w:eastAsia="Times New Roman" w:hAnsi="Calibri" w:cs="Times New Roman"/>
        </w:rPr>
        <w:t xml:space="preserve"> HBOR</w:t>
      </w:r>
      <w:r w:rsidR="00291846">
        <w:rPr>
          <w:rFonts w:ascii="Calibri" w:eastAsia="Times New Roman" w:hAnsi="Calibri" w:cs="Times New Roman"/>
        </w:rPr>
        <w:t xml:space="preserve">-a pod nazivom ESIF krediti za energetsku učinkovitost u zgradama javnog sektora te </w:t>
      </w:r>
      <w:r w:rsidR="00232FF0">
        <w:rPr>
          <w:rFonts w:ascii="Calibri" w:eastAsia="Times New Roman" w:hAnsi="Calibri" w:cs="Times New Roman"/>
        </w:rPr>
        <w:t>ESIF krediti za javnu rasvjetu dostupni su jedinicama lokalne samouprave</w:t>
      </w:r>
      <w:r w:rsidR="008D14E6">
        <w:rPr>
          <w:rFonts w:ascii="Calibri" w:eastAsia="Times New Roman" w:hAnsi="Calibri" w:cs="Times New Roman"/>
        </w:rPr>
        <w:t xml:space="preserve"> te, u nekim slučajevima, i drugim javnim </w:t>
      </w:r>
      <w:r w:rsidR="00E648FB">
        <w:rPr>
          <w:rFonts w:ascii="Calibri" w:eastAsia="Times New Roman" w:hAnsi="Calibri" w:cs="Times New Roman"/>
        </w:rPr>
        <w:t xml:space="preserve">i društvenim ustanovama. Putem ovih linija moguće je financirati ulaganja </w:t>
      </w:r>
      <w:r w:rsidR="00BF3627">
        <w:rPr>
          <w:rFonts w:ascii="Calibri" w:eastAsia="Times New Roman" w:hAnsi="Calibri" w:cs="Times New Roman"/>
        </w:rPr>
        <w:t>u energetsku učinkovitost</w:t>
      </w:r>
      <w:r w:rsidR="00F535BB">
        <w:rPr>
          <w:rFonts w:ascii="Calibri" w:eastAsia="Times New Roman" w:hAnsi="Calibri" w:cs="Times New Roman"/>
        </w:rPr>
        <w:t xml:space="preserve"> javnih zgrada odnosno javne rasvjete. </w:t>
      </w:r>
      <w:r w:rsidR="00226741">
        <w:rPr>
          <w:rFonts w:ascii="Calibri" w:eastAsia="Times New Roman" w:hAnsi="Calibri" w:cs="Times New Roman"/>
        </w:rPr>
        <w:t xml:space="preserve">U slučaju ESIF kredita za energetsku učinkovitost u zgradama javnog sektora, iznos kredita </w:t>
      </w:r>
      <w:r w:rsidR="000B599B">
        <w:rPr>
          <w:rFonts w:ascii="Calibri" w:eastAsia="Times New Roman" w:hAnsi="Calibri" w:cs="Times New Roman"/>
        </w:rPr>
        <w:t>može iznositi od 100.000 kn do 60.000.000 kn uz r</w:t>
      </w:r>
      <w:r w:rsidR="009602F7">
        <w:rPr>
          <w:rFonts w:ascii="Calibri" w:eastAsia="Times New Roman" w:hAnsi="Calibri" w:cs="Times New Roman"/>
        </w:rPr>
        <w:t>ok otplate do 14 godina te poček od 12 mjeseci. Za slučaj ESIF krediti za javnu rasvjetu</w:t>
      </w:r>
      <w:r w:rsidR="0036178A">
        <w:rPr>
          <w:rFonts w:ascii="Calibri" w:eastAsia="Times New Roman" w:hAnsi="Calibri" w:cs="Times New Roman"/>
        </w:rPr>
        <w:t xml:space="preserve"> iznos kredita je ograničen na vrijednosti od 500.000 kn do najviše 15.000.000 uz rok otplate do 10 godina te poček od maksimalno 6 mjeseci.</w:t>
      </w:r>
      <w:r w:rsidR="004A7E57">
        <w:rPr>
          <w:rFonts w:ascii="Calibri" w:eastAsia="Times New Roman" w:hAnsi="Calibri" w:cs="Times New Roman"/>
        </w:rPr>
        <w:t xml:space="preserve"> Kamatna stopa u oba slučaj iznosi od 0</w:t>
      </w:r>
      <w:r w:rsidR="00D366EB">
        <w:rPr>
          <w:rFonts w:ascii="Calibri" w:eastAsia="Times New Roman" w:hAnsi="Calibri" w:cs="Times New Roman"/>
        </w:rPr>
        <w:t xml:space="preserve">,1% do 0,5% godišnje te kredite provodi </w:t>
      </w:r>
      <w:r w:rsidR="00437711">
        <w:rPr>
          <w:rFonts w:ascii="Calibri" w:eastAsia="Times New Roman" w:hAnsi="Calibri" w:cs="Times New Roman"/>
        </w:rPr>
        <w:t xml:space="preserve">izravno </w:t>
      </w:r>
      <w:r w:rsidR="00D366EB">
        <w:rPr>
          <w:rFonts w:ascii="Calibri" w:eastAsia="Times New Roman" w:hAnsi="Calibri" w:cs="Times New Roman"/>
        </w:rPr>
        <w:t>HBOR</w:t>
      </w:r>
      <w:r w:rsidR="00437711">
        <w:rPr>
          <w:rFonts w:ascii="Calibri" w:eastAsia="Times New Roman" w:hAnsi="Calibri" w:cs="Times New Roman"/>
        </w:rPr>
        <w:t>.</w:t>
      </w:r>
    </w:p>
    <w:p w14:paraId="120ECADA" w14:textId="55841E67" w:rsidR="00233428" w:rsidRPr="00383A74" w:rsidRDefault="00233428" w:rsidP="00E35782">
      <w:pPr>
        <w:tabs>
          <w:tab w:val="left" w:pos="720"/>
          <w:tab w:val="left" w:pos="6912"/>
        </w:tabs>
        <w:spacing w:after="0"/>
        <w:rPr>
          <w:rFonts w:ascii="Calibri" w:eastAsia="Times New Roman" w:hAnsi="Calibri" w:cs="Times New Roman"/>
        </w:rPr>
      </w:pPr>
    </w:p>
    <w:p w14:paraId="5C88D56D" w14:textId="79E6F045" w:rsidR="00233428" w:rsidRPr="00383A74" w:rsidRDefault="00B25B9E" w:rsidP="00E16DFD">
      <w:pPr>
        <w:pStyle w:val="Heading3"/>
        <w:ind w:left="993" w:hanging="993"/>
      </w:pPr>
      <w:bookmarkStart w:id="333" w:name="_Toc404268131"/>
      <w:bookmarkStart w:id="334" w:name="_Toc467589731"/>
      <w:bookmarkStart w:id="335" w:name="_Toc477265337"/>
      <w:bookmarkStart w:id="336" w:name="_Toc493666287"/>
      <w:bookmarkStart w:id="337" w:name="_Toc251920821"/>
      <w:r>
        <w:t xml:space="preserve"> </w:t>
      </w:r>
      <w:bookmarkStart w:id="338" w:name="_Toc4156129"/>
      <w:r w:rsidR="00233428" w:rsidRPr="00383A74">
        <w:t>Europska investicijska banka (EIB)</w:t>
      </w:r>
      <w:bookmarkEnd w:id="333"/>
      <w:bookmarkEnd w:id="334"/>
      <w:bookmarkEnd w:id="335"/>
      <w:bookmarkEnd w:id="336"/>
      <w:bookmarkEnd w:id="338"/>
    </w:p>
    <w:p w14:paraId="08709456" w14:textId="77777777"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 xml:space="preserve">Europska investicijska banka (EIB), osnovana Rimskim ugovorima 1958. godine je financijska institucija u vlasništvu zemalja članica EU specijalizirana za dugoročno financiranje projekata koji podupiru razvojnu politiku EU. </w:t>
      </w:r>
    </w:p>
    <w:p w14:paraId="61F763A2" w14:textId="53F3D1B2"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EIB ima za cilj financirati projekte koji doprinose ekonomskom napretku</w:t>
      </w:r>
      <w:r w:rsidR="000509A0">
        <w:rPr>
          <w:rFonts w:ascii="Calibri" w:eastAsia="Times New Roman" w:hAnsi="Calibri" w:cs="Times New Roman"/>
        </w:rPr>
        <w:t xml:space="preserve"> i </w:t>
      </w:r>
      <w:r w:rsidRPr="00383A74">
        <w:rPr>
          <w:rFonts w:ascii="Calibri" w:eastAsia="Times New Roman" w:hAnsi="Calibri" w:cs="Times New Roman"/>
        </w:rPr>
        <w:t>smanjenju regionalnih razlika</w:t>
      </w:r>
      <w:r w:rsidR="00B25B9E">
        <w:rPr>
          <w:rFonts w:ascii="Calibri" w:eastAsia="Times New Roman" w:hAnsi="Calibri" w:cs="Times New Roman"/>
        </w:rPr>
        <w:t xml:space="preserve"> </w:t>
      </w:r>
      <w:r w:rsidRPr="00383A74">
        <w:rPr>
          <w:rFonts w:ascii="Calibri" w:eastAsia="Times New Roman" w:hAnsi="Calibri" w:cs="Times New Roman"/>
        </w:rPr>
        <w:t>a glavni prioriteti banke su sljedeći:</w:t>
      </w:r>
    </w:p>
    <w:p w14:paraId="6AB62720" w14:textId="4BC08C8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Podrška ekonomskoj</w:t>
      </w:r>
      <w:r w:rsidR="000509A0">
        <w:rPr>
          <w:rFonts w:ascii="Calibri" w:eastAsia="Times New Roman" w:hAnsi="Calibri" w:cs="Times New Roman"/>
        </w:rPr>
        <w:t xml:space="preserve"> i </w:t>
      </w:r>
      <w:r w:rsidRPr="00383A74">
        <w:rPr>
          <w:rFonts w:ascii="Calibri" w:eastAsia="Times New Roman" w:hAnsi="Calibri" w:cs="Times New Roman"/>
        </w:rPr>
        <w:t>kohezijskoj politici EU;</w:t>
      </w:r>
    </w:p>
    <w:p w14:paraId="6907D854" w14:textId="7777777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Razvoj Transeuropske mreže (TEN);</w:t>
      </w:r>
    </w:p>
    <w:p w14:paraId="6D030952" w14:textId="34DC025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Potpora razvoju malog</w:t>
      </w:r>
      <w:r w:rsidR="000509A0">
        <w:rPr>
          <w:rFonts w:ascii="Calibri" w:eastAsia="Times New Roman" w:hAnsi="Calibri" w:cs="Times New Roman"/>
        </w:rPr>
        <w:t xml:space="preserve"> i </w:t>
      </w:r>
      <w:r w:rsidRPr="00383A74">
        <w:rPr>
          <w:rFonts w:ascii="Calibri" w:eastAsia="Times New Roman" w:hAnsi="Calibri" w:cs="Times New Roman"/>
        </w:rPr>
        <w:t>srednjeg poduzetništva;</w:t>
      </w:r>
    </w:p>
    <w:p w14:paraId="288983D4" w14:textId="7777777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Zaštita okoliša;</w:t>
      </w:r>
    </w:p>
    <w:p w14:paraId="3E932B5D" w14:textId="77777777" w:rsidR="00233428" w:rsidRPr="00383A74" w:rsidRDefault="00233428" w:rsidP="00E35782">
      <w:pPr>
        <w:numPr>
          <w:ilvl w:val="0"/>
          <w:numId w:val="64"/>
        </w:numPr>
        <w:tabs>
          <w:tab w:val="left" w:pos="6912"/>
        </w:tabs>
        <w:rPr>
          <w:rFonts w:ascii="Calibri" w:eastAsia="Times New Roman" w:hAnsi="Calibri" w:cs="Times New Roman"/>
        </w:rPr>
      </w:pPr>
      <w:r w:rsidRPr="00383A74">
        <w:rPr>
          <w:rFonts w:ascii="Calibri" w:eastAsia="Times New Roman" w:hAnsi="Calibri" w:cs="Times New Roman"/>
        </w:rPr>
        <w:t>Potpora održivom razvoju sektoru energetike.</w:t>
      </w:r>
    </w:p>
    <w:p w14:paraId="2EF37656" w14:textId="7752A1A3"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O financijskoj snazi institucije svjedoči vrhunski kreditni rejting (AAA) uslijed čega je EIB u mogućnosti pribavljati sredstva po vrlo povoljnim uvjetima. EIB posluje prema neprofitnim načelima, stoga korisnici zajmova mogu računati na niske troškove kapitala</w:t>
      </w:r>
      <w:r w:rsidR="000509A0">
        <w:rPr>
          <w:rFonts w:ascii="Calibri" w:eastAsia="Times New Roman" w:hAnsi="Calibri" w:cs="Times New Roman"/>
        </w:rPr>
        <w:t xml:space="preserve"> i </w:t>
      </w:r>
      <w:r w:rsidRPr="00383A74">
        <w:rPr>
          <w:rFonts w:ascii="Calibri" w:eastAsia="Times New Roman" w:hAnsi="Calibri" w:cs="Times New Roman"/>
        </w:rPr>
        <w:t xml:space="preserve">duge rokove otplate uz mogućnost počeka. </w:t>
      </w:r>
    </w:p>
    <w:p w14:paraId="4D0F9C21" w14:textId="380FE8D8"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Usluge EIB za korisnike iz javnog</w:t>
      </w:r>
      <w:r w:rsidR="000509A0">
        <w:rPr>
          <w:rFonts w:ascii="Calibri" w:eastAsia="Times New Roman" w:hAnsi="Calibri" w:cs="Times New Roman"/>
        </w:rPr>
        <w:t xml:space="preserve"> i </w:t>
      </w:r>
      <w:r w:rsidRPr="00383A74">
        <w:rPr>
          <w:rFonts w:ascii="Calibri" w:eastAsia="Times New Roman" w:hAnsi="Calibri" w:cs="Times New Roman"/>
        </w:rPr>
        <w:t>privatnog sektora se dijele u 4 osnovne grupe:</w:t>
      </w:r>
    </w:p>
    <w:p w14:paraId="6AE5847D" w14:textId="7777777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Davanje individualnih, posrednih ili skupnih zajmova;</w:t>
      </w:r>
    </w:p>
    <w:p w14:paraId="02189BD6" w14:textId="7777777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Izdavanje garancija na zajmove;</w:t>
      </w:r>
    </w:p>
    <w:p w14:paraId="051F0DEE" w14:textId="7777777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Pružanje tehničke pomoći putem specijaliziranih instrumenata: ELENA, JASPERS;</w:t>
      </w:r>
    </w:p>
    <w:p w14:paraId="136604E2" w14:textId="55647F68" w:rsidR="00233428" w:rsidRPr="00383A74" w:rsidRDefault="00233428" w:rsidP="00E35782">
      <w:pPr>
        <w:numPr>
          <w:ilvl w:val="0"/>
          <w:numId w:val="64"/>
        </w:numPr>
        <w:tabs>
          <w:tab w:val="left" w:pos="6912"/>
        </w:tabs>
        <w:rPr>
          <w:rFonts w:ascii="Calibri" w:eastAsia="Times New Roman" w:hAnsi="Calibri" w:cs="Times New Roman"/>
        </w:rPr>
      </w:pPr>
      <w:r w:rsidRPr="00383A74">
        <w:rPr>
          <w:rFonts w:ascii="Calibri" w:eastAsia="Times New Roman" w:hAnsi="Calibri" w:cs="Times New Roman"/>
        </w:rPr>
        <w:t>Financiranje projekata putem fondova</w:t>
      </w:r>
      <w:r w:rsidR="000509A0">
        <w:rPr>
          <w:rFonts w:ascii="Calibri" w:eastAsia="Times New Roman" w:hAnsi="Calibri" w:cs="Times New Roman"/>
        </w:rPr>
        <w:t xml:space="preserve"> i </w:t>
      </w:r>
      <w:r w:rsidRPr="00383A74">
        <w:rPr>
          <w:rFonts w:ascii="Calibri" w:eastAsia="Times New Roman" w:hAnsi="Calibri" w:cs="Times New Roman"/>
        </w:rPr>
        <w:t>posebnih instrumenata: EIF, JEREMIE, JASMINE, JESSICA.</w:t>
      </w:r>
    </w:p>
    <w:p w14:paraId="4BD61D05" w14:textId="2F1BA737"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Individualni zajmovi se dodjeljuju za infrastrukturne projekte na području transporta, energetike, zaštite okoliša, industrije, uslužnih djelatnosti, zdravstva</w:t>
      </w:r>
      <w:r w:rsidR="000509A0">
        <w:rPr>
          <w:rFonts w:ascii="Calibri" w:eastAsia="Times New Roman" w:hAnsi="Calibri" w:cs="Times New Roman"/>
        </w:rPr>
        <w:t xml:space="preserve"> i </w:t>
      </w:r>
      <w:r w:rsidRPr="00383A74">
        <w:rPr>
          <w:rFonts w:ascii="Calibri" w:eastAsia="Times New Roman" w:hAnsi="Calibri" w:cs="Times New Roman"/>
        </w:rPr>
        <w:t>školstva, financirane direktno preko EIB,</w:t>
      </w:r>
      <w:r w:rsidR="00B25B9E">
        <w:rPr>
          <w:rFonts w:ascii="Calibri" w:eastAsia="Times New Roman" w:hAnsi="Calibri" w:cs="Times New Roman"/>
        </w:rPr>
        <w:t xml:space="preserve"> </w:t>
      </w:r>
      <w:r w:rsidRPr="00383A74">
        <w:rPr>
          <w:rFonts w:ascii="Calibri" w:eastAsia="Times New Roman" w:hAnsi="Calibri" w:cs="Times New Roman"/>
        </w:rPr>
        <w:t>vrijednosti investicije</w:t>
      </w:r>
      <w:r w:rsidR="00B25B9E">
        <w:rPr>
          <w:rFonts w:ascii="Calibri" w:eastAsia="Times New Roman" w:hAnsi="Calibri" w:cs="Times New Roman"/>
        </w:rPr>
        <w:t xml:space="preserve"> </w:t>
      </w:r>
      <w:r w:rsidRPr="00383A74">
        <w:rPr>
          <w:rFonts w:ascii="Calibri" w:eastAsia="Times New Roman" w:hAnsi="Calibri" w:cs="Times New Roman"/>
        </w:rPr>
        <w:t>veće od 25 milijuna Eura. Visine kredita nisu ograničene, razdoblje povrata se kreće od 5 do 12 godina za industrijske projekte, te 15 - 25 godina za investicije u infrastrukturu</w:t>
      </w:r>
      <w:r w:rsidR="000509A0">
        <w:rPr>
          <w:rFonts w:ascii="Calibri" w:eastAsia="Times New Roman" w:hAnsi="Calibri" w:cs="Times New Roman"/>
        </w:rPr>
        <w:t xml:space="preserve"> i </w:t>
      </w:r>
      <w:r w:rsidRPr="00383A74">
        <w:rPr>
          <w:rFonts w:ascii="Calibri" w:eastAsia="Times New Roman" w:hAnsi="Calibri" w:cs="Times New Roman"/>
        </w:rPr>
        <w:t>energetiku, pri čemu EIB</w:t>
      </w:r>
      <w:r w:rsidR="00B25B9E">
        <w:rPr>
          <w:rFonts w:ascii="Calibri" w:eastAsia="Times New Roman" w:hAnsi="Calibri" w:cs="Times New Roman"/>
        </w:rPr>
        <w:t xml:space="preserve"> </w:t>
      </w:r>
      <w:r w:rsidRPr="00383A74">
        <w:rPr>
          <w:rFonts w:ascii="Calibri" w:eastAsia="Times New Roman" w:hAnsi="Calibri" w:cs="Times New Roman"/>
        </w:rPr>
        <w:t>standardno financira do 50% investicije. Kamatne stope mogu biti fiksne ili varijabilne, uz mogućnost počeka otplate glavnice uz obavezno osiguranje zajma</w:t>
      </w:r>
      <w:r w:rsidR="00B25B9E">
        <w:rPr>
          <w:rFonts w:ascii="Calibri" w:eastAsia="Times New Roman" w:hAnsi="Calibri" w:cs="Times New Roman"/>
        </w:rPr>
        <w:t xml:space="preserve"> </w:t>
      </w:r>
      <w:r w:rsidRPr="00383A74">
        <w:rPr>
          <w:rFonts w:ascii="Calibri" w:eastAsia="Times New Roman" w:hAnsi="Calibri" w:cs="Times New Roman"/>
        </w:rPr>
        <w:t>bankarskom garancijom ili nekim drugim prvoklasnim instrumentom osiguranja.</w:t>
      </w:r>
    </w:p>
    <w:p w14:paraId="70242BFB" w14:textId="288AF9D0"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Posredni zajam se uglavnom dodjeljuju malim</w:t>
      </w:r>
      <w:r w:rsidR="000509A0">
        <w:rPr>
          <w:rFonts w:ascii="Calibri" w:eastAsia="Times New Roman" w:hAnsi="Calibri" w:cs="Times New Roman"/>
        </w:rPr>
        <w:t xml:space="preserve"> i </w:t>
      </w:r>
      <w:r w:rsidRPr="00383A74">
        <w:rPr>
          <w:rFonts w:ascii="Calibri" w:eastAsia="Times New Roman" w:hAnsi="Calibri" w:cs="Times New Roman"/>
        </w:rPr>
        <w:t>srednjim poduzećima</w:t>
      </w:r>
      <w:r w:rsidR="000509A0">
        <w:rPr>
          <w:rFonts w:ascii="Calibri" w:eastAsia="Times New Roman" w:hAnsi="Calibri" w:cs="Times New Roman"/>
        </w:rPr>
        <w:t xml:space="preserve"> i </w:t>
      </w:r>
      <w:r w:rsidRPr="00383A74">
        <w:rPr>
          <w:rFonts w:ascii="Calibri" w:eastAsia="Times New Roman" w:hAnsi="Calibri" w:cs="Times New Roman"/>
        </w:rPr>
        <w:t>jedinicama lokalne uprave uz posredovanje banke partnera u zemlji samog investitora. Visina zajma kreće se u rasponu od 40.000 do 25 milijuna Eura, a financira se 100% vrijednosti investicije za projekte u industriji</w:t>
      </w:r>
      <w:r w:rsidR="000509A0">
        <w:rPr>
          <w:rFonts w:ascii="Calibri" w:eastAsia="Times New Roman" w:hAnsi="Calibri" w:cs="Times New Roman"/>
        </w:rPr>
        <w:t xml:space="preserve"> i </w:t>
      </w:r>
      <w:r w:rsidRPr="00383A74">
        <w:rPr>
          <w:rFonts w:ascii="Calibri" w:eastAsia="Times New Roman" w:hAnsi="Calibri" w:cs="Times New Roman"/>
        </w:rPr>
        <w:t>uslužni djelatnostima, modernizaciju tehnologije, energetske uštede, zaštitu okoliša</w:t>
      </w:r>
      <w:r w:rsidR="000509A0">
        <w:rPr>
          <w:rFonts w:ascii="Calibri" w:eastAsia="Times New Roman" w:hAnsi="Calibri" w:cs="Times New Roman"/>
        </w:rPr>
        <w:t xml:space="preserve"> i </w:t>
      </w:r>
      <w:r w:rsidRPr="00383A74">
        <w:rPr>
          <w:rFonts w:ascii="Calibri" w:eastAsia="Times New Roman" w:hAnsi="Calibri" w:cs="Times New Roman"/>
        </w:rPr>
        <w:t>poboljšanje infrastrukture. U slučajevima kada investitori ne mogu zadovoljiti uvjet o minimalnoj visini investicije od 25 milijuna Eura, postoji mogućnost grupiranja većeg broja individualnih projekata</w:t>
      </w:r>
      <w:r w:rsidR="000509A0">
        <w:rPr>
          <w:rFonts w:ascii="Calibri" w:eastAsia="Times New Roman" w:hAnsi="Calibri" w:cs="Times New Roman"/>
        </w:rPr>
        <w:t xml:space="preserve"> i </w:t>
      </w:r>
      <w:r w:rsidRPr="00383A74">
        <w:rPr>
          <w:rFonts w:ascii="Calibri" w:eastAsia="Times New Roman" w:hAnsi="Calibri" w:cs="Times New Roman"/>
        </w:rPr>
        <w:t>dodjele skupnih zajmova.</w:t>
      </w:r>
    </w:p>
    <w:p w14:paraId="36B83891" w14:textId="769E5889"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lastRenderedPageBreak/>
        <w:t>Prilikom apliciranja projekta za zajam od EIB ne postoji standardna dokumentacija niti upitnik koji treba popuniti. Međutim, za svaki projekt potrebno je izraditi studiju isplativosti, pribaviti potrebne zakonske dozvole, navesti detaljne tehničke specifikacije projekta, relevantne podatke o investitoru, kreirati plan troškova</w:t>
      </w:r>
      <w:r w:rsidR="000509A0">
        <w:rPr>
          <w:rFonts w:ascii="Calibri" w:eastAsia="Times New Roman" w:hAnsi="Calibri" w:cs="Times New Roman"/>
        </w:rPr>
        <w:t xml:space="preserve"> i </w:t>
      </w:r>
      <w:r w:rsidRPr="00383A74">
        <w:rPr>
          <w:rFonts w:ascii="Calibri" w:eastAsia="Times New Roman" w:hAnsi="Calibri" w:cs="Times New Roman"/>
        </w:rPr>
        <w:t xml:space="preserve">financijsku analizu, te napraviti studiju utjecaja na okoliš. Postoji mogućnost kombiniranja zajmova EIB sa sredstvima dobivenim iz ESI fondova. </w:t>
      </w:r>
    </w:p>
    <w:p w14:paraId="1858C732" w14:textId="716B1A91" w:rsidR="00233428" w:rsidRPr="00383A74" w:rsidRDefault="00233428" w:rsidP="00E16DFD">
      <w:pPr>
        <w:pStyle w:val="Heading3"/>
        <w:ind w:left="993" w:hanging="993"/>
      </w:pPr>
      <w:bookmarkStart w:id="339" w:name="_Toc523743236"/>
      <w:bookmarkStart w:id="340" w:name="_Toc523743237"/>
      <w:bookmarkStart w:id="341" w:name="_Toc404268132"/>
      <w:bookmarkStart w:id="342" w:name="_Toc467589732"/>
      <w:bookmarkStart w:id="343" w:name="_Toc477265338"/>
      <w:bookmarkStart w:id="344" w:name="_Toc493666288"/>
      <w:bookmarkStart w:id="345" w:name="_Toc4156130"/>
      <w:bookmarkEnd w:id="339"/>
      <w:bookmarkEnd w:id="340"/>
      <w:r w:rsidRPr="00383A74">
        <w:t>Europska banka za obnovu</w:t>
      </w:r>
      <w:r w:rsidR="000509A0">
        <w:t xml:space="preserve"> i </w:t>
      </w:r>
      <w:r w:rsidRPr="00383A74">
        <w:t>razvoj (EBRD)</w:t>
      </w:r>
      <w:bookmarkEnd w:id="341"/>
      <w:bookmarkEnd w:id="342"/>
      <w:bookmarkEnd w:id="343"/>
      <w:bookmarkEnd w:id="344"/>
      <w:bookmarkEnd w:id="345"/>
    </w:p>
    <w:p w14:paraId="20DE88B5" w14:textId="05E3042C"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Europska banka za obnovu</w:t>
      </w:r>
      <w:r w:rsidR="000509A0">
        <w:rPr>
          <w:rFonts w:ascii="Calibri" w:eastAsia="Times New Roman" w:hAnsi="Calibri" w:cs="Times New Roman"/>
        </w:rPr>
        <w:t xml:space="preserve"> i </w:t>
      </w:r>
      <w:r w:rsidRPr="00383A74">
        <w:rPr>
          <w:rFonts w:ascii="Calibri" w:eastAsia="Times New Roman" w:hAnsi="Calibri" w:cs="Times New Roman"/>
        </w:rPr>
        <w:t>razvoj (EBRD) osnovana je 1991. godine kao međunarodna financijska institucija za pomoć tranzicijskim zemljama pri prelasku na tržišnu ekonomiju</w:t>
      </w:r>
      <w:r w:rsidR="000509A0">
        <w:rPr>
          <w:rFonts w:ascii="Calibri" w:eastAsia="Times New Roman" w:hAnsi="Calibri" w:cs="Times New Roman"/>
        </w:rPr>
        <w:t xml:space="preserve"> i </w:t>
      </w:r>
      <w:r w:rsidRPr="00383A74">
        <w:rPr>
          <w:rFonts w:ascii="Calibri" w:eastAsia="Times New Roman" w:hAnsi="Calibri" w:cs="Times New Roman"/>
        </w:rPr>
        <w:t>demokratsko uređenje. Sjedište banke je u Londonu, a nalazi se u vlasništvu 61 zemlje</w:t>
      </w:r>
      <w:r w:rsidR="000509A0">
        <w:rPr>
          <w:rFonts w:ascii="Calibri" w:eastAsia="Times New Roman" w:hAnsi="Calibri" w:cs="Times New Roman"/>
        </w:rPr>
        <w:t xml:space="preserve"> i </w:t>
      </w:r>
      <w:r w:rsidRPr="00383A74">
        <w:rPr>
          <w:rFonts w:ascii="Calibri" w:eastAsia="Times New Roman" w:hAnsi="Calibri" w:cs="Times New Roman"/>
        </w:rPr>
        <w:t>dvije međunarodne institucije: EU</w:t>
      </w:r>
      <w:r w:rsidR="000509A0">
        <w:rPr>
          <w:rFonts w:ascii="Calibri" w:eastAsia="Times New Roman" w:hAnsi="Calibri" w:cs="Times New Roman"/>
        </w:rPr>
        <w:t xml:space="preserve"> i </w:t>
      </w:r>
      <w:r w:rsidRPr="00383A74">
        <w:rPr>
          <w:rFonts w:ascii="Calibri" w:eastAsia="Times New Roman" w:hAnsi="Calibri" w:cs="Times New Roman"/>
        </w:rPr>
        <w:t>EIB. Investiranje se provodi u 29 zemalja Europe</w:t>
      </w:r>
      <w:r w:rsidR="000509A0">
        <w:rPr>
          <w:rFonts w:ascii="Calibri" w:eastAsia="Times New Roman" w:hAnsi="Calibri" w:cs="Times New Roman"/>
        </w:rPr>
        <w:t xml:space="preserve"> i </w:t>
      </w:r>
      <w:r w:rsidRPr="00383A74">
        <w:rPr>
          <w:rFonts w:ascii="Calibri" w:eastAsia="Times New Roman" w:hAnsi="Calibri" w:cs="Times New Roman"/>
        </w:rPr>
        <w:t>Azije, među kojima je</w:t>
      </w:r>
      <w:r w:rsidR="000509A0">
        <w:rPr>
          <w:rFonts w:ascii="Calibri" w:eastAsia="Times New Roman" w:hAnsi="Calibri" w:cs="Times New Roman"/>
        </w:rPr>
        <w:t xml:space="preserve"> i </w:t>
      </w:r>
      <w:r w:rsidRPr="00383A74">
        <w:rPr>
          <w:rFonts w:ascii="Calibri" w:eastAsia="Times New Roman" w:hAnsi="Calibri" w:cs="Times New Roman"/>
        </w:rPr>
        <w:t>Hrvatska.</w:t>
      </w:r>
    </w:p>
    <w:p w14:paraId="142F3C6E" w14:textId="7123C5D4"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Korisnici sredstava primarno dolaze iz privatnog sektora</w:t>
      </w:r>
      <w:r w:rsidR="000509A0">
        <w:rPr>
          <w:rFonts w:ascii="Calibri" w:eastAsia="Times New Roman" w:hAnsi="Calibri" w:cs="Times New Roman"/>
        </w:rPr>
        <w:t xml:space="preserve"> i </w:t>
      </w:r>
      <w:r w:rsidRPr="00383A74">
        <w:rPr>
          <w:rFonts w:ascii="Calibri" w:eastAsia="Times New Roman" w:hAnsi="Calibri" w:cs="Times New Roman"/>
        </w:rPr>
        <w:t>nisu u mogućnosti pronaći odgovarajuće izvore financiranja na tržištu. EBRD također usko surađuje s regionalnim bankama pri financiranju projekata u javnom sektoru.</w:t>
      </w:r>
    </w:p>
    <w:p w14:paraId="732E1609" w14:textId="77777777"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 xml:space="preserve">Uvjeti za financiranje projekta od strane EBRD banke su sljedeći: </w:t>
      </w:r>
    </w:p>
    <w:p w14:paraId="4A103B73" w14:textId="77777777" w:rsidR="00233428" w:rsidRPr="00383A74" w:rsidRDefault="00233428" w:rsidP="00E35782">
      <w:pPr>
        <w:numPr>
          <w:ilvl w:val="0"/>
          <w:numId w:val="65"/>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Projekt se mora odvijati u zemlji članici EBRD-a;</w:t>
      </w:r>
    </w:p>
    <w:p w14:paraId="6BC57F12" w14:textId="77777777" w:rsidR="00233428" w:rsidRPr="00383A74" w:rsidRDefault="00233428" w:rsidP="00E35782">
      <w:pPr>
        <w:numPr>
          <w:ilvl w:val="0"/>
          <w:numId w:val="64"/>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Projekt treba imati značajnu tržišnu perspektivu;</w:t>
      </w:r>
    </w:p>
    <w:p w14:paraId="12A8BCA5" w14:textId="77777777" w:rsidR="00233428" w:rsidRPr="00383A74" w:rsidRDefault="00233428" w:rsidP="00E35782">
      <w:pPr>
        <w:numPr>
          <w:ilvl w:val="0"/>
          <w:numId w:val="64"/>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Financijski doprinos investitora mora biti znatno veći nego EBRD-a;</w:t>
      </w:r>
    </w:p>
    <w:p w14:paraId="6E59B704" w14:textId="0469388D" w:rsidR="00233428" w:rsidRPr="00383A74" w:rsidRDefault="00233428" w:rsidP="00E35782">
      <w:pPr>
        <w:numPr>
          <w:ilvl w:val="0"/>
          <w:numId w:val="64"/>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Projekt treba</w:t>
      </w:r>
      <w:r w:rsidR="00B25B9E">
        <w:rPr>
          <w:rFonts w:ascii="Calibri" w:eastAsia="Times New Roman" w:hAnsi="Calibri" w:cs="Times New Roman"/>
        </w:rPr>
        <w:t xml:space="preserve"> </w:t>
      </w:r>
      <w:r w:rsidRPr="00383A74">
        <w:rPr>
          <w:rFonts w:ascii="Calibri" w:eastAsia="Times New Roman" w:hAnsi="Calibri" w:cs="Times New Roman"/>
        </w:rPr>
        <w:t>doprinositi lokalnom gospodarstvu</w:t>
      </w:r>
      <w:r w:rsidR="000509A0">
        <w:rPr>
          <w:rFonts w:ascii="Calibri" w:eastAsia="Times New Roman" w:hAnsi="Calibri" w:cs="Times New Roman"/>
        </w:rPr>
        <w:t xml:space="preserve"> i </w:t>
      </w:r>
      <w:r w:rsidRPr="00383A74">
        <w:rPr>
          <w:rFonts w:ascii="Calibri" w:eastAsia="Times New Roman" w:hAnsi="Calibri" w:cs="Times New Roman"/>
        </w:rPr>
        <w:t>razvitku privatnog sektora;</w:t>
      </w:r>
    </w:p>
    <w:p w14:paraId="02CF13AF" w14:textId="53AB274D" w:rsidR="00233428" w:rsidRPr="00383A74" w:rsidRDefault="00233428" w:rsidP="00E35782">
      <w:pPr>
        <w:numPr>
          <w:ilvl w:val="0"/>
          <w:numId w:val="64"/>
        </w:numPr>
        <w:tabs>
          <w:tab w:val="left" w:pos="720"/>
          <w:tab w:val="left" w:pos="6912"/>
        </w:tabs>
        <w:rPr>
          <w:rFonts w:ascii="Calibri" w:eastAsia="Times New Roman" w:hAnsi="Calibri" w:cs="Times New Roman"/>
        </w:rPr>
      </w:pPr>
      <w:r w:rsidRPr="00383A74">
        <w:rPr>
          <w:rFonts w:ascii="Calibri" w:eastAsia="Times New Roman" w:hAnsi="Calibri" w:cs="Times New Roman"/>
        </w:rPr>
        <w:t>Projekt treba zadovoljavati stroge financijske</w:t>
      </w:r>
      <w:r w:rsidR="000509A0">
        <w:rPr>
          <w:rFonts w:ascii="Calibri" w:eastAsia="Times New Roman" w:hAnsi="Calibri" w:cs="Times New Roman"/>
        </w:rPr>
        <w:t xml:space="preserve"> i </w:t>
      </w:r>
      <w:r w:rsidRPr="00383A74">
        <w:rPr>
          <w:rFonts w:ascii="Calibri" w:eastAsia="Times New Roman" w:hAnsi="Calibri" w:cs="Times New Roman"/>
        </w:rPr>
        <w:t>ekološke kriterije.</w:t>
      </w:r>
    </w:p>
    <w:p w14:paraId="5D32E488" w14:textId="7F8EF974"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EBRD standardno financira projekte na području poljoprivrede, energetske efikasnosti</w:t>
      </w:r>
      <w:r w:rsidR="000509A0">
        <w:rPr>
          <w:rFonts w:ascii="Calibri" w:eastAsia="Times New Roman" w:hAnsi="Calibri" w:cs="Times New Roman"/>
        </w:rPr>
        <w:t xml:space="preserve"> i </w:t>
      </w:r>
      <w:r w:rsidRPr="00383A74">
        <w:rPr>
          <w:rFonts w:ascii="Calibri" w:eastAsia="Times New Roman" w:hAnsi="Calibri" w:cs="Times New Roman"/>
        </w:rPr>
        <w:t>opskrbe energijom, industrijske proizvodnje, infrastrukture lokalne zajednice, turizma, telekomunikacija</w:t>
      </w:r>
      <w:r w:rsidR="000509A0">
        <w:rPr>
          <w:rFonts w:ascii="Calibri" w:eastAsia="Times New Roman" w:hAnsi="Calibri" w:cs="Times New Roman"/>
        </w:rPr>
        <w:t xml:space="preserve"> i </w:t>
      </w:r>
      <w:r w:rsidRPr="00383A74">
        <w:rPr>
          <w:rFonts w:ascii="Calibri" w:eastAsia="Times New Roman" w:hAnsi="Calibri" w:cs="Times New Roman"/>
        </w:rPr>
        <w:t>transporta. Financiranje EBRD-a vrši se putem zajmova</w:t>
      </w:r>
      <w:r w:rsidR="000509A0">
        <w:rPr>
          <w:rFonts w:ascii="Calibri" w:eastAsia="Times New Roman" w:hAnsi="Calibri" w:cs="Times New Roman"/>
        </w:rPr>
        <w:t xml:space="preserve"> i </w:t>
      </w:r>
      <w:r w:rsidRPr="00383A74">
        <w:rPr>
          <w:rFonts w:ascii="Calibri" w:eastAsia="Times New Roman" w:hAnsi="Calibri" w:cs="Times New Roman"/>
        </w:rPr>
        <w:t>vrijednosnih papira u vrijednosti od 5 - 230 milijuna Eura. Manje vrijedni projekti mogu se financirati posredno preko privatnih banaka ili posebnih razvojnih programa. Razdoblje otplate zajma kreće se od jedne do 15 godina. EBRD prilagođava uvjete financiranja ovisno o stanju regije</w:t>
      </w:r>
      <w:r w:rsidR="000509A0">
        <w:rPr>
          <w:rFonts w:ascii="Calibri" w:eastAsia="Times New Roman" w:hAnsi="Calibri" w:cs="Times New Roman"/>
        </w:rPr>
        <w:t xml:space="preserve"> i </w:t>
      </w:r>
      <w:r w:rsidRPr="00383A74">
        <w:rPr>
          <w:rFonts w:ascii="Calibri" w:eastAsia="Times New Roman" w:hAnsi="Calibri" w:cs="Times New Roman"/>
        </w:rPr>
        <w:t>sektora u kojem se odvija projekt. Doprinos EBRD-a u projektu iznosi do 35%, ali može biti</w:t>
      </w:r>
      <w:r w:rsidR="000509A0">
        <w:rPr>
          <w:rFonts w:ascii="Calibri" w:eastAsia="Times New Roman" w:hAnsi="Calibri" w:cs="Times New Roman"/>
        </w:rPr>
        <w:t xml:space="preserve"> i </w:t>
      </w:r>
      <w:r w:rsidRPr="00383A74">
        <w:rPr>
          <w:rFonts w:ascii="Calibri" w:eastAsia="Times New Roman" w:hAnsi="Calibri" w:cs="Times New Roman"/>
        </w:rPr>
        <w:t>veći.</w:t>
      </w:r>
    </w:p>
    <w:p w14:paraId="04762BF3" w14:textId="5F3CE69B" w:rsidR="00233428" w:rsidRPr="00383A74" w:rsidRDefault="00B25B9E" w:rsidP="00E16DFD">
      <w:pPr>
        <w:pStyle w:val="Heading3"/>
        <w:ind w:left="851" w:hanging="851"/>
      </w:pPr>
      <w:bookmarkStart w:id="346" w:name="_Toc404268135"/>
      <w:bookmarkStart w:id="347" w:name="_Toc467589733"/>
      <w:bookmarkStart w:id="348" w:name="_Toc477265339"/>
      <w:bookmarkStart w:id="349" w:name="_Toc493666289"/>
      <w:r>
        <w:t xml:space="preserve"> </w:t>
      </w:r>
      <w:bookmarkStart w:id="350" w:name="_Toc4156131"/>
      <w:r w:rsidR="00233428" w:rsidRPr="00383A74">
        <w:t>Europski fond za energetsku učinkovitost (EEEF)</w:t>
      </w:r>
      <w:bookmarkEnd w:id="346"/>
      <w:bookmarkEnd w:id="347"/>
      <w:bookmarkEnd w:id="348"/>
      <w:bookmarkEnd w:id="349"/>
      <w:bookmarkEnd w:id="350"/>
    </w:p>
    <w:p w14:paraId="4480BB08" w14:textId="4208A3CF"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Europska komisija osnovala je 1. srpnja 2008. Europski fond za energetsku učinkovitost kao dio nastavka paketa mjera za ekonomski oporavak zemalja Unije (</w:t>
      </w:r>
      <w:r w:rsidRPr="00291DF5">
        <w:rPr>
          <w:rFonts w:ascii="Calibri" w:eastAsia="Times New Roman" w:hAnsi="Calibri" w:cs="Times New Roman"/>
          <w:i/>
          <w:iCs/>
        </w:rPr>
        <w:t>European Energy Programme for Recovery</w:t>
      </w:r>
      <w:r w:rsidRPr="00383A74">
        <w:rPr>
          <w:rFonts w:ascii="Calibri" w:eastAsia="Times New Roman" w:hAnsi="Calibri" w:cs="Times New Roman"/>
        </w:rPr>
        <w:t>). Fond je namijenjen podupiranju projekata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obnovljivih izvora energije, s posebnim naglaskom na projekte u gradskim sredinama. Fond nudi sve vrste financijskih usluga uključujući srednjoročno</w:t>
      </w:r>
      <w:r w:rsidR="000509A0">
        <w:rPr>
          <w:rFonts w:ascii="Calibri" w:eastAsia="Times New Roman" w:hAnsi="Calibri" w:cs="Times New Roman"/>
        </w:rPr>
        <w:t xml:space="preserve"> i </w:t>
      </w:r>
      <w:r w:rsidRPr="00383A74">
        <w:rPr>
          <w:rFonts w:ascii="Calibri" w:eastAsia="Times New Roman" w:hAnsi="Calibri" w:cs="Times New Roman"/>
        </w:rPr>
        <w:t>dugoročno kreditiranje, izdavanje garancija, dužničkih vrijednosnih papira</w:t>
      </w:r>
      <w:r w:rsidR="000509A0">
        <w:rPr>
          <w:rFonts w:ascii="Calibri" w:eastAsia="Times New Roman" w:hAnsi="Calibri" w:cs="Times New Roman"/>
        </w:rPr>
        <w:t xml:space="preserve"> i </w:t>
      </w:r>
      <w:r w:rsidRPr="00383A74">
        <w:rPr>
          <w:rFonts w:ascii="Calibri" w:eastAsia="Times New Roman" w:hAnsi="Calibri" w:cs="Times New Roman"/>
        </w:rPr>
        <w:t>akreditiva te sredstva tehničke pomoći. Prihvatljiva veličina investicije kreće se između 5-25 milijuna Eura, uz omjer iznosa tehničke pomoći</w:t>
      </w:r>
      <w:r w:rsidR="000509A0">
        <w:rPr>
          <w:rFonts w:ascii="Calibri" w:eastAsia="Times New Roman" w:hAnsi="Calibri" w:cs="Times New Roman"/>
        </w:rPr>
        <w:t xml:space="preserve"> i </w:t>
      </w:r>
      <w:r w:rsidRPr="00383A74">
        <w:rPr>
          <w:rFonts w:ascii="Calibri" w:eastAsia="Times New Roman" w:hAnsi="Calibri" w:cs="Times New Roman"/>
        </w:rPr>
        <w:t>kapitalne investicije od 1:20. Udio sufinanciranja tehničke pomoći za pripremu projekta iznosi 100%.</w:t>
      </w:r>
    </w:p>
    <w:p w14:paraId="1993ECC3" w14:textId="3C9BFDDC"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Korisnici su primarno jedinice lokalne, odnosno regionalne uprave, ali na fond se mogu javljati</w:t>
      </w:r>
      <w:r w:rsidR="000509A0">
        <w:rPr>
          <w:rFonts w:ascii="Calibri" w:eastAsia="Times New Roman" w:hAnsi="Calibri" w:cs="Times New Roman"/>
        </w:rPr>
        <w:t xml:space="preserve"> i </w:t>
      </w:r>
      <w:r w:rsidRPr="00383A74">
        <w:rPr>
          <w:rFonts w:ascii="Calibri" w:eastAsia="Times New Roman" w:hAnsi="Calibri" w:cs="Times New Roman"/>
        </w:rPr>
        <w:t>privatna poduzeća</w:t>
      </w:r>
      <w:r w:rsidR="000509A0">
        <w:rPr>
          <w:rFonts w:ascii="Calibri" w:eastAsia="Times New Roman" w:hAnsi="Calibri" w:cs="Times New Roman"/>
        </w:rPr>
        <w:t xml:space="preserve"> i </w:t>
      </w:r>
      <w:r w:rsidRPr="00383A74">
        <w:rPr>
          <w:rFonts w:ascii="Calibri" w:eastAsia="Times New Roman" w:hAnsi="Calibri" w:cs="Times New Roman"/>
        </w:rPr>
        <w:t xml:space="preserve">ESCO tvrtke. Inicijalni proračun fonda iznosi 265 milijuna Eura, uz udjel EU od 125 milijuna Eura, Europske investicijske banke od 75 milijuna Eura, Cassa Depositi e Prestiti SpA od 60 </w:t>
      </w:r>
      <w:r w:rsidRPr="00383A74">
        <w:rPr>
          <w:rFonts w:ascii="Calibri" w:eastAsia="Times New Roman" w:hAnsi="Calibri" w:cs="Times New Roman"/>
        </w:rPr>
        <w:lastRenderedPageBreak/>
        <w:t>milijuna Eura</w:t>
      </w:r>
      <w:r w:rsidR="000509A0">
        <w:rPr>
          <w:rFonts w:ascii="Calibri" w:eastAsia="Times New Roman" w:hAnsi="Calibri" w:cs="Times New Roman"/>
        </w:rPr>
        <w:t xml:space="preserve"> i </w:t>
      </w:r>
      <w:r w:rsidRPr="00383A74">
        <w:rPr>
          <w:rFonts w:ascii="Calibri" w:eastAsia="Times New Roman" w:hAnsi="Calibri" w:cs="Times New Roman"/>
        </w:rPr>
        <w:t>doprinosom Deutsche Bank koja upravlja samim fondom od 5 milijuna Eura. Krediti putem ovog fonda ne smiju biti veći od 25 milijuna Eura, a s realizacijom investicije mora se započeti unutar roka od tri godine. Pretpostavlja se da će uz doprinos privatnih investitora</w:t>
      </w:r>
      <w:r w:rsidR="000509A0">
        <w:rPr>
          <w:rFonts w:ascii="Calibri" w:eastAsia="Times New Roman" w:hAnsi="Calibri" w:cs="Times New Roman"/>
        </w:rPr>
        <w:t xml:space="preserve"> i </w:t>
      </w:r>
      <w:r w:rsidRPr="00383A74">
        <w:rPr>
          <w:rFonts w:ascii="Calibri" w:eastAsia="Times New Roman" w:hAnsi="Calibri" w:cs="Times New Roman"/>
        </w:rPr>
        <w:t>banaka inicijalni proračun fonda eventualno narasti do 800 milijuna Eura.</w:t>
      </w:r>
    </w:p>
    <w:p w14:paraId="5AEEB9EC" w14:textId="2E831A34" w:rsidR="00233428" w:rsidRPr="00383A74" w:rsidRDefault="00233428" w:rsidP="00E35782">
      <w:pPr>
        <w:pStyle w:val="Heading3"/>
        <w:ind w:left="900" w:hanging="900"/>
      </w:pPr>
      <w:bookmarkStart w:id="351" w:name="_Toc404268137"/>
      <w:bookmarkStart w:id="352" w:name="_Toc467589734"/>
      <w:bookmarkStart w:id="353" w:name="_Toc477265340"/>
      <w:bookmarkStart w:id="354" w:name="_Toc493666290"/>
      <w:bookmarkStart w:id="355" w:name="_Toc4156132"/>
      <w:r w:rsidRPr="00383A74">
        <w:t>Program financijske podrške projektima obnovljive energije za Zapadni</w:t>
      </w:r>
      <w:r w:rsidR="00AB2731">
        <w:t xml:space="preserve"> </w:t>
      </w:r>
      <w:r w:rsidRPr="00383A74">
        <w:t>Balkan II (</w:t>
      </w:r>
      <w:r w:rsidRPr="00291DF5">
        <w:rPr>
          <w:i/>
          <w:iCs/>
        </w:rPr>
        <w:t>WeBSEFF II</w:t>
      </w:r>
      <w:r w:rsidRPr="00383A74">
        <w:t>)</w:t>
      </w:r>
      <w:bookmarkEnd w:id="351"/>
      <w:bookmarkEnd w:id="352"/>
      <w:bookmarkEnd w:id="353"/>
      <w:bookmarkEnd w:id="354"/>
      <w:bookmarkEnd w:id="355"/>
    </w:p>
    <w:p w14:paraId="135F7EB6" w14:textId="5A78CFC4"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 xml:space="preserve">Na temelju uspješnog fonda </w:t>
      </w:r>
      <w:r w:rsidRPr="00291DF5">
        <w:rPr>
          <w:rFonts w:ascii="Calibri" w:eastAsia="Times New Roman" w:hAnsi="Calibri" w:cs="Times New Roman"/>
          <w:i/>
          <w:iCs/>
        </w:rPr>
        <w:t xml:space="preserve">WeBSEDFF </w:t>
      </w:r>
      <w:r w:rsidRPr="00383A74">
        <w:rPr>
          <w:rFonts w:ascii="Calibri" w:eastAsia="Times New Roman" w:hAnsi="Calibri" w:cs="Times New Roman"/>
        </w:rPr>
        <w:t>osnovanog 2009. godine od strane Europske banke za obnovu</w:t>
      </w:r>
      <w:r w:rsidR="000509A0">
        <w:rPr>
          <w:rFonts w:ascii="Calibri" w:eastAsia="Times New Roman" w:hAnsi="Calibri" w:cs="Times New Roman"/>
        </w:rPr>
        <w:t xml:space="preserve"> i </w:t>
      </w:r>
      <w:r w:rsidRPr="00383A74">
        <w:rPr>
          <w:rFonts w:ascii="Calibri" w:eastAsia="Times New Roman" w:hAnsi="Calibri" w:cs="Times New Roman"/>
        </w:rPr>
        <w:t>razvoj pokrenut je 2013. godine novi program pod nazivom Program financijske podrške projektima obnovljive energije za Zapadni Balkan II (</w:t>
      </w:r>
      <w:r w:rsidRPr="00291DF5">
        <w:rPr>
          <w:rFonts w:ascii="Calibri" w:eastAsia="Times New Roman" w:hAnsi="Calibri" w:cs="Times New Roman"/>
          <w:i/>
          <w:iCs/>
        </w:rPr>
        <w:t>WeBSEFF II</w:t>
      </w:r>
      <w:r w:rsidRPr="00383A74">
        <w:rPr>
          <w:rFonts w:ascii="Calibri" w:eastAsia="Times New Roman" w:hAnsi="Calibri" w:cs="Times New Roman"/>
        </w:rPr>
        <w:t>). Program je namijenjen kreditiranju projekata energetski održivog razvitka u zemljama tzv. Zapadnog Balkana, a provodi se putem regionalnih partnerskih banaka (Zagrebačka banka d.d.). Proračun fonda iznosi 75 milijuna Eura, a otvoren je podjednako investitorima iz privatnog</w:t>
      </w:r>
      <w:r w:rsidR="000509A0">
        <w:rPr>
          <w:rFonts w:ascii="Calibri" w:eastAsia="Times New Roman" w:hAnsi="Calibri" w:cs="Times New Roman"/>
        </w:rPr>
        <w:t xml:space="preserve"> i </w:t>
      </w:r>
      <w:r w:rsidRPr="00383A74">
        <w:rPr>
          <w:rFonts w:ascii="Calibri" w:eastAsia="Times New Roman" w:hAnsi="Calibri" w:cs="Times New Roman"/>
        </w:rPr>
        <w:t xml:space="preserve">javnog sektora. Europska unija podupire </w:t>
      </w:r>
      <w:r w:rsidRPr="00291DF5">
        <w:rPr>
          <w:rFonts w:ascii="Calibri" w:eastAsia="Times New Roman" w:hAnsi="Calibri" w:cs="Times New Roman"/>
          <w:i/>
          <w:iCs/>
        </w:rPr>
        <w:t xml:space="preserve">WeBSEFF </w:t>
      </w:r>
      <w:r w:rsidRPr="00383A74">
        <w:rPr>
          <w:rFonts w:ascii="Calibri" w:eastAsia="Times New Roman" w:hAnsi="Calibri" w:cs="Times New Roman"/>
        </w:rPr>
        <w:t>II sa 11,5 milijuna Eura bespovratnih sredstava koji su namijenjeni za tehničku, konzultantsku pomoć investitorima, ali</w:t>
      </w:r>
      <w:r w:rsidR="000509A0">
        <w:rPr>
          <w:rFonts w:ascii="Calibri" w:eastAsia="Times New Roman" w:hAnsi="Calibri" w:cs="Times New Roman"/>
        </w:rPr>
        <w:t xml:space="preserve"> i </w:t>
      </w:r>
      <w:r w:rsidRPr="00383A74">
        <w:rPr>
          <w:rFonts w:ascii="Calibri" w:eastAsia="Times New Roman" w:hAnsi="Calibri" w:cs="Times New Roman"/>
        </w:rPr>
        <w:t xml:space="preserve">za projekte koji ostvare značajne uštede energije. </w:t>
      </w:r>
    </w:p>
    <w:p w14:paraId="518CB5C7" w14:textId="77777777"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Naime, poticaji u obliku smanjenja glavnice kredita odobravaju se ako projekt ostvari minimalne uštede od:</w:t>
      </w:r>
    </w:p>
    <w:p w14:paraId="1E266CD6" w14:textId="77777777" w:rsidR="00233428" w:rsidRPr="00383A74" w:rsidRDefault="00233428" w:rsidP="00E35782">
      <w:pPr>
        <w:numPr>
          <w:ilvl w:val="0"/>
          <w:numId w:val="66"/>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20% smanjenja emisije CO</w:t>
      </w:r>
      <w:r w:rsidRPr="00383A74">
        <w:rPr>
          <w:rFonts w:ascii="Calibri" w:eastAsia="Times New Roman" w:hAnsi="Calibri" w:cs="Times New Roman"/>
          <w:vertAlign w:val="subscript"/>
        </w:rPr>
        <w:t xml:space="preserve">2 </w:t>
      </w:r>
      <w:r w:rsidRPr="00383A74">
        <w:rPr>
          <w:rFonts w:ascii="Calibri" w:eastAsia="Times New Roman" w:hAnsi="Calibri" w:cs="Times New Roman"/>
        </w:rPr>
        <w:t>za investiranje u novu, energetski učinkovitiju opremu;</w:t>
      </w:r>
    </w:p>
    <w:p w14:paraId="432A038A" w14:textId="77777777" w:rsidR="00233428" w:rsidRPr="00383A74" w:rsidRDefault="00233428" w:rsidP="00E35782">
      <w:pPr>
        <w:numPr>
          <w:ilvl w:val="0"/>
          <w:numId w:val="66"/>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30% smanjenja potrošnje energije za rekonstrukciju postojećih zgrada;</w:t>
      </w:r>
    </w:p>
    <w:p w14:paraId="3DD6AF02" w14:textId="77777777" w:rsidR="00233428" w:rsidRPr="00383A74" w:rsidRDefault="00233428" w:rsidP="00E35782">
      <w:pPr>
        <w:numPr>
          <w:ilvl w:val="0"/>
          <w:numId w:val="66"/>
        </w:numPr>
        <w:tabs>
          <w:tab w:val="left" w:pos="720"/>
          <w:tab w:val="left" w:pos="6912"/>
        </w:tabs>
        <w:rPr>
          <w:rFonts w:ascii="Calibri" w:eastAsia="Times New Roman" w:hAnsi="Calibri" w:cs="Times New Roman"/>
        </w:rPr>
      </w:pPr>
      <w:r w:rsidRPr="00383A74">
        <w:rPr>
          <w:rFonts w:ascii="Calibri" w:eastAsia="Times New Roman" w:hAnsi="Calibri" w:cs="Times New Roman"/>
        </w:rPr>
        <w:t>Projekti obnovljivih izvora energije moraju ostvariti povrat investicije unutar 15 godina te imati internu stopu rentabilnosti veću od 10%.</w:t>
      </w:r>
    </w:p>
    <w:p w14:paraId="7004AC73" w14:textId="67C777BB"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Procjenu isplativosti ulaganja provode</w:t>
      </w:r>
      <w:r w:rsidR="00B25B9E">
        <w:rPr>
          <w:rFonts w:ascii="Calibri" w:eastAsia="Times New Roman" w:hAnsi="Calibri" w:cs="Times New Roman"/>
        </w:rPr>
        <w:t xml:space="preserve"> </w:t>
      </w:r>
      <w:r w:rsidRPr="00383A74">
        <w:rPr>
          <w:rFonts w:ascii="Calibri" w:eastAsia="Times New Roman" w:hAnsi="Calibri" w:cs="Times New Roman"/>
        </w:rPr>
        <w:t>projektni konzultanti, a odabrani će biti samo dugoročno financijski održivi projekti. Uloga konzultanata svodi se na provjeru sukladnosti projekta sa zadanim kriterijima, procjenu potencijalnog smanjenja emisije CO</w:t>
      </w:r>
      <w:r w:rsidRPr="00383A74">
        <w:rPr>
          <w:rFonts w:ascii="Calibri" w:eastAsia="Times New Roman" w:hAnsi="Calibri" w:cs="Times New Roman"/>
          <w:vertAlign w:val="subscript"/>
        </w:rPr>
        <w:t>2</w:t>
      </w:r>
      <w:r w:rsidRPr="00383A74">
        <w:rPr>
          <w:rFonts w:ascii="Calibri" w:eastAsia="Times New Roman" w:hAnsi="Calibri" w:cs="Times New Roman"/>
        </w:rPr>
        <w:t>, kao</w:t>
      </w:r>
      <w:r w:rsidR="000509A0">
        <w:rPr>
          <w:rFonts w:ascii="Calibri" w:eastAsia="Times New Roman" w:hAnsi="Calibri" w:cs="Times New Roman"/>
        </w:rPr>
        <w:t xml:space="preserve"> i </w:t>
      </w:r>
      <w:r w:rsidRPr="00383A74">
        <w:rPr>
          <w:rFonts w:ascii="Calibri" w:eastAsia="Times New Roman" w:hAnsi="Calibri" w:cs="Times New Roman"/>
        </w:rPr>
        <w:t>pružanje savjetodavne pomoći.</w:t>
      </w:r>
    </w:p>
    <w:p w14:paraId="7E58B7FA" w14:textId="6A491F7E" w:rsidR="00233428" w:rsidRPr="00383A74" w:rsidRDefault="00233428" w:rsidP="00E35782">
      <w:pPr>
        <w:pStyle w:val="Heading3"/>
        <w:ind w:left="810" w:hanging="810"/>
      </w:pPr>
      <w:bookmarkStart w:id="356" w:name="_Toc404268139"/>
      <w:bookmarkStart w:id="357" w:name="_Toc467589735"/>
      <w:bookmarkStart w:id="358" w:name="_Toc477265341"/>
      <w:bookmarkStart w:id="359" w:name="_Toc493666291"/>
      <w:bookmarkStart w:id="360" w:name="_Toc4156133"/>
      <w:r w:rsidRPr="00383A74">
        <w:t>Programi</w:t>
      </w:r>
      <w:r w:rsidR="000509A0">
        <w:t xml:space="preserve"> i </w:t>
      </w:r>
      <w:r w:rsidRPr="00383A74">
        <w:t>posebni instrumenti potpore Europske unije</w:t>
      </w:r>
      <w:bookmarkEnd w:id="356"/>
      <w:bookmarkEnd w:id="357"/>
      <w:bookmarkEnd w:id="358"/>
      <w:bookmarkEnd w:id="359"/>
      <w:bookmarkEnd w:id="360"/>
      <w:r w:rsidRPr="00383A74">
        <w:t xml:space="preserve"> </w:t>
      </w:r>
    </w:p>
    <w:p w14:paraId="2C96E9EF" w14:textId="77777777" w:rsidR="00233428" w:rsidRPr="00383A74" w:rsidRDefault="00233428" w:rsidP="00E35782">
      <w:pPr>
        <w:pStyle w:val="Heading4"/>
        <w:numPr>
          <w:ilvl w:val="0"/>
          <w:numId w:val="86"/>
        </w:numPr>
      </w:pPr>
      <w:bookmarkStart w:id="361" w:name="_Toc404268140"/>
      <w:bookmarkStart w:id="362" w:name="_Toc467589736"/>
      <w:bookmarkStart w:id="363" w:name="_Toc477265342"/>
      <w:bookmarkStart w:id="364" w:name="_Toc493666292"/>
      <w:r w:rsidRPr="00383A74">
        <w:t>Obzor 2020</w:t>
      </w:r>
      <w:bookmarkEnd w:id="361"/>
      <w:bookmarkEnd w:id="362"/>
      <w:bookmarkEnd w:id="363"/>
      <w:bookmarkEnd w:id="364"/>
    </w:p>
    <w:p w14:paraId="34992FE5" w14:textId="1FD2292E"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Obzor 2020 je novi okvirni program za razdoblje 2014.-2020. namijenjen financiranju istraživačkih</w:t>
      </w:r>
      <w:r w:rsidR="000509A0">
        <w:rPr>
          <w:rFonts w:ascii="Calibri" w:eastAsia="Times New Roman" w:hAnsi="Calibri" w:cs="Times New Roman"/>
        </w:rPr>
        <w:t xml:space="preserve"> i </w:t>
      </w:r>
      <w:r w:rsidRPr="00383A74">
        <w:rPr>
          <w:rFonts w:ascii="Calibri" w:eastAsia="Times New Roman" w:hAnsi="Calibri" w:cs="Times New Roman"/>
        </w:rPr>
        <w:t>inovacijskih projekata koji su se do 2013. godine provodili putem programa Inteligentna energija za Europu (IEE)</w:t>
      </w:r>
      <w:r w:rsidR="000509A0">
        <w:rPr>
          <w:rFonts w:ascii="Calibri" w:eastAsia="Times New Roman" w:hAnsi="Calibri" w:cs="Times New Roman"/>
        </w:rPr>
        <w:t xml:space="preserve"> i </w:t>
      </w:r>
      <w:r w:rsidRPr="00383A74">
        <w:rPr>
          <w:rFonts w:ascii="Calibri" w:eastAsia="Times New Roman" w:hAnsi="Calibri" w:cs="Times New Roman"/>
        </w:rPr>
        <w:t>Sedmog okvirnog programa (FP7). Temeljni cilj programa Obzor 2020 jest smanjivanje inovacijskog</w:t>
      </w:r>
      <w:r w:rsidR="000509A0">
        <w:rPr>
          <w:rFonts w:ascii="Calibri" w:eastAsia="Times New Roman" w:hAnsi="Calibri" w:cs="Times New Roman"/>
        </w:rPr>
        <w:t xml:space="preserve"> i </w:t>
      </w:r>
      <w:r w:rsidRPr="00383A74">
        <w:rPr>
          <w:rFonts w:ascii="Calibri" w:eastAsia="Times New Roman" w:hAnsi="Calibri" w:cs="Times New Roman"/>
        </w:rPr>
        <w:t>istraživačkog jaza u usporedbi sa SAD, Japanom</w:t>
      </w:r>
      <w:r w:rsidR="000509A0">
        <w:rPr>
          <w:rFonts w:ascii="Calibri" w:eastAsia="Times New Roman" w:hAnsi="Calibri" w:cs="Times New Roman"/>
        </w:rPr>
        <w:t xml:space="preserve"> i </w:t>
      </w:r>
      <w:r w:rsidRPr="00383A74">
        <w:rPr>
          <w:rFonts w:ascii="Calibri" w:eastAsia="Times New Roman" w:hAnsi="Calibri" w:cs="Times New Roman"/>
        </w:rPr>
        <w:t>Kinom te reduciranje daljnje fragmentacije istraživanja</w:t>
      </w:r>
      <w:r w:rsidR="000509A0">
        <w:rPr>
          <w:rFonts w:ascii="Calibri" w:eastAsia="Times New Roman" w:hAnsi="Calibri" w:cs="Times New Roman"/>
        </w:rPr>
        <w:t xml:space="preserve"> i </w:t>
      </w:r>
      <w:r w:rsidRPr="00383A74">
        <w:rPr>
          <w:rFonts w:ascii="Calibri" w:eastAsia="Times New Roman" w:hAnsi="Calibri" w:cs="Times New Roman"/>
        </w:rPr>
        <w:t>inovacija u Europi kroz učinkovitije upravljanje financijskim sredstvima. Program bi također trebao riješiti neke od najvećih zamjerki iz aktualnih FP7</w:t>
      </w:r>
      <w:r w:rsidR="000509A0">
        <w:rPr>
          <w:rFonts w:ascii="Calibri" w:eastAsia="Times New Roman" w:hAnsi="Calibri" w:cs="Times New Roman"/>
        </w:rPr>
        <w:t xml:space="preserve"> i </w:t>
      </w:r>
      <w:r w:rsidRPr="00383A74">
        <w:rPr>
          <w:rFonts w:ascii="Calibri" w:eastAsia="Times New Roman" w:hAnsi="Calibri" w:cs="Times New Roman"/>
        </w:rPr>
        <w:t>IEE programa poput pojednostavljivanja birokratske procedure u administriranju</w:t>
      </w:r>
      <w:r w:rsidR="000509A0">
        <w:rPr>
          <w:rFonts w:ascii="Calibri" w:eastAsia="Times New Roman" w:hAnsi="Calibri" w:cs="Times New Roman"/>
        </w:rPr>
        <w:t xml:space="preserve"> i </w:t>
      </w:r>
      <w:r w:rsidRPr="00383A74">
        <w:rPr>
          <w:rFonts w:ascii="Calibri" w:eastAsia="Times New Roman" w:hAnsi="Calibri" w:cs="Times New Roman"/>
        </w:rPr>
        <w:t>financijskom praćenju projekta. Također, dat će se snažna podrška fokusiranju istraživanja na tzv. društvene izazove (</w:t>
      </w:r>
      <w:r w:rsidRPr="005808FC">
        <w:rPr>
          <w:rFonts w:ascii="Calibri" w:eastAsia="Times New Roman" w:hAnsi="Calibri" w:cs="Times New Roman"/>
          <w:i/>
          <w:iCs/>
        </w:rPr>
        <w:t>eng. societal challanges</w:t>
      </w:r>
      <w:r w:rsidRPr="00383A74">
        <w:rPr>
          <w:rFonts w:ascii="Calibri" w:eastAsia="Times New Roman" w:hAnsi="Calibri" w:cs="Times New Roman"/>
        </w:rPr>
        <w:t>) u EU poput klimatskih promjena, energetske sigurnosti</w:t>
      </w:r>
      <w:r w:rsidR="000509A0">
        <w:rPr>
          <w:rFonts w:ascii="Calibri" w:eastAsia="Times New Roman" w:hAnsi="Calibri" w:cs="Times New Roman"/>
        </w:rPr>
        <w:t xml:space="preserve"> i </w:t>
      </w:r>
      <w:r w:rsidRPr="00383A74">
        <w:rPr>
          <w:rFonts w:ascii="Calibri" w:eastAsia="Times New Roman" w:hAnsi="Calibri" w:cs="Times New Roman"/>
        </w:rPr>
        <w:t>efikasnosti, starenja stanovništva</w:t>
      </w:r>
      <w:r w:rsidR="000509A0">
        <w:rPr>
          <w:rFonts w:ascii="Calibri" w:eastAsia="Times New Roman" w:hAnsi="Calibri" w:cs="Times New Roman"/>
        </w:rPr>
        <w:t xml:space="preserve"> i </w:t>
      </w:r>
      <w:r w:rsidRPr="00383A74">
        <w:rPr>
          <w:rFonts w:ascii="Calibri" w:eastAsia="Times New Roman" w:hAnsi="Calibri" w:cs="Times New Roman"/>
        </w:rPr>
        <w:t>efikasnog korištenja resursa bez štetnih posljedica po okoliš.</w:t>
      </w:r>
    </w:p>
    <w:p w14:paraId="73CF3543" w14:textId="5C828953"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Proračun Obzor 2020 u sedmogodišnjem razdoblju iznosi 80 milijardi Eura</w:t>
      </w:r>
      <w:r w:rsidR="000509A0">
        <w:rPr>
          <w:rFonts w:ascii="Calibri" w:eastAsia="Times New Roman" w:hAnsi="Calibri" w:cs="Times New Roman"/>
        </w:rPr>
        <w:t xml:space="preserve"> i </w:t>
      </w:r>
      <w:r w:rsidRPr="00383A74">
        <w:rPr>
          <w:rFonts w:ascii="Calibri" w:eastAsia="Times New Roman" w:hAnsi="Calibri" w:cs="Times New Roman"/>
        </w:rPr>
        <w:t>podijeljen je u skladu s prioritetima programa:</w:t>
      </w:r>
    </w:p>
    <w:p w14:paraId="6F3B39B5" w14:textId="16DB1729" w:rsidR="00233428" w:rsidRPr="00383A74" w:rsidRDefault="00233428" w:rsidP="00E35782">
      <w:pPr>
        <w:numPr>
          <w:ilvl w:val="0"/>
          <w:numId w:val="67"/>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lastRenderedPageBreak/>
        <w:t>Jačanje istraživanja</w:t>
      </w:r>
      <w:r w:rsidR="000509A0">
        <w:rPr>
          <w:rFonts w:ascii="Calibri" w:eastAsia="Times New Roman" w:hAnsi="Calibri" w:cs="Times New Roman"/>
        </w:rPr>
        <w:t xml:space="preserve"> i </w:t>
      </w:r>
      <w:r w:rsidRPr="00383A74">
        <w:rPr>
          <w:rFonts w:ascii="Calibri" w:eastAsia="Times New Roman" w:hAnsi="Calibri" w:cs="Times New Roman"/>
        </w:rPr>
        <w:t>znanstvenih kapaciteta EU (ukupno 24,6 milijardi Eura);</w:t>
      </w:r>
    </w:p>
    <w:p w14:paraId="4E21C406" w14:textId="1B61EE63" w:rsidR="00233428" w:rsidRPr="00383A74" w:rsidRDefault="00233428" w:rsidP="00E35782">
      <w:pPr>
        <w:numPr>
          <w:ilvl w:val="0"/>
          <w:numId w:val="67"/>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Tehnološki razvoj</w:t>
      </w:r>
      <w:r w:rsidR="000509A0">
        <w:rPr>
          <w:rFonts w:ascii="Calibri" w:eastAsia="Times New Roman" w:hAnsi="Calibri" w:cs="Times New Roman"/>
        </w:rPr>
        <w:t xml:space="preserve"> i </w:t>
      </w:r>
      <w:r w:rsidRPr="00383A74">
        <w:rPr>
          <w:rFonts w:ascii="Calibri" w:eastAsia="Times New Roman" w:hAnsi="Calibri" w:cs="Times New Roman"/>
        </w:rPr>
        <w:t>inovacije u industrijskom sektoru te olakšavanje pristupa izvorima financiranja za male</w:t>
      </w:r>
      <w:r w:rsidR="000509A0">
        <w:rPr>
          <w:rFonts w:ascii="Calibri" w:eastAsia="Times New Roman" w:hAnsi="Calibri" w:cs="Times New Roman"/>
        </w:rPr>
        <w:t xml:space="preserve"> i </w:t>
      </w:r>
      <w:r w:rsidRPr="00383A74">
        <w:rPr>
          <w:rFonts w:ascii="Calibri" w:eastAsia="Times New Roman" w:hAnsi="Calibri" w:cs="Times New Roman"/>
        </w:rPr>
        <w:t>srednje poduzetnike (ukupno 13,7 milijardi Eura);</w:t>
      </w:r>
    </w:p>
    <w:p w14:paraId="0069E9FC" w14:textId="17031CD1" w:rsidR="00233428" w:rsidRPr="00383A74" w:rsidRDefault="00233428" w:rsidP="00E35782">
      <w:pPr>
        <w:numPr>
          <w:ilvl w:val="0"/>
          <w:numId w:val="67"/>
        </w:numPr>
        <w:tabs>
          <w:tab w:val="left" w:pos="720"/>
          <w:tab w:val="left" w:pos="6912"/>
        </w:tabs>
        <w:rPr>
          <w:rFonts w:ascii="Calibri" w:eastAsia="Times New Roman" w:hAnsi="Calibri" w:cs="Times New Roman"/>
        </w:rPr>
      </w:pPr>
      <w:r w:rsidRPr="00383A74">
        <w:rPr>
          <w:rFonts w:ascii="Calibri" w:eastAsia="Times New Roman" w:hAnsi="Calibri" w:cs="Times New Roman"/>
        </w:rPr>
        <w:t>Rješavanje društvenih problema koji se odnose na klimatske promjene, sigurnost opskrbe energijom, održivi transport, poljoprivredu</w:t>
      </w:r>
      <w:r w:rsidR="000509A0">
        <w:rPr>
          <w:rFonts w:ascii="Calibri" w:eastAsia="Times New Roman" w:hAnsi="Calibri" w:cs="Times New Roman"/>
        </w:rPr>
        <w:t xml:space="preserve"> i </w:t>
      </w:r>
      <w:r w:rsidRPr="00383A74">
        <w:rPr>
          <w:rFonts w:ascii="Calibri" w:eastAsia="Times New Roman" w:hAnsi="Calibri" w:cs="Times New Roman"/>
        </w:rPr>
        <w:t>zdravlje građana (ukupno 31,8 milijardi Eura).</w:t>
      </w:r>
    </w:p>
    <w:p w14:paraId="7A4206D1" w14:textId="03CA505F"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Kombiniranjem znanstveno-istraživačkih aktivnosti te potpora industriji</w:t>
      </w:r>
      <w:r w:rsidR="000509A0">
        <w:rPr>
          <w:rFonts w:ascii="Calibri" w:eastAsia="Times New Roman" w:hAnsi="Calibri" w:cs="Times New Roman"/>
        </w:rPr>
        <w:t xml:space="preserve"> i </w:t>
      </w:r>
      <w:r w:rsidRPr="00383A74">
        <w:rPr>
          <w:rFonts w:ascii="Calibri" w:eastAsia="Times New Roman" w:hAnsi="Calibri" w:cs="Times New Roman"/>
        </w:rPr>
        <w:t>poduzetnicima, po prvi put su se pod istim programom našli projekti razvoja</w:t>
      </w:r>
      <w:r w:rsidR="000509A0">
        <w:rPr>
          <w:rFonts w:ascii="Calibri" w:eastAsia="Times New Roman" w:hAnsi="Calibri" w:cs="Times New Roman"/>
        </w:rPr>
        <w:t xml:space="preserve"> i </w:t>
      </w:r>
      <w:r w:rsidRPr="00383A74">
        <w:rPr>
          <w:rFonts w:ascii="Calibri" w:eastAsia="Times New Roman" w:hAnsi="Calibri" w:cs="Times New Roman"/>
        </w:rPr>
        <w:t>komercijalizacije, čime se želi stvoriti svojevrsna premosnica između ova dva sektora.</w:t>
      </w:r>
    </w:p>
    <w:p w14:paraId="520C6874" w14:textId="77777777" w:rsidR="00233428" w:rsidRPr="00AB2731" w:rsidRDefault="00233428" w:rsidP="00E35782">
      <w:pPr>
        <w:pStyle w:val="Heading4"/>
      </w:pPr>
      <w:bookmarkStart w:id="365" w:name="_Toc404268142"/>
      <w:bookmarkStart w:id="366" w:name="_Toc467589737"/>
      <w:bookmarkStart w:id="367" w:name="_Toc477265343"/>
      <w:bookmarkStart w:id="368" w:name="_Toc493666293"/>
      <w:r w:rsidRPr="00AB2731">
        <w:t>Europski programi teritorijalne suradnje</w:t>
      </w:r>
      <w:bookmarkEnd w:id="365"/>
      <w:bookmarkEnd w:id="366"/>
      <w:bookmarkEnd w:id="367"/>
      <w:bookmarkEnd w:id="368"/>
    </w:p>
    <w:p w14:paraId="410FFAFD" w14:textId="7224A20C"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Europski programi teritorijalne suradnje pokrenuti su s ciljem razvoja partnerstva u sektorima od strateške važnosti kako bi se unaprijedio proces teritorijalne, ekonomske</w:t>
      </w:r>
      <w:r w:rsidR="000509A0">
        <w:rPr>
          <w:rFonts w:ascii="Calibri" w:eastAsia="Times New Roman" w:hAnsi="Calibri" w:cs="Times New Roman"/>
        </w:rPr>
        <w:t xml:space="preserve"> i </w:t>
      </w:r>
      <w:r w:rsidRPr="00383A74">
        <w:rPr>
          <w:rFonts w:ascii="Calibri" w:eastAsia="Times New Roman" w:hAnsi="Calibri" w:cs="Times New Roman"/>
        </w:rPr>
        <w:t>socijalne integracije</w:t>
      </w:r>
      <w:r w:rsidR="000509A0">
        <w:rPr>
          <w:rFonts w:ascii="Calibri" w:eastAsia="Times New Roman" w:hAnsi="Calibri" w:cs="Times New Roman"/>
        </w:rPr>
        <w:t xml:space="preserve"> i </w:t>
      </w:r>
      <w:r w:rsidRPr="00383A74">
        <w:rPr>
          <w:rFonts w:ascii="Calibri" w:eastAsia="Times New Roman" w:hAnsi="Calibri" w:cs="Times New Roman"/>
        </w:rPr>
        <w:t>postigla kohezija, stabilnost</w:t>
      </w:r>
      <w:r w:rsidR="000509A0">
        <w:rPr>
          <w:rFonts w:ascii="Calibri" w:eastAsia="Times New Roman" w:hAnsi="Calibri" w:cs="Times New Roman"/>
        </w:rPr>
        <w:t xml:space="preserve"> i </w:t>
      </w:r>
      <w:r w:rsidRPr="00383A74">
        <w:rPr>
          <w:rFonts w:ascii="Calibri" w:eastAsia="Times New Roman" w:hAnsi="Calibri" w:cs="Times New Roman"/>
        </w:rPr>
        <w:t>konkurentnost na regionalnom planu. Programi se financiraju iz Europskog fonda za regionalni razvoj (EFRR)</w:t>
      </w:r>
      <w:r w:rsidR="000509A0">
        <w:rPr>
          <w:rFonts w:ascii="Calibri" w:eastAsia="Times New Roman" w:hAnsi="Calibri" w:cs="Times New Roman"/>
        </w:rPr>
        <w:t xml:space="preserve"> i </w:t>
      </w:r>
      <w:r w:rsidRPr="00383A74">
        <w:rPr>
          <w:rFonts w:ascii="Calibri" w:eastAsia="Times New Roman" w:hAnsi="Calibri" w:cs="Times New Roman"/>
        </w:rPr>
        <w:t>Instrumenta pretpristupne pomoći (IPA), ovisno o tome dolazi li prijavitelj iz zemlje članice Europske unije ili ne. Programi teritorijalne suradnje dijele se na:</w:t>
      </w:r>
    </w:p>
    <w:p w14:paraId="1D1C9561" w14:textId="77777777" w:rsidR="00233428" w:rsidRPr="00383A74" w:rsidRDefault="00233428" w:rsidP="00E35782">
      <w:pPr>
        <w:numPr>
          <w:ilvl w:val="0"/>
          <w:numId w:val="62"/>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Programe prekogranične suradnje</w:t>
      </w:r>
    </w:p>
    <w:p w14:paraId="6C9B5911" w14:textId="77777777" w:rsidR="00233428" w:rsidRPr="00383A74" w:rsidRDefault="00233428" w:rsidP="00E35782">
      <w:pPr>
        <w:numPr>
          <w:ilvl w:val="0"/>
          <w:numId w:val="62"/>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Programe transnacionalne suradnje</w:t>
      </w:r>
    </w:p>
    <w:p w14:paraId="1EB4CF2C" w14:textId="77777777" w:rsidR="00233428" w:rsidRPr="00383A74" w:rsidRDefault="00233428" w:rsidP="00E35782">
      <w:pPr>
        <w:numPr>
          <w:ilvl w:val="0"/>
          <w:numId w:val="62"/>
        </w:numPr>
        <w:tabs>
          <w:tab w:val="left" w:pos="720"/>
          <w:tab w:val="left" w:pos="6912"/>
        </w:tabs>
        <w:rPr>
          <w:rFonts w:ascii="Calibri" w:eastAsia="Times New Roman" w:hAnsi="Calibri" w:cs="Times New Roman"/>
        </w:rPr>
      </w:pPr>
      <w:r w:rsidRPr="00383A74">
        <w:rPr>
          <w:rFonts w:ascii="Calibri" w:eastAsia="Times New Roman" w:hAnsi="Calibri" w:cs="Times New Roman"/>
        </w:rPr>
        <w:t>Inter-regionalne programe</w:t>
      </w:r>
    </w:p>
    <w:p w14:paraId="197C9757" w14:textId="0269A5E4"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Do 2013. godine partneri iz Grada Zagreba bili su u mogućnosti sudjelovati na dva transnacionalna programa: Mediteran</w:t>
      </w:r>
      <w:r w:rsidR="000509A0">
        <w:rPr>
          <w:rFonts w:ascii="Calibri" w:eastAsia="Times New Roman" w:hAnsi="Calibri" w:cs="Times New Roman"/>
        </w:rPr>
        <w:t xml:space="preserve"> i </w:t>
      </w:r>
      <w:r w:rsidRPr="00383A74">
        <w:rPr>
          <w:rFonts w:ascii="Calibri" w:eastAsia="Times New Roman" w:hAnsi="Calibri" w:cs="Times New Roman"/>
        </w:rPr>
        <w:t xml:space="preserve">Jugoistočna Europa. U novom programskom razdoblju (2014.-2020.) aktualna su četiri transnacionalna programa: </w:t>
      </w:r>
    </w:p>
    <w:p w14:paraId="5BC69B9A" w14:textId="77777777" w:rsidR="00233428" w:rsidRPr="00383A74" w:rsidRDefault="00233428" w:rsidP="00E35782">
      <w:pPr>
        <w:numPr>
          <w:ilvl w:val="0"/>
          <w:numId w:val="68"/>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Središnja Europa</w:t>
      </w:r>
    </w:p>
    <w:p w14:paraId="6D4C4938" w14:textId="77777777" w:rsidR="00233428" w:rsidRPr="00383A74" w:rsidRDefault="00233428" w:rsidP="00E35782">
      <w:pPr>
        <w:numPr>
          <w:ilvl w:val="0"/>
          <w:numId w:val="68"/>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Mediteran (MED)</w:t>
      </w:r>
    </w:p>
    <w:p w14:paraId="22A1E73A" w14:textId="77777777" w:rsidR="00233428" w:rsidRPr="00383A74" w:rsidRDefault="00233428" w:rsidP="00E35782">
      <w:pPr>
        <w:numPr>
          <w:ilvl w:val="0"/>
          <w:numId w:val="68"/>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Dunav</w:t>
      </w:r>
    </w:p>
    <w:p w14:paraId="3830558B" w14:textId="77777777" w:rsidR="00233428" w:rsidRPr="00383A74" w:rsidRDefault="00233428" w:rsidP="00E35782">
      <w:pPr>
        <w:numPr>
          <w:ilvl w:val="0"/>
          <w:numId w:val="68"/>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 xml:space="preserve">Jadransko-jonski program </w:t>
      </w:r>
    </w:p>
    <w:p w14:paraId="314E7530" w14:textId="77777777" w:rsidR="00233428" w:rsidRPr="00383A74" w:rsidRDefault="00233428" w:rsidP="00E35782">
      <w:pPr>
        <w:tabs>
          <w:tab w:val="left" w:pos="720"/>
          <w:tab w:val="left" w:pos="6912"/>
        </w:tabs>
        <w:spacing w:after="0"/>
        <w:rPr>
          <w:rFonts w:ascii="Calibri" w:eastAsia="Times New Roman" w:hAnsi="Calibri" w:cs="Times New Roman"/>
        </w:rPr>
      </w:pPr>
    </w:p>
    <w:p w14:paraId="29F2750D" w14:textId="233BB43B"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Također su te dva nastavljena</w:t>
      </w:r>
      <w:r w:rsidR="000509A0">
        <w:rPr>
          <w:rFonts w:ascii="Calibri" w:eastAsia="Times New Roman" w:hAnsi="Calibri" w:cs="Times New Roman"/>
        </w:rPr>
        <w:t xml:space="preserve"> i </w:t>
      </w:r>
      <w:r w:rsidRPr="00383A74">
        <w:rPr>
          <w:rFonts w:ascii="Calibri" w:eastAsia="Times New Roman" w:hAnsi="Calibri" w:cs="Times New Roman"/>
        </w:rPr>
        <w:t xml:space="preserve">dva interregionalna programa: </w:t>
      </w:r>
    </w:p>
    <w:p w14:paraId="5581398E" w14:textId="77777777" w:rsidR="00233428" w:rsidRPr="00383A74" w:rsidRDefault="00233428" w:rsidP="00E35782">
      <w:pPr>
        <w:numPr>
          <w:ilvl w:val="0"/>
          <w:numId w:val="68"/>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 xml:space="preserve">URBACT III </w:t>
      </w:r>
    </w:p>
    <w:p w14:paraId="5989E183" w14:textId="77777777" w:rsidR="00233428" w:rsidRPr="00383A74" w:rsidRDefault="00233428" w:rsidP="00E35782">
      <w:pPr>
        <w:numPr>
          <w:ilvl w:val="0"/>
          <w:numId w:val="68"/>
        </w:numPr>
        <w:tabs>
          <w:tab w:val="left" w:pos="720"/>
          <w:tab w:val="left" w:pos="6912"/>
        </w:tabs>
        <w:rPr>
          <w:rFonts w:ascii="Calibri" w:eastAsia="Times New Roman" w:hAnsi="Calibri" w:cs="Times New Roman"/>
        </w:rPr>
      </w:pPr>
      <w:r w:rsidRPr="00383A74">
        <w:rPr>
          <w:rFonts w:ascii="Calibri" w:eastAsia="Times New Roman" w:hAnsi="Calibri" w:cs="Times New Roman"/>
        </w:rPr>
        <w:t>INTEREG EUROPE</w:t>
      </w:r>
    </w:p>
    <w:p w14:paraId="199D5222" w14:textId="02FCC0A5"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Prekograničnim programom suradnje obuhvaćene su susjedne zemlje: Slovenija, Bosna</w:t>
      </w:r>
      <w:r w:rsidR="000509A0">
        <w:rPr>
          <w:rFonts w:ascii="Calibri" w:eastAsia="Times New Roman" w:hAnsi="Calibri" w:cs="Times New Roman"/>
        </w:rPr>
        <w:t xml:space="preserve"> i </w:t>
      </w:r>
      <w:r w:rsidRPr="00383A74">
        <w:rPr>
          <w:rFonts w:ascii="Calibri" w:eastAsia="Times New Roman" w:hAnsi="Calibri" w:cs="Times New Roman"/>
        </w:rPr>
        <w:t>Hercegovina, Mađarska, Srbija, Crna Gora</w:t>
      </w:r>
      <w:r w:rsidR="000509A0">
        <w:rPr>
          <w:rFonts w:ascii="Calibri" w:eastAsia="Times New Roman" w:hAnsi="Calibri" w:cs="Times New Roman"/>
        </w:rPr>
        <w:t xml:space="preserve"> i </w:t>
      </w:r>
      <w:r w:rsidRPr="00383A74">
        <w:rPr>
          <w:rFonts w:ascii="Calibri" w:eastAsia="Times New Roman" w:hAnsi="Calibri" w:cs="Times New Roman"/>
        </w:rPr>
        <w:t>Italija. Grad Zagreb može sudjelovati u prekograničnom programu Slovenija-Hrvatska. Prema dosadašnjim pravilima programa sufinancirale su se aktivnosti na području zaštite okoliša, promocije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korištenja obnovljivih izvora energije te manji pilot projekti. Projektni konzorcij obavezno mora uključivati više partnera iz različitih zemalja programskog područja pri čemu koordinator projekta može dolaziti samo iz zemlje članice EU. Sufinanciranje projektnih aktivnosti maksimalno može iznositi do 85% prihvatljivih troškova.</w:t>
      </w:r>
    </w:p>
    <w:p w14:paraId="43649946" w14:textId="77777777" w:rsidR="00233428" w:rsidRPr="00383A74" w:rsidRDefault="00233428" w:rsidP="00E35782">
      <w:pPr>
        <w:pStyle w:val="Heading4"/>
      </w:pPr>
      <w:bookmarkStart w:id="369" w:name="_Toc404268143"/>
      <w:bookmarkStart w:id="370" w:name="_Toc467589738"/>
      <w:bookmarkStart w:id="371" w:name="_Toc477265344"/>
      <w:bookmarkStart w:id="372" w:name="_Toc493666294"/>
      <w:r w:rsidRPr="00383A74">
        <w:t>European Local Energy Assistance (ELENA)</w:t>
      </w:r>
      <w:bookmarkEnd w:id="369"/>
      <w:bookmarkEnd w:id="370"/>
      <w:bookmarkEnd w:id="371"/>
      <w:bookmarkEnd w:id="372"/>
    </w:p>
    <w:p w14:paraId="0558F1BE" w14:textId="21E35DDC"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ELENA je usluga tehničke pomoći pokrenuta u suradnji Europske komisije</w:t>
      </w:r>
      <w:r w:rsidR="000509A0">
        <w:rPr>
          <w:rFonts w:ascii="Calibri" w:eastAsia="Times New Roman" w:hAnsi="Calibri" w:cs="Times New Roman"/>
        </w:rPr>
        <w:t xml:space="preserve"> i </w:t>
      </w:r>
      <w:r w:rsidRPr="00383A74">
        <w:rPr>
          <w:rFonts w:ascii="Calibri" w:eastAsia="Times New Roman" w:hAnsi="Calibri" w:cs="Times New Roman"/>
        </w:rPr>
        <w:t>Europske investicijske banke krajem 2009. godine. Tehnička pomoć pruža se gradovima</w:t>
      </w:r>
      <w:r w:rsidR="000509A0">
        <w:rPr>
          <w:rFonts w:ascii="Calibri" w:eastAsia="Times New Roman" w:hAnsi="Calibri" w:cs="Times New Roman"/>
        </w:rPr>
        <w:t xml:space="preserve"> i </w:t>
      </w:r>
      <w:r w:rsidRPr="00383A74">
        <w:rPr>
          <w:rFonts w:ascii="Calibri" w:eastAsia="Times New Roman" w:hAnsi="Calibri" w:cs="Times New Roman"/>
        </w:rPr>
        <w:t xml:space="preserve">regijama pri razvoju projekata </w:t>
      </w:r>
      <w:r w:rsidRPr="00383A74">
        <w:rPr>
          <w:rFonts w:ascii="Calibri" w:eastAsia="Times New Roman" w:hAnsi="Calibri" w:cs="Times New Roman"/>
        </w:rPr>
        <w:lastRenderedPageBreak/>
        <w:t>energetske učinkovitosti</w:t>
      </w:r>
      <w:r w:rsidR="000509A0">
        <w:rPr>
          <w:rFonts w:ascii="Calibri" w:eastAsia="Times New Roman" w:hAnsi="Calibri" w:cs="Times New Roman"/>
        </w:rPr>
        <w:t xml:space="preserve"> i </w:t>
      </w:r>
      <w:r w:rsidRPr="00383A74">
        <w:rPr>
          <w:rFonts w:ascii="Calibri" w:eastAsia="Times New Roman" w:hAnsi="Calibri" w:cs="Times New Roman"/>
        </w:rPr>
        <w:t>privlačenju dodatnih investicija, pri čemu su obuhvaćene sve vrste tehničke podrške potrebne za pripremu, provedbu</w:t>
      </w:r>
      <w:r w:rsidR="000509A0">
        <w:rPr>
          <w:rFonts w:ascii="Calibri" w:eastAsia="Times New Roman" w:hAnsi="Calibri" w:cs="Times New Roman"/>
        </w:rPr>
        <w:t xml:space="preserve"> i </w:t>
      </w:r>
      <w:r w:rsidRPr="00383A74">
        <w:rPr>
          <w:rFonts w:ascii="Calibri" w:eastAsia="Times New Roman" w:hAnsi="Calibri" w:cs="Times New Roman"/>
        </w:rPr>
        <w:t>financiranje investicijskog programa. Ključan kriterij pri selekciji projekata je njihov utjecaj na ukupno smanjenje emisije CO</w:t>
      </w:r>
      <w:r w:rsidRPr="00383A74">
        <w:rPr>
          <w:rFonts w:ascii="Calibri" w:eastAsia="Times New Roman" w:hAnsi="Calibri" w:cs="Times New Roman"/>
          <w:vertAlign w:val="subscript"/>
        </w:rPr>
        <w:t>2</w:t>
      </w:r>
      <w:r w:rsidRPr="00383A74">
        <w:rPr>
          <w:rFonts w:ascii="Calibri" w:eastAsia="Times New Roman" w:hAnsi="Calibri" w:cs="Times New Roman"/>
        </w:rPr>
        <w:t>, a prihvatljivi projekti uključuju izgradnju energetski efikasnih sustava grijanja</w:t>
      </w:r>
      <w:r w:rsidR="000509A0">
        <w:rPr>
          <w:rFonts w:ascii="Calibri" w:eastAsia="Times New Roman" w:hAnsi="Calibri" w:cs="Times New Roman"/>
        </w:rPr>
        <w:t xml:space="preserve"> i </w:t>
      </w:r>
      <w:r w:rsidRPr="00383A74">
        <w:rPr>
          <w:rFonts w:ascii="Calibri" w:eastAsia="Times New Roman" w:hAnsi="Calibri" w:cs="Times New Roman"/>
        </w:rPr>
        <w:t>hlađenja, investicije u čišći javni prijevoz, održivu gradnju</w:t>
      </w:r>
      <w:r w:rsidR="000509A0">
        <w:rPr>
          <w:rFonts w:ascii="Calibri" w:eastAsia="Times New Roman" w:hAnsi="Calibri" w:cs="Times New Roman"/>
        </w:rPr>
        <w:t xml:space="preserve"> i </w:t>
      </w:r>
      <w:r w:rsidRPr="00383A74">
        <w:rPr>
          <w:rFonts w:ascii="Calibri" w:eastAsia="Times New Roman" w:hAnsi="Calibri" w:cs="Times New Roman"/>
        </w:rPr>
        <w:t>sl. Minimalna investicije iznosi 50 milijuna Eura, uz omjer iznosa tehničke pomoći</w:t>
      </w:r>
      <w:r w:rsidR="000509A0">
        <w:rPr>
          <w:rFonts w:ascii="Calibri" w:eastAsia="Times New Roman" w:hAnsi="Calibri" w:cs="Times New Roman"/>
        </w:rPr>
        <w:t xml:space="preserve"> i </w:t>
      </w:r>
      <w:r w:rsidRPr="00383A74">
        <w:rPr>
          <w:rFonts w:ascii="Calibri" w:eastAsia="Times New Roman" w:hAnsi="Calibri" w:cs="Times New Roman"/>
        </w:rPr>
        <w:t>kapitalne investicije od 1:20. Udio bespovratnog sufinanciranja iznosi 90%. Obzirom na vrlo visoku minimalnu investiciju Europska komisija osnovala je</w:t>
      </w:r>
      <w:r w:rsidR="000509A0">
        <w:rPr>
          <w:rFonts w:ascii="Calibri" w:eastAsia="Times New Roman" w:hAnsi="Calibri" w:cs="Times New Roman"/>
        </w:rPr>
        <w:t xml:space="preserve"> i </w:t>
      </w:r>
      <w:r w:rsidRPr="00383A74">
        <w:rPr>
          <w:rFonts w:ascii="Calibri" w:eastAsia="Times New Roman" w:hAnsi="Calibri" w:cs="Times New Roman"/>
        </w:rPr>
        <w:t>druge ELENA fondove namijenjene manjim projektima (između 30</w:t>
      </w:r>
      <w:r w:rsidR="000509A0">
        <w:rPr>
          <w:rFonts w:ascii="Calibri" w:eastAsia="Times New Roman" w:hAnsi="Calibri" w:cs="Times New Roman"/>
        </w:rPr>
        <w:t xml:space="preserve"> i </w:t>
      </w:r>
      <w:r w:rsidRPr="00383A74">
        <w:rPr>
          <w:rFonts w:ascii="Calibri" w:eastAsia="Times New Roman" w:hAnsi="Calibri" w:cs="Times New Roman"/>
        </w:rPr>
        <w:t>50 milijuna Eura), a kojima upravljaju razvojne banke KfW (Njemačka razvojna banka)</w:t>
      </w:r>
      <w:r w:rsidR="000509A0">
        <w:rPr>
          <w:rFonts w:ascii="Calibri" w:eastAsia="Times New Roman" w:hAnsi="Calibri" w:cs="Times New Roman"/>
        </w:rPr>
        <w:t xml:space="preserve"> i </w:t>
      </w:r>
      <w:r w:rsidRPr="00383A74">
        <w:rPr>
          <w:rFonts w:ascii="Calibri" w:eastAsia="Times New Roman" w:hAnsi="Calibri" w:cs="Times New Roman"/>
        </w:rPr>
        <w:t>CEB (Banka vijeća Europe).</w:t>
      </w:r>
    </w:p>
    <w:p w14:paraId="403EBB4C" w14:textId="77777777" w:rsidR="00233428" w:rsidRPr="00383A74" w:rsidRDefault="00233428" w:rsidP="00E35782">
      <w:pPr>
        <w:pStyle w:val="Heading4"/>
      </w:pPr>
      <w:bookmarkStart w:id="373" w:name="_Toc404268144"/>
      <w:bookmarkStart w:id="374" w:name="_Toc467589739"/>
      <w:bookmarkStart w:id="375" w:name="_Toc477265345"/>
      <w:bookmarkStart w:id="376" w:name="_Toc493666295"/>
      <w:r w:rsidRPr="00383A74">
        <w:t>Zajednička europska potpora održivom ulaganju u gradska područja (JESSICA)</w:t>
      </w:r>
      <w:bookmarkEnd w:id="373"/>
      <w:bookmarkEnd w:id="374"/>
      <w:bookmarkEnd w:id="375"/>
      <w:bookmarkEnd w:id="376"/>
    </w:p>
    <w:p w14:paraId="41A43211" w14:textId="77777777"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Inicijativom JESSICA promiče se održivi urbani razvoj podupiranjem projekata u sljedećim područjima:</w:t>
      </w:r>
    </w:p>
    <w:p w14:paraId="53219FC0" w14:textId="77777777" w:rsidR="00233428" w:rsidRPr="00383A74" w:rsidRDefault="00233428" w:rsidP="00E35782">
      <w:pPr>
        <w:numPr>
          <w:ilvl w:val="0"/>
          <w:numId w:val="69"/>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Gradska infrastruktura – uključujući promet, vodu/otpadne vode, energetiku;</w:t>
      </w:r>
    </w:p>
    <w:p w14:paraId="4BFA5FF7" w14:textId="2A947C57" w:rsidR="00233428" w:rsidRPr="00383A74" w:rsidRDefault="00233428" w:rsidP="00E35782">
      <w:pPr>
        <w:numPr>
          <w:ilvl w:val="0"/>
          <w:numId w:val="69"/>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Kulturna baština ili kulturne znamenitosti – za turizam</w:t>
      </w:r>
      <w:r w:rsidR="000509A0">
        <w:rPr>
          <w:rFonts w:ascii="Calibri" w:eastAsia="Times New Roman" w:hAnsi="Calibri" w:cs="Times New Roman"/>
        </w:rPr>
        <w:t xml:space="preserve"> i </w:t>
      </w:r>
      <w:r w:rsidRPr="00383A74">
        <w:rPr>
          <w:rFonts w:ascii="Calibri" w:eastAsia="Times New Roman" w:hAnsi="Calibri" w:cs="Times New Roman"/>
        </w:rPr>
        <w:t>ostale održive načine uporabe;</w:t>
      </w:r>
    </w:p>
    <w:p w14:paraId="5F40710D" w14:textId="1D72F105" w:rsidR="00233428" w:rsidRPr="00383A74" w:rsidRDefault="00233428" w:rsidP="00E35782">
      <w:pPr>
        <w:numPr>
          <w:ilvl w:val="0"/>
          <w:numId w:val="69"/>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Ponovni razvoj napuštenih ili neiskorištenih industrijskih područja – uključujući čišćenje područja</w:t>
      </w:r>
      <w:r w:rsidR="000509A0">
        <w:rPr>
          <w:rFonts w:ascii="Calibri" w:eastAsia="Times New Roman" w:hAnsi="Calibri" w:cs="Times New Roman"/>
        </w:rPr>
        <w:t xml:space="preserve"> i </w:t>
      </w:r>
      <w:r w:rsidRPr="00383A74">
        <w:rPr>
          <w:rFonts w:ascii="Calibri" w:eastAsia="Times New Roman" w:hAnsi="Calibri" w:cs="Times New Roman"/>
        </w:rPr>
        <w:t>dekontaminacija;</w:t>
      </w:r>
    </w:p>
    <w:p w14:paraId="463DF642" w14:textId="2CB58D16" w:rsidR="00233428" w:rsidRPr="00383A74" w:rsidRDefault="00233428" w:rsidP="00E35782">
      <w:pPr>
        <w:numPr>
          <w:ilvl w:val="0"/>
          <w:numId w:val="69"/>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Stvaranje novog gospodarskog prostora za mala</w:t>
      </w:r>
      <w:r w:rsidR="000509A0">
        <w:rPr>
          <w:rFonts w:ascii="Calibri" w:eastAsia="Times New Roman" w:hAnsi="Calibri" w:cs="Times New Roman"/>
        </w:rPr>
        <w:t xml:space="preserve"> i </w:t>
      </w:r>
      <w:r w:rsidRPr="00383A74">
        <w:rPr>
          <w:rFonts w:ascii="Calibri" w:eastAsia="Times New Roman" w:hAnsi="Calibri" w:cs="Times New Roman"/>
        </w:rPr>
        <w:t>srednja poduzeća</w:t>
      </w:r>
      <w:r w:rsidR="000509A0">
        <w:rPr>
          <w:rFonts w:ascii="Calibri" w:eastAsia="Times New Roman" w:hAnsi="Calibri" w:cs="Times New Roman"/>
        </w:rPr>
        <w:t xml:space="preserve"> i </w:t>
      </w:r>
      <w:r w:rsidRPr="00383A74">
        <w:rPr>
          <w:rFonts w:ascii="Calibri" w:eastAsia="Times New Roman" w:hAnsi="Calibri" w:cs="Times New Roman"/>
        </w:rPr>
        <w:t>sektor IT-a i/ili sektor istraživanja</w:t>
      </w:r>
      <w:r w:rsidR="000509A0">
        <w:rPr>
          <w:rFonts w:ascii="Calibri" w:eastAsia="Times New Roman" w:hAnsi="Calibri" w:cs="Times New Roman"/>
        </w:rPr>
        <w:t xml:space="preserve"> i </w:t>
      </w:r>
      <w:r w:rsidRPr="00383A74">
        <w:rPr>
          <w:rFonts w:ascii="Calibri" w:eastAsia="Times New Roman" w:hAnsi="Calibri" w:cs="Times New Roman"/>
        </w:rPr>
        <w:t>razvoja;</w:t>
      </w:r>
    </w:p>
    <w:p w14:paraId="521D2974" w14:textId="4BF25384" w:rsidR="00233428" w:rsidRPr="00383A74" w:rsidRDefault="00233428" w:rsidP="00E35782">
      <w:pPr>
        <w:numPr>
          <w:ilvl w:val="0"/>
          <w:numId w:val="69"/>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Sveučilišne zgrade – zgrade za medicinske, biotehnološke</w:t>
      </w:r>
      <w:r w:rsidR="000509A0">
        <w:rPr>
          <w:rFonts w:ascii="Calibri" w:eastAsia="Times New Roman" w:hAnsi="Calibri" w:cs="Times New Roman"/>
        </w:rPr>
        <w:t xml:space="preserve"> i </w:t>
      </w:r>
      <w:r w:rsidRPr="00383A74">
        <w:rPr>
          <w:rFonts w:ascii="Calibri" w:eastAsia="Times New Roman" w:hAnsi="Calibri" w:cs="Times New Roman"/>
        </w:rPr>
        <w:t>druge specijalizirane namjene;</w:t>
      </w:r>
    </w:p>
    <w:p w14:paraId="43CC1B0F" w14:textId="77777777" w:rsidR="00233428" w:rsidRPr="00383A74" w:rsidRDefault="00233428" w:rsidP="00E35782">
      <w:pPr>
        <w:numPr>
          <w:ilvl w:val="0"/>
          <w:numId w:val="69"/>
        </w:numPr>
        <w:tabs>
          <w:tab w:val="left" w:pos="720"/>
          <w:tab w:val="left" w:pos="6912"/>
        </w:tabs>
        <w:rPr>
          <w:rFonts w:ascii="Calibri" w:eastAsia="Times New Roman" w:hAnsi="Calibri" w:cs="Times New Roman"/>
        </w:rPr>
      </w:pPr>
      <w:r w:rsidRPr="00383A74">
        <w:rPr>
          <w:rFonts w:ascii="Calibri" w:eastAsia="Times New Roman" w:hAnsi="Calibri" w:cs="Times New Roman"/>
        </w:rPr>
        <w:t>Poboljšanja u području energetske učinkovitosti.</w:t>
      </w:r>
    </w:p>
    <w:p w14:paraId="0836F913" w14:textId="7FD6B552"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Inicijativa se provodi u suradnji s Europskom investicijskom bankom, Razvojnom bankom Vijeća Europe te komercijalnim bankama. Države članice EU mogu odlučiti uložiti dio njima dodijeljenih sredstava iz ESI fondova u tzv. revolving fondove kako bi pridonijele ponovnoj uporabi financijskih sredstava</w:t>
      </w:r>
      <w:r w:rsidR="000509A0">
        <w:rPr>
          <w:rFonts w:ascii="Calibri" w:eastAsia="Times New Roman" w:hAnsi="Calibri" w:cs="Times New Roman"/>
        </w:rPr>
        <w:t xml:space="preserve"> i </w:t>
      </w:r>
      <w:r w:rsidRPr="00383A74">
        <w:rPr>
          <w:rFonts w:ascii="Calibri" w:eastAsia="Times New Roman" w:hAnsi="Calibri" w:cs="Times New Roman"/>
        </w:rPr>
        <w:t>na taj način ubrzale ulaganja u urbana područja Europe. Doprinosi iz Europskog fonda za regionalni razvoj (EFRR) dodjeljuju se fondovima za urbani razvoj (FUR) koji ih ulažu u javno-privatna partnerstva ili u druge projekte uključene u integrirani plan za održivi urbani razvoj. Ta ulaganja mogu biti u obliku vlasničkog kapitala, zajmova i/ili jamstava. Upravna tijela mogu se odlučiti da sredstva preusmjere fondovima za urbani razvoj koristeći holding fondove (HF) namijenjene ulaganju u nekoliko fondova za urbani razvoj. S obzirom na to da se radi o obnovljivim instrumentima, prinosi od ulaganja ponovno se ulažu u nove projekte urbanog razvoja pri čemu se ponovno koriste javna sredstva te se potiče održivost</w:t>
      </w:r>
      <w:r w:rsidR="000509A0">
        <w:rPr>
          <w:rFonts w:ascii="Calibri" w:eastAsia="Times New Roman" w:hAnsi="Calibri" w:cs="Times New Roman"/>
        </w:rPr>
        <w:t xml:space="preserve"> i </w:t>
      </w:r>
      <w:r w:rsidRPr="00383A74">
        <w:rPr>
          <w:rFonts w:ascii="Calibri" w:eastAsia="Times New Roman" w:hAnsi="Calibri" w:cs="Times New Roman"/>
        </w:rPr>
        <w:t>učinak javnih sredstava EU</w:t>
      </w:r>
      <w:r w:rsidR="000509A0">
        <w:rPr>
          <w:rFonts w:ascii="Calibri" w:eastAsia="Times New Roman" w:hAnsi="Calibri" w:cs="Times New Roman"/>
        </w:rPr>
        <w:t xml:space="preserve"> i </w:t>
      </w:r>
      <w:r w:rsidRPr="00383A74">
        <w:rPr>
          <w:rFonts w:ascii="Calibri" w:eastAsia="Times New Roman" w:hAnsi="Calibri" w:cs="Times New Roman"/>
        </w:rPr>
        <w:t>nacionalnih javnih sredstava. Korisnici zajmova uključuju lokalne</w:t>
      </w:r>
      <w:r w:rsidR="000509A0">
        <w:rPr>
          <w:rFonts w:ascii="Calibri" w:eastAsia="Times New Roman" w:hAnsi="Calibri" w:cs="Times New Roman"/>
        </w:rPr>
        <w:t xml:space="preserve"> i </w:t>
      </w:r>
      <w:r w:rsidRPr="00383A74">
        <w:rPr>
          <w:rFonts w:ascii="Calibri" w:eastAsia="Times New Roman" w:hAnsi="Calibri" w:cs="Times New Roman"/>
        </w:rPr>
        <w:t>regionalne uprave, agencije, državnu upravu, ali</w:t>
      </w:r>
      <w:r w:rsidR="000509A0">
        <w:rPr>
          <w:rFonts w:ascii="Calibri" w:eastAsia="Times New Roman" w:hAnsi="Calibri" w:cs="Times New Roman"/>
        </w:rPr>
        <w:t xml:space="preserve"> i </w:t>
      </w:r>
      <w:r w:rsidRPr="00383A74">
        <w:rPr>
          <w:rFonts w:ascii="Calibri" w:eastAsia="Times New Roman" w:hAnsi="Calibri" w:cs="Times New Roman"/>
        </w:rPr>
        <w:t xml:space="preserve">privatne investitore. </w:t>
      </w:r>
    </w:p>
    <w:p w14:paraId="3FFE1396" w14:textId="21599070"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Za svaku zemlju članicu zainteresiranu za osnivanje JESSICA fonda priprema se posebna studija na temelju koje se određuju karakteristike budućeg fonda</w:t>
      </w:r>
      <w:r w:rsidR="000509A0">
        <w:rPr>
          <w:rFonts w:ascii="Calibri" w:eastAsia="Times New Roman" w:hAnsi="Calibri" w:cs="Times New Roman"/>
        </w:rPr>
        <w:t xml:space="preserve"> i </w:t>
      </w:r>
      <w:r w:rsidRPr="00383A74">
        <w:rPr>
          <w:rFonts w:ascii="Calibri" w:eastAsia="Times New Roman" w:hAnsi="Calibri" w:cs="Times New Roman"/>
        </w:rPr>
        <w:t>instrumenti financiranja. Kroz 19 JESSICA programa ukupno je mobilizirano oko 1,6 milijardi Eura investicija, a Hrvatska je ulaskom u EU</w:t>
      </w:r>
      <w:r w:rsidR="000509A0">
        <w:rPr>
          <w:rFonts w:ascii="Calibri" w:eastAsia="Times New Roman" w:hAnsi="Calibri" w:cs="Times New Roman"/>
        </w:rPr>
        <w:t xml:space="preserve"> i </w:t>
      </w:r>
      <w:r w:rsidRPr="00383A74">
        <w:rPr>
          <w:rFonts w:ascii="Calibri" w:eastAsia="Times New Roman" w:hAnsi="Calibri" w:cs="Times New Roman"/>
        </w:rPr>
        <w:t>potpisivanjem memoranduma ostvarila pravo na uspostavu fonda prema JESSICA arhitekturi.</w:t>
      </w:r>
    </w:p>
    <w:p w14:paraId="1142387D" w14:textId="77777777" w:rsidR="00233428" w:rsidRPr="00383A74" w:rsidRDefault="00233428" w:rsidP="00E35782">
      <w:pPr>
        <w:pStyle w:val="Heading4"/>
      </w:pPr>
      <w:bookmarkStart w:id="377" w:name="_Toc404268145"/>
      <w:bookmarkStart w:id="378" w:name="_Toc467589740"/>
      <w:bookmarkStart w:id="379" w:name="_Toc477265346"/>
      <w:bookmarkStart w:id="380" w:name="_Toc493666296"/>
      <w:r w:rsidRPr="00383A74">
        <w:t>Zajednička pomoć za potporu projektima u europskim regijama (JASPERS)</w:t>
      </w:r>
      <w:bookmarkEnd w:id="377"/>
      <w:bookmarkEnd w:id="378"/>
      <w:bookmarkEnd w:id="379"/>
      <w:bookmarkEnd w:id="380"/>
    </w:p>
    <w:p w14:paraId="347DC277" w14:textId="0406DEC0"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Cilj JASPERS inicijative, pokrenute 2006. godine od strane Europske komisije, EBRD</w:t>
      </w:r>
      <w:r w:rsidR="000509A0">
        <w:rPr>
          <w:rFonts w:ascii="Calibri" w:eastAsia="Times New Roman" w:hAnsi="Calibri" w:cs="Times New Roman"/>
        </w:rPr>
        <w:t xml:space="preserve"> i </w:t>
      </w:r>
      <w:r w:rsidRPr="00383A74">
        <w:rPr>
          <w:rFonts w:ascii="Calibri" w:eastAsia="Times New Roman" w:hAnsi="Calibri" w:cs="Times New Roman"/>
        </w:rPr>
        <w:t>EIB</w:t>
      </w:r>
      <w:r w:rsidR="00B25B9E">
        <w:rPr>
          <w:rFonts w:ascii="Calibri" w:eastAsia="Times New Roman" w:hAnsi="Calibri" w:cs="Times New Roman"/>
        </w:rPr>
        <w:t xml:space="preserve"> </w:t>
      </w:r>
      <w:r w:rsidRPr="00383A74">
        <w:rPr>
          <w:rFonts w:ascii="Calibri" w:eastAsia="Times New Roman" w:hAnsi="Calibri" w:cs="Times New Roman"/>
        </w:rPr>
        <w:t xml:space="preserve">u suradnji s KfW bankom je pomoći zemljama članicama EU koje su pristupile nakon 2004. godine u pripremi kapitalnih projekata za financiranje putem EU fondova. </w:t>
      </w:r>
    </w:p>
    <w:p w14:paraId="579A2BC4" w14:textId="169C18DC"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lastRenderedPageBreak/>
        <w:t>Program JASPERS provode visokokvalificirani stručnjaci sa sjedištem u Luksemburgu te u regionalnim uredima centralne</w:t>
      </w:r>
      <w:r w:rsidR="000509A0">
        <w:rPr>
          <w:rFonts w:ascii="Calibri" w:eastAsia="Times New Roman" w:hAnsi="Calibri" w:cs="Times New Roman"/>
        </w:rPr>
        <w:t xml:space="preserve"> i </w:t>
      </w:r>
      <w:r w:rsidRPr="00383A74">
        <w:rPr>
          <w:rFonts w:ascii="Calibri" w:eastAsia="Times New Roman" w:hAnsi="Calibri" w:cs="Times New Roman"/>
        </w:rPr>
        <w:t xml:space="preserve">istočne Europe, koji osiguravaju tehničku pomoć za sljedeća područja: </w:t>
      </w:r>
    </w:p>
    <w:p w14:paraId="508DE48E" w14:textId="2A5BBAB5"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Unapređenje prometne infrastrukture unutar</w:t>
      </w:r>
      <w:r w:rsidR="000509A0">
        <w:rPr>
          <w:rFonts w:ascii="Calibri" w:eastAsia="Times New Roman" w:hAnsi="Calibri" w:cs="Times New Roman"/>
        </w:rPr>
        <w:t xml:space="preserve"> i </w:t>
      </w:r>
      <w:r w:rsidRPr="00383A74">
        <w:rPr>
          <w:rFonts w:ascii="Calibri" w:eastAsia="Times New Roman" w:hAnsi="Calibri" w:cs="Times New Roman"/>
        </w:rPr>
        <w:t>izvan Transeuropske mreže: željeznički, cestovni</w:t>
      </w:r>
      <w:r w:rsidR="000509A0">
        <w:rPr>
          <w:rFonts w:ascii="Calibri" w:eastAsia="Times New Roman" w:hAnsi="Calibri" w:cs="Times New Roman"/>
        </w:rPr>
        <w:t xml:space="preserve"> i </w:t>
      </w:r>
      <w:r w:rsidRPr="00383A74">
        <w:rPr>
          <w:rFonts w:ascii="Calibri" w:eastAsia="Times New Roman" w:hAnsi="Calibri" w:cs="Times New Roman"/>
        </w:rPr>
        <w:t>riječni promet;</w:t>
      </w:r>
    </w:p>
    <w:p w14:paraId="6E85FA11" w14:textId="1C168680"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Intermodalni prometni sustavi</w:t>
      </w:r>
      <w:r w:rsidR="000509A0">
        <w:rPr>
          <w:rFonts w:ascii="Calibri" w:eastAsia="Times New Roman" w:hAnsi="Calibri" w:cs="Times New Roman"/>
        </w:rPr>
        <w:t xml:space="preserve"> i </w:t>
      </w:r>
      <w:r w:rsidRPr="00383A74">
        <w:rPr>
          <w:rFonts w:ascii="Calibri" w:eastAsia="Times New Roman" w:hAnsi="Calibri" w:cs="Times New Roman"/>
        </w:rPr>
        <w:t>njihova interoperabilnost;</w:t>
      </w:r>
    </w:p>
    <w:p w14:paraId="24D76041" w14:textId="2732A0B0"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Čisti gradski</w:t>
      </w:r>
      <w:r w:rsidR="000509A0">
        <w:rPr>
          <w:rFonts w:ascii="Calibri" w:eastAsia="Times New Roman" w:hAnsi="Calibri" w:cs="Times New Roman"/>
        </w:rPr>
        <w:t xml:space="preserve"> i </w:t>
      </w:r>
      <w:r w:rsidRPr="00383A74">
        <w:rPr>
          <w:rFonts w:ascii="Calibri" w:eastAsia="Times New Roman" w:hAnsi="Calibri" w:cs="Times New Roman"/>
        </w:rPr>
        <w:t>javni promet;</w:t>
      </w:r>
    </w:p>
    <w:p w14:paraId="75945DAD" w14:textId="5C4B3EA7" w:rsidR="00233428" w:rsidRPr="00383A74" w:rsidRDefault="00233428" w:rsidP="00E35782">
      <w:pPr>
        <w:numPr>
          <w:ilvl w:val="0"/>
          <w:numId w:val="64"/>
        </w:numPr>
        <w:tabs>
          <w:tab w:val="left" w:pos="6912"/>
        </w:tabs>
        <w:spacing w:after="0"/>
        <w:rPr>
          <w:rFonts w:ascii="Calibri" w:eastAsia="Times New Roman" w:hAnsi="Calibri" w:cs="Times New Roman"/>
        </w:rPr>
      </w:pPr>
      <w:r w:rsidRPr="00383A74">
        <w:rPr>
          <w:rFonts w:ascii="Calibri" w:eastAsia="Times New Roman" w:hAnsi="Calibri" w:cs="Times New Roman"/>
        </w:rPr>
        <w:t>Projekti zaštite okoliša,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korištenja obnovljivih izvora energije;</w:t>
      </w:r>
    </w:p>
    <w:p w14:paraId="57DA9B4D" w14:textId="77777777" w:rsidR="00233428" w:rsidRPr="00383A74" w:rsidRDefault="00233428" w:rsidP="00E35782">
      <w:pPr>
        <w:numPr>
          <w:ilvl w:val="0"/>
          <w:numId w:val="64"/>
        </w:numPr>
        <w:tabs>
          <w:tab w:val="left" w:pos="6912"/>
        </w:tabs>
        <w:rPr>
          <w:rFonts w:ascii="Calibri" w:eastAsia="Times New Roman" w:hAnsi="Calibri" w:cs="Times New Roman"/>
        </w:rPr>
      </w:pPr>
      <w:r w:rsidRPr="00383A74">
        <w:rPr>
          <w:rFonts w:ascii="Calibri" w:eastAsia="Times New Roman" w:hAnsi="Calibri" w:cs="Times New Roman"/>
        </w:rPr>
        <w:t xml:space="preserve">Provedba projekata kroz javno-privatna partnerstva. </w:t>
      </w:r>
    </w:p>
    <w:p w14:paraId="7884B0B6" w14:textId="5D2D38B3"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Tehnička pomoć u sklopu JASPERS inicijative se zajedničkom suradnjom zainteresiranih država članica</w:t>
      </w:r>
      <w:r w:rsidR="000509A0">
        <w:rPr>
          <w:rFonts w:ascii="Calibri" w:eastAsia="Times New Roman" w:hAnsi="Calibri" w:cs="Times New Roman"/>
        </w:rPr>
        <w:t xml:space="preserve"> i </w:t>
      </w:r>
      <w:r w:rsidRPr="00383A74">
        <w:rPr>
          <w:rFonts w:ascii="Calibri" w:eastAsia="Times New Roman" w:hAnsi="Calibri" w:cs="Times New Roman"/>
        </w:rPr>
        <w:t>Europske komisije priprema u obliku godišnjeg akcijskog plana, pri čemu je</w:t>
      </w:r>
      <w:r w:rsidR="00B25B9E">
        <w:rPr>
          <w:rFonts w:ascii="Calibri" w:eastAsia="Times New Roman" w:hAnsi="Calibri" w:cs="Times New Roman"/>
        </w:rPr>
        <w:t xml:space="preserve"> </w:t>
      </w:r>
      <w:r w:rsidRPr="00383A74">
        <w:rPr>
          <w:rFonts w:ascii="Calibri" w:eastAsia="Times New Roman" w:hAnsi="Calibri" w:cs="Times New Roman"/>
        </w:rPr>
        <w:t xml:space="preserve">fokus na projektima zaštite okoliša čija vrijednost prelazi 25 milijuna Eura te projektima prometne infrastrukture vrjednijima od 50 milijuna Eura. </w:t>
      </w:r>
    </w:p>
    <w:p w14:paraId="157C2ADC" w14:textId="77777777"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Hrvatska koristi mogućnosti JASPERS inicijative od 2012. godine.</w:t>
      </w:r>
    </w:p>
    <w:p w14:paraId="5784ED66" w14:textId="2AE50B16" w:rsidR="00233428" w:rsidRPr="00383A74" w:rsidRDefault="00233428" w:rsidP="00E16DFD">
      <w:pPr>
        <w:pStyle w:val="Heading3"/>
        <w:ind w:left="993" w:hanging="993"/>
      </w:pPr>
      <w:bookmarkStart w:id="381" w:name="_Toc404268147"/>
      <w:bookmarkStart w:id="382" w:name="_Toc467589741"/>
      <w:r w:rsidRPr="00383A74">
        <w:t xml:space="preserve"> </w:t>
      </w:r>
      <w:bookmarkStart w:id="383" w:name="_Toc477265347"/>
      <w:bookmarkStart w:id="384" w:name="_Toc493666297"/>
      <w:bookmarkStart w:id="385" w:name="_Toc4156134"/>
      <w:r w:rsidRPr="00383A74">
        <w:t>European Economic Area (EEA) and Norway Grants (hrv.</w:t>
      </w:r>
      <w:r w:rsidR="00B25B9E">
        <w:t xml:space="preserve"> </w:t>
      </w:r>
      <w:r w:rsidRPr="00383A74">
        <w:t>Darovnice članica Europske Ekonomske Zone</w:t>
      </w:r>
      <w:r w:rsidR="000509A0">
        <w:t xml:space="preserve"> i </w:t>
      </w:r>
      <w:r w:rsidRPr="00383A74">
        <w:t>Norveške)</w:t>
      </w:r>
      <w:bookmarkEnd w:id="381"/>
      <w:bookmarkEnd w:id="382"/>
      <w:bookmarkEnd w:id="383"/>
      <w:bookmarkEnd w:id="384"/>
      <w:bookmarkEnd w:id="385"/>
    </w:p>
    <w:p w14:paraId="219433BB" w14:textId="69002FC3"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Program Bespovratnih poticaja članica Europske Ekonomske Zone</w:t>
      </w:r>
      <w:r w:rsidR="000509A0">
        <w:rPr>
          <w:rFonts w:ascii="Calibri" w:eastAsia="Times New Roman" w:hAnsi="Calibri" w:cs="Times New Roman"/>
        </w:rPr>
        <w:t xml:space="preserve"> i </w:t>
      </w:r>
      <w:r w:rsidRPr="00383A74">
        <w:rPr>
          <w:rFonts w:ascii="Calibri" w:eastAsia="Times New Roman" w:hAnsi="Calibri" w:cs="Times New Roman"/>
        </w:rPr>
        <w:t>Norveške (</w:t>
      </w:r>
      <w:r w:rsidRPr="00291DF5">
        <w:rPr>
          <w:rFonts w:ascii="Calibri" w:eastAsia="Times New Roman" w:hAnsi="Calibri" w:cs="Times New Roman"/>
          <w:i/>
          <w:iCs/>
        </w:rPr>
        <w:t>engl. European Economic Area (EEA) and Norway Grants</w:t>
      </w:r>
      <w:r w:rsidRPr="00383A74">
        <w:rPr>
          <w:rFonts w:ascii="Calibri" w:eastAsia="Times New Roman" w:hAnsi="Calibri" w:cs="Times New Roman"/>
        </w:rPr>
        <w:t>) predstavlja doprinos 3 zemlje – Islanda, Lihtenštajna</w:t>
      </w:r>
      <w:r w:rsidR="000509A0">
        <w:rPr>
          <w:rFonts w:ascii="Calibri" w:eastAsia="Times New Roman" w:hAnsi="Calibri" w:cs="Times New Roman"/>
        </w:rPr>
        <w:t xml:space="preserve"> i </w:t>
      </w:r>
      <w:r w:rsidRPr="00383A74">
        <w:rPr>
          <w:rFonts w:ascii="Calibri" w:eastAsia="Times New Roman" w:hAnsi="Calibri" w:cs="Times New Roman"/>
        </w:rPr>
        <w:t>Norveške smanjenju ekonomskih</w:t>
      </w:r>
      <w:r w:rsidR="000509A0">
        <w:rPr>
          <w:rFonts w:ascii="Calibri" w:eastAsia="Times New Roman" w:hAnsi="Calibri" w:cs="Times New Roman"/>
        </w:rPr>
        <w:t xml:space="preserve"> i </w:t>
      </w:r>
      <w:r w:rsidRPr="00383A74">
        <w:rPr>
          <w:rFonts w:ascii="Calibri" w:eastAsia="Times New Roman" w:hAnsi="Calibri" w:cs="Times New Roman"/>
        </w:rPr>
        <w:t>socijalnih nejednakosti te jačanju bilateralnih odnosa sa 15 zemalja Središnje</w:t>
      </w:r>
      <w:r w:rsidR="000509A0">
        <w:rPr>
          <w:rFonts w:ascii="Calibri" w:eastAsia="Times New Roman" w:hAnsi="Calibri" w:cs="Times New Roman"/>
        </w:rPr>
        <w:t xml:space="preserve"> i </w:t>
      </w:r>
      <w:r w:rsidRPr="00383A74">
        <w:rPr>
          <w:rFonts w:ascii="Calibri" w:eastAsia="Times New Roman" w:hAnsi="Calibri" w:cs="Times New Roman"/>
        </w:rPr>
        <w:t>Južne Europe među kojima je</w:t>
      </w:r>
      <w:r w:rsidR="000509A0">
        <w:rPr>
          <w:rFonts w:ascii="Calibri" w:eastAsia="Times New Roman" w:hAnsi="Calibri" w:cs="Times New Roman"/>
        </w:rPr>
        <w:t xml:space="preserve"> i </w:t>
      </w:r>
      <w:r w:rsidRPr="00383A74">
        <w:rPr>
          <w:rFonts w:ascii="Calibri" w:eastAsia="Times New Roman" w:hAnsi="Calibri" w:cs="Times New Roman"/>
        </w:rPr>
        <w:t>Hrvatska.</w:t>
      </w:r>
    </w:p>
    <w:p w14:paraId="4D913FF6" w14:textId="77777777"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Bespovratnu pomoć zemlje EEA zajednički financiraju razmjerno svojoj gospodarskoj snazi, a ukupna alokacija namijenjena Republici Hrvatskoj iznosi 103,4 mil Eura za razdoblje od 2014.-2021. Operativni program za korištenje ovih sredstava je trenutno u izradi, a prioriteti financiranja odražavaju glavne izazove s kojima se Europa suočava:</w:t>
      </w:r>
    </w:p>
    <w:p w14:paraId="584F8E97" w14:textId="47352EBF" w:rsidR="00233428" w:rsidRPr="00383A74" w:rsidRDefault="00233428" w:rsidP="00E35782">
      <w:pPr>
        <w:numPr>
          <w:ilvl w:val="0"/>
          <w:numId w:val="70"/>
        </w:numPr>
        <w:tabs>
          <w:tab w:val="left" w:pos="720"/>
          <w:tab w:val="left" w:pos="6912"/>
        </w:tabs>
        <w:spacing w:after="0"/>
        <w:contextualSpacing/>
        <w:rPr>
          <w:rFonts w:ascii="Calibri" w:eastAsia="Times New Roman" w:hAnsi="Calibri" w:cs="Times New Roman"/>
        </w:rPr>
      </w:pPr>
      <w:r w:rsidRPr="00383A74">
        <w:rPr>
          <w:rFonts w:ascii="Calibri" w:eastAsia="Times New Roman" w:hAnsi="Calibri" w:cs="Times New Roman"/>
        </w:rPr>
        <w:t>Inovacije, istraživanje, obrazovanje</w:t>
      </w:r>
      <w:r w:rsidR="000509A0">
        <w:rPr>
          <w:rFonts w:ascii="Calibri" w:eastAsia="Times New Roman" w:hAnsi="Calibri" w:cs="Times New Roman"/>
        </w:rPr>
        <w:t xml:space="preserve"> i </w:t>
      </w:r>
      <w:r w:rsidRPr="00383A74">
        <w:rPr>
          <w:rFonts w:ascii="Calibri" w:eastAsia="Times New Roman" w:hAnsi="Calibri" w:cs="Times New Roman"/>
        </w:rPr>
        <w:t>konkurentnost;</w:t>
      </w:r>
    </w:p>
    <w:p w14:paraId="7F1E28F8" w14:textId="5E4F263C" w:rsidR="00233428" w:rsidRPr="00383A74" w:rsidRDefault="00233428" w:rsidP="00E35782">
      <w:pPr>
        <w:numPr>
          <w:ilvl w:val="0"/>
          <w:numId w:val="70"/>
        </w:numPr>
        <w:tabs>
          <w:tab w:val="left" w:pos="720"/>
          <w:tab w:val="left" w:pos="6912"/>
        </w:tabs>
        <w:spacing w:after="0"/>
        <w:contextualSpacing/>
        <w:rPr>
          <w:rFonts w:ascii="Calibri" w:eastAsia="Times New Roman" w:hAnsi="Calibri" w:cs="Times New Roman"/>
        </w:rPr>
      </w:pPr>
      <w:r w:rsidRPr="00383A74">
        <w:rPr>
          <w:rFonts w:ascii="Calibri" w:eastAsia="Times New Roman" w:hAnsi="Calibri" w:cs="Times New Roman"/>
        </w:rPr>
        <w:t>Društvena uključenost, zapošljavanje mladih</w:t>
      </w:r>
      <w:r w:rsidR="000509A0">
        <w:rPr>
          <w:rFonts w:ascii="Calibri" w:eastAsia="Times New Roman" w:hAnsi="Calibri" w:cs="Times New Roman"/>
        </w:rPr>
        <w:t xml:space="preserve"> i </w:t>
      </w:r>
      <w:r w:rsidRPr="00383A74">
        <w:rPr>
          <w:rFonts w:ascii="Calibri" w:eastAsia="Times New Roman" w:hAnsi="Calibri" w:cs="Times New Roman"/>
        </w:rPr>
        <w:t>smanjenje siromaštva;</w:t>
      </w:r>
    </w:p>
    <w:p w14:paraId="4316A46F" w14:textId="1D7AA544" w:rsidR="00233428" w:rsidRPr="00383A74" w:rsidRDefault="00233428" w:rsidP="00E35782">
      <w:pPr>
        <w:numPr>
          <w:ilvl w:val="0"/>
          <w:numId w:val="70"/>
        </w:numPr>
        <w:tabs>
          <w:tab w:val="left" w:pos="720"/>
          <w:tab w:val="left" w:pos="6912"/>
        </w:tabs>
        <w:spacing w:after="0"/>
        <w:contextualSpacing/>
        <w:rPr>
          <w:rFonts w:ascii="Calibri" w:eastAsia="Times New Roman" w:hAnsi="Calibri" w:cs="Times New Roman"/>
        </w:rPr>
      </w:pPr>
      <w:r w:rsidRPr="00383A74">
        <w:rPr>
          <w:rFonts w:ascii="Calibri" w:eastAsia="Times New Roman" w:hAnsi="Calibri" w:cs="Times New Roman"/>
        </w:rPr>
        <w:t>Okoliš, energija, klimatske promjene</w:t>
      </w:r>
      <w:r w:rsidR="000509A0">
        <w:rPr>
          <w:rFonts w:ascii="Calibri" w:eastAsia="Times New Roman" w:hAnsi="Calibri" w:cs="Times New Roman"/>
        </w:rPr>
        <w:t xml:space="preserve"> i </w:t>
      </w:r>
      <w:r w:rsidRPr="00383A74">
        <w:rPr>
          <w:rFonts w:ascii="Calibri" w:eastAsia="Times New Roman" w:hAnsi="Calibri" w:cs="Times New Roman"/>
        </w:rPr>
        <w:t>smanjenje stakleničkih plinova;</w:t>
      </w:r>
    </w:p>
    <w:p w14:paraId="56AF175B" w14:textId="0522D08A" w:rsidR="00233428" w:rsidRPr="00383A74" w:rsidRDefault="00233428" w:rsidP="00E35782">
      <w:pPr>
        <w:numPr>
          <w:ilvl w:val="0"/>
          <w:numId w:val="70"/>
        </w:numPr>
        <w:tabs>
          <w:tab w:val="left" w:pos="720"/>
          <w:tab w:val="left" w:pos="6912"/>
        </w:tabs>
        <w:spacing w:after="0"/>
        <w:contextualSpacing/>
        <w:rPr>
          <w:rFonts w:ascii="Calibri" w:eastAsia="Times New Roman" w:hAnsi="Calibri" w:cs="Times New Roman"/>
        </w:rPr>
      </w:pPr>
      <w:r w:rsidRPr="00383A74">
        <w:rPr>
          <w:rFonts w:ascii="Calibri" w:eastAsia="Times New Roman" w:hAnsi="Calibri" w:cs="Times New Roman"/>
        </w:rPr>
        <w:t>Kultura, razvoj civilnog društva, dobro upravljanje</w:t>
      </w:r>
      <w:r w:rsidR="000509A0">
        <w:rPr>
          <w:rFonts w:ascii="Calibri" w:eastAsia="Times New Roman" w:hAnsi="Calibri" w:cs="Times New Roman"/>
        </w:rPr>
        <w:t xml:space="preserve"> i </w:t>
      </w:r>
      <w:r w:rsidRPr="00383A74">
        <w:rPr>
          <w:rFonts w:ascii="Calibri" w:eastAsia="Times New Roman" w:hAnsi="Calibri" w:cs="Times New Roman"/>
        </w:rPr>
        <w:t>temeljna ljudska prava;</w:t>
      </w:r>
    </w:p>
    <w:p w14:paraId="161FE084" w14:textId="23A6DF67" w:rsidR="00233428" w:rsidRPr="00383A74" w:rsidRDefault="00233428" w:rsidP="00E35782">
      <w:pPr>
        <w:numPr>
          <w:ilvl w:val="0"/>
          <w:numId w:val="70"/>
        </w:numPr>
        <w:tabs>
          <w:tab w:val="left" w:pos="720"/>
          <w:tab w:val="left" w:pos="6912"/>
        </w:tabs>
        <w:ind w:left="714" w:hanging="357"/>
        <w:rPr>
          <w:rFonts w:ascii="Calibri" w:eastAsia="Times New Roman" w:hAnsi="Calibri" w:cs="Times New Roman"/>
        </w:rPr>
      </w:pPr>
      <w:r w:rsidRPr="00383A74">
        <w:rPr>
          <w:rFonts w:ascii="Calibri" w:eastAsia="Times New Roman" w:hAnsi="Calibri" w:cs="Times New Roman"/>
        </w:rPr>
        <w:t>Pravosuđe</w:t>
      </w:r>
      <w:r w:rsidR="000509A0">
        <w:rPr>
          <w:rFonts w:ascii="Calibri" w:eastAsia="Times New Roman" w:hAnsi="Calibri" w:cs="Times New Roman"/>
        </w:rPr>
        <w:t xml:space="preserve"> i </w:t>
      </w:r>
      <w:r w:rsidRPr="00383A74">
        <w:rPr>
          <w:rFonts w:ascii="Calibri" w:eastAsia="Times New Roman" w:hAnsi="Calibri" w:cs="Times New Roman"/>
        </w:rPr>
        <w:t>unutarnji poslovi.</w:t>
      </w:r>
    </w:p>
    <w:p w14:paraId="5FF4F55A" w14:textId="53D53EC5"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Ovim fondom su u prethodnom razdoblju financirani projekti povezani sa energetskom učinkovitošću u stambenim zgradama u Češkoj, Bugarskoj, Mađarskoj, Poljskoj, Rumunjskoj, Slovačkoj</w:t>
      </w:r>
      <w:r w:rsidR="000509A0">
        <w:rPr>
          <w:rFonts w:ascii="Calibri" w:eastAsia="Times New Roman" w:hAnsi="Calibri" w:cs="Times New Roman"/>
        </w:rPr>
        <w:t xml:space="preserve"> i </w:t>
      </w:r>
      <w:r w:rsidRPr="00383A74">
        <w:rPr>
          <w:rFonts w:ascii="Calibri" w:eastAsia="Times New Roman" w:hAnsi="Calibri" w:cs="Times New Roman"/>
        </w:rPr>
        <w:t>Sloveniji.</w:t>
      </w:r>
    </w:p>
    <w:p w14:paraId="0FDB0E8D" w14:textId="4755B260" w:rsidR="3F9C34E3" w:rsidRPr="005808FC" w:rsidRDefault="3F9C34E3" w:rsidP="005808FC">
      <w:pPr>
        <w:spacing w:after="0"/>
        <w:rPr>
          <w:rFonts w:ascii="Calibri" w:eastAsia="Times New Roman" w:hAnsi="Calibri" w:cs="Times New Roman"/>
        </w:rPr>
      </w:pPr>
      <w:r w:rsidRPr="005808FC">
        <w:rPr>
          <w:rFonts w:ascii="Calibri" w:eastAsia="Times New Roman" w:hAnsi="Calibri" w:cs="Times New Roman"/>
        </w:rPr>
        <w:t xml:space="preserve">U 2019 g. očekuje se sklapanje bilateralnog sporazuma između Republike Hrvatske </w:t>
      </w:r>
      <w:r w:rsidR="000509A0">
        <w:rPr>
          <w:rFonts w:ascii="Calibri" w:eastAsia="Times New Roman" w:hAnsi="Calibri" w:cs="Times New Roman"/>
        </w:rPr>
        <w:t xml:space="preserve"> i </w:t>
      </w:r>
      <w:r w:rsidRPr="005808FC">
        <w:rPr>
          <w:rFonts w:ascii="Calibri" w:eastAsia="Times New Roman" w:hAnsi="Calibri" w:cs="Times New Roman"/>
        </w:rPr>
        <w:t>EE</w:t>
      </w:r>
      <w:r w:rsidR="7FF51287" w:rsidRPr="005808FC">
        <w:rPr>
          <w:rFonts w:ascii="Calibri" w:eastAsia="Times New Roman" w:hAnsi="Calibri" w:cs="Times New Roman"/>
        </w:rPr>
        <w:t>Z</w:t>
      </w:r>
      <w:r w:rsidR="000509A0">
        <w:rPr>
          <w:rFonts w:ascii="Calibri" w:eastAsia="Times New Roman" w:hAnsi="Calibri" w:cs="Times New Roman"/>
        </w:rPr>
        <w:t xml:space="preserve"> i </w:t>
      </w:r>
      <w:r w:rsidR="7FF51287" w:rsidRPr="005808FC">
        <w:rPr>
          <w:rFonts w:ascii="Calibri" w:eastAsia="Times New Roman" w:hAnsi="Calibri" w:cs="Times New Roman"/>
        </w:rPr>
        <w:t>Norveške za provođenje programa.</w:t>
      </w:r>
    </w:p>
    <w:p w14:paraId="53756FE3" w14:textId="77777777" w:rsidR="00233428" w:rsidRPr="00383A74" w:rsidRDefault="00233428" w:rsidP="00E35782">
      <w:pPr>
        <w:pStyle w:val="Heading3"/>
        <w:ind w:left="900" w:hanging="900"/>
      </w:pPr>
      <w:bookmarkStart w:id="386" w:name="_Toc404268149"/>
      <w:bookmarkStart w:id="387" w:name="_Toc467589742"/>
      <w:bookmarkStart w:id="388" w:name="_Toc477265348"/>
      <w:bookmarkStart w:id="389" w:name="_Toc493666298"/>
      <w:bookmarkStart w:id="390" w:name="_Toc4156135"/>
      <w:r w:rsidRPr="00383A74">
        <w:t>ESCO model</w:t>
      </w:r>
      <w:bookmarkEnd w:id="337"/>
      <w:bookmarkEnd w:id="386"/>
      <w:bookmarkEnd w:id="387"/>
      <w:bookmarkEnd w:id="388"/>
      <w:bookmarkEnd w:id="389"/>
      <w:bookmarkEnd w:id="390"/>
    </w:p>
    <w:p w14:paraId="5B522A69" w14:textId="3655FB68"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ESCO je skraćenica od Energy Service Company</w:t>
      </w:r>
      <w:r w:rsidR="000509A0">
        <w:rPr>
          <w:rFonts w:ascii="Calibri" w:eastAsia="Times New Roman" w:hAnsi="Calibri" w:cs="Times New Roman"/>
        </w:rPr>
        <w:t xml:space="preserve"> i </w:t>
      </w:r>
      <w:r w:rsidRPr="00383A74">
        <w:rPr>
          <w:rFonts w:ascii="Calibri" w:eastAsia="Times New Roman" w:hAnsi="Calibri" w:cs="Times New Roman"/>
        </w:rPr>
        <w:t>predstavlja generičko ime koncepta na tržištu usluga na području energetike. ESCO model obuhvaća razvoj, izvedbu</w:t>
      </w:r>
      <w:r w:rsidR="000509A0">
        <w:rPr>
          <w:rFonts w:ascii="Calibri" w:eastAsia="Times New Roman" w:hAnsi="Calibri" w:cs="Times New Roman"/>
        </w:rPr>
        <w:t xml:space="preserve"> i </w:t>
      </w:r>
      <w:r w:rsidRPr="00383A74">
        <w:rPr>
          <w:rFonts w:ascii="Calibri" w:eastAsia="Times New Roman" w:hAnsi="Calibri" w:cs="Times New Roman"/>
        </w:rPr>
        <w:t>financiranje projekata s ciljem poboljšanja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smanjenja troškova za pogon</w:t>
      </w:r>
      <w:r w:rsidR="000509A0">
        <w:rPr>
          <w:rFonts w:ascii="Calibri" w:eastAsia="Times New Roman" w:hAnsi="Calibri" w:cs="Times New Roman"/>
        </w:rPr>
        <w:t xml:space="preserve"> i </w:t>
      </w:r>
      <w:r w:rsidRPr="00383A74">
        <w:rPr>
          <w:rFonts w:ascii="Calibri" w:eastAsia="Times New Roman" w:hAnsi="Calibri" w:cs="Times New Roman"/>
        </w:rPr>
        <w:t>održavanje. Cilj svakog projekta je smanjenje troška za energiju</w:t>
      </w:r>
      <w:r w:rsidR="000509A0">
        <w:rPr>
          <w:rFonts w:ascii="Calibri" w:eastAsia="Times New Roman" w:hAnsi="Calibri" w:cs="Times New Roman"/>
        </w:rPr>
        <w:t xml:space="preserve"> i </w:t>
      </w:r>
      <w:r w:rsidRPr="00383A74">
        <w:rPr>
          <w:rFonts w:ascii="Calibri" w:eastAsia="Times New Roman" w:hAnsi="Calibri" w:cs="Times New Roman"/>
        </w:rPr>
        <w:t>održavanje ugradnjom nove učinkovitije opreme</w:t>
      </w:r>
      <w:r w:rsidR="000509A0">
        <w:rPr>
          <w:rFonts w:ascii="Calibri" w:eastAsia="Times New Roman" w:hAnsi="Calibri" w:cs="Times New Roman"/>
        </w:rPr>
        <w:t xml:space="preserve"> i </w:t>
      </w:r>
      <w:r w:rsidRPr="00383A74">
        <w:rPr>
          <w:rFonts w:ascii="Calibri" w:eastAsia="Times New Roman" w:hAnsi="Calibri" w:cs="Times New Roman"/>
        </w:rPr>
        <w:t xml:space="preserve">optimiziranjem </w:t>
      </w:r>
      <w:r w:rsidRPr="00383A74">
        <w:rPr>
          <w:rFonts w:ascii="Calibri" w:eastAsia="Times New Roman" w:hAnsi="Calibri" w:cs="Times New Roman"/>
        </w:rPr>
        <w:lastRenderedPageBreak/>
        <w:t>energetskih sustava, čime se osigurava otplata investicije kroz ostvarene uštede u razdoblju od nekoliko godina ovisno o klijentu</w:t>
      </w:r>
      <w:r w:rsidR="000509A0">
        <w:rPr>
          <w:rFonts w:ascii="Calibri" w:eastAsia="Times New Roman" w:hAnsi="Calibri" w:cs="Times New Roman"/>
        </w:rPr>
        <w:t xml:space="preserve"> i </w:t>
      </w:r>
      <w:r w:rsidRPr="00383A74">
        <w:rPr>
          <w:rFonts w:ascii="Calibri" w:eastAsia="Times New Roman" w:hAnsi="Calibri" w:cs="Times New Roman"/>
        </w:rPr>
        <w:t xml:space="preserve">projektu. </w:t>
      </w:r>
    </w:p>
    <w:p w14:paraId="7A31DAE7" w14:textId="4908D23D"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Rizik ostvarenja ušteda u pravilu preuzima ESCO tvrtka davanjem jamstava, a pored inovativnih projekata za poboljšanje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smanjenja potrošnje energije često se nude</w:t>
      </w:r>
      <w:r w:rsidR="000509A0">
        <w:rPr>
          <w:rFonts w:ascii="Calibri" w:eastAsia="Times New Roman" w:hAnsi="Calibri" w:cs="Times New Roman"/>
        </w:rPr>
        <w:t xml:space="preserve"> i </w:t>
      </w:r>
      <w:r w:rsidRPr="00383A74">
        <w:rPr>
          <w:rFonts w:ascii="Calibri" w:eastAsia="Times New Roman" w:hAnsi="Calibri" w:cs="Times New Roman"/>
        </w:rPr>
        <w:t>financijska rješenja za njihovu realizaciju. Tijekom otplate investicije za energetsku učinkovitost, klijent plaća jednaki iznos za troškove energije kao prije provedbe projekta koji se dijeli na stvarni (smanjeni) trošak za energiju te trošak za otplatu investicije. Nakon otplate investicije, ESCO tvrtka izlazi iz projekta</w:t>
      </w:r>
      <w:r w:rsidR="000509A0">
        <w:rPr>
          <w:rFonts w:ascii="Calibri" w:eastAsia="Times New Roman" w:hAnsi="Calibri" w:cs="Times New Roman"/>
        </w:rPr>
        <w:t xml:space="preserve"> i </w:t>
      </w:r>
      <w:r w:rsidRPr="00383A74">
        <w:rPr>
          <w:rFonts w:ascii="Calibri" w:eastAsia="Times New Roman" w:hAnsi="Calibri" w:cs="Times New Roman"/>
        </w:rPr>
        <w:t>sve pogodnosti predaje klijentu. Svi projekti su posebno prilagođeni klijentu te je moguće</w:t>
      </w:r>
      <w:r w:rsidR="000509A0">
        <w:rPr>
          <w:rFonts w:ascii="Calibri" w:eastAsia="Times New Roman" w:hAnsi="Calibri" w:cs="Times New Roman"/>
        </w:rPr>
        <w:t xml:space="preserve"> i </w:t>
      </w:r>
      <w:r w:rsidRPr="00383A74">
        <w:rPr>
          <w:rFonts w:ascii="Calibri" w:eastAsia="Times New Roman" w:hAnsi="Calibri" w:cs="Times New Roman"/>
        </w:rPr>
        <w:t>proširenje projekta uključenjem novih mjera energetske učinkovitosti uz odgovarajuću podjelu investicije. Na taj način klijent je u mogućnosti modernizirati opremu bez rizika ulaganja, budući da rizik ostvarenja ušteda može preuzeti ESCO tvrtka. Uz to, nakon otplate investicije klijent ostvaruje pozitivne novčane tokove u razdoblju otplate</w:t>
      </w:r>
      <w:r w:rsidR="000509A0">
        <w:rPr>
          <w:rFonts w:ascii="Calibri" w:eastAsia="Times New Roman" w:hAnsi="Calibri" w:cs="Times New Roman"/>
        </w:rPr>
        <w:t xml:space="preserve"> i </w:t>
      </w:r>
      <w:r w:rsidRPr="00383A74">
        <w:rPr>
          <w:rFonts w:ascii="Calibri" w:eastAsia="Times New Roman" w:hAnsi="Calibri" w:cs="Times New Roman"/>
        </w:rPr>
        <w:t>dugoročnih ušteda.</w:t>
      </w:r>
    </w:p>
    <w:p w14:paraId="65A7CB2C" w14:textId="41417C51"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Dodatna prednost ESCO modela predstavlja činjenica da tijekom svih faza projekta korisnik usluge surađuje samo s jednom tvrtkom po principu sve na jednom mjestu, a ne sa više različitih subjekata, čime se u velikoj mjeri smanjuju troškovi projekata energetske učinkovitosti</w:t>
      </w:r>
      <w:r w:rsidR="000509A0">
        <w:rPr>
          <w:rFonts w:ascii="Calibri" w:eastAsia="Times New Roman" w:hAnsi="Calibri" w:cs="Times New Roman"/>
        </w:rPr>
        <w:t xml:space="preserve"> i </w:t>
      </w:r>
      <w:r w:rsidRPr="00383A74">
        <w:rPr>
          <w:rFonts w:ascii="Calibri" w:eastAsia="Times New Roman" w:hAnsi="Calibri" w:cs="Times New Roman"/>
        </w:rPr>
        <w:t>rizik ulaganja u njih. Također, ESCO projekt obuhvaća sve energetske sustave na određenoj lokaciji što omogućava optimalan izbor mjera s povoljnim odnosom investicija</w:t>
      </w:r>
      <w:r w:rsidR="000509A0">
        <w:rPr>
          <w:rFonts w:ascii="Calibri" w:eastAsia="Times New Roman" w:hAnsi="Calibri" w:cs="Times New Roman"/>
        </w:rPr>
        <w:t xml:space="preserve"> i </w:t>
      </w:r>
      <w:r w:rsidRPr="00383A74">
        <w:rPr>
          <w:rFonts w:ascii="Calibri" w:eastAsia="Times New Roman" w:hAnsi="Calibri" w:cs="Times New Roman"/>
        </w:rPr>
        <w:t>ušteda.</w:t>
      </w:r>
    </w:p>
    <w:p w14:paraId="712A4F8B" w14:textId="3F6AA180"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Korisnici ESCO usluge mogu biti privatna</w:t>
      </w:r>
      <w:r w:rsidR="000509A0">
        <w:rPr>
          <w:rFonts w:ascii="Calibri" w:eastAsia="Times New Roman" w:hAnsi="Calibri" w:cs="Times New Roman"/>
        </w:rPr>
        <w:t xml:space="preserve"> i </w:t>
      </w:r>
      <w:r w:rsidRPr="00383A74">
        <w:rPr>
          <w:rFonts w:ascii="Calibri" w:eastAsia="Times New Roman" w:hAnsi="Calibri" w:cs="Times New Roman"/>
        </w:rPr>
        <w:t>javna poduzeća, ustanove te jedinice lokalne</w:t>
      </w:r>
      <w:r w:rsidR="000509A0">
        <w:rPr>
          <w:rFonts w:ascii="Calibri" w:eastAsia="Times New Roman" w:hAnsi="Calibri" w:cs="Times New Roman"/>
        </w:rPr>
        <w:t xml:space="preserve"> i </w:t>
      </w:r>
      <w:r w:rsidRPr="00383A74">
        <w:rPr>
          <w:rFonts w:ascii="Calibri" w:eastAsia="Times New Roman" w:hAnsi="Calibri" w:cs="Times New Roman"/>
        </w:rPr>
        <w:t xml:space="preserve">regionalne samouprave. </w:t>
      </w:r>
    </w:p>
    <w:p w14:paraId="7F3A6B4C" w14:textId="152E6D9A" w:rsidR="00233428" w:rsidRPr="005808FC" w:rsidRDefault="00233428" w:rsidP="005808FC">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U Europi postoje</w:t>
      </w:r>
      <w:r w:rsidR="000509A0">
        <w:rPr>
          <w:rFonts w:ascii="Calibri" w:eastAsia="Times New Roman" w:hAnsi="Calibri" w:cs="Times New Roman"/>
        </w:rPr>
        <w:t xml:space="preserve"> i </w:t>
      </w:r>
      <w:r w:rsidRPr="00383A74">
        <w:rPr>
          <w:rFonts w:ascii="Calibri" w:eastAsia="Times New Roman" w:hAnsi="Calibri" w:cs="Times New Roman"/>
        </w:rPr>
        <w:t>razne varijacije ESCO poslova, poput ugovora na energetsku učinkovitost (</w:t>
      </w:r>
      <w:r w:rsidRPr="00291DF5">
        <w:rPr>
          <w:rFonts w:ascii="Calibri" w:eastAsia="Times New Roman" w:hAnsi="Calibri" w:cs="Times New Roman"/>
          <w:i/>
          <w:iCs/>
        </w:rPr>
        <w:t>EPC –</w:t>
      </w:r>
      <w:r w:rsidRPr="00383A74">
        <w:rPr>
          <w:rFonts w:ascii="Calibri" w:eastAsia="Times New Roman" w:hAnsi="Calibri" w:cs="Times New Roman"/>
        </w:rPr>
        <w:t xml:space="preserve"> </w:t>
      </w:r>
      <w:r w:rsidRPr="00291DF5">
        <w:rPr>
          <w:rFonts w:ascii="Calibri" w:eastAsia="Times New Roman" w:hAnsi="Calibri" w:cs="Times New Roman"/>
          <w:i/>
          <w:iCs/>
        </w:rPr>
        <w:t>Energy Perfomance Contracting</w:t>
      </w:r>
      <w:r w:rsidRPr="00383A74">
        <w:rPr>
          <w:rFonts w:ascii="Calibri" w:eastAsia="Times New Roman" w:hAnsi="Calibri" w:cs="Times New Roman"/>
        </w:rPr>
        <w:t>)</w:t>
      </w:r>
      <w:r w:rsidR="000509A0">
        <w:rPr>
          <w:rFonts w:ascii="Calibri" w:eastAsia="Times New Roman" w:hAnsi="Calibri" w:cs="Times New Roman"/>
        </w:rPr>
        <w:t xml:space="preserve"> i </w:t>
      </w:r>
      <w:r w:rsidRPr="00383A74">
        <w:rPr>
          <w:rFonts w:ascii="Calibri" w:eastAsia="Times New Roman" w:hAnsi="Calibri" w:cs="Times New Roman"/>
        </w:rPr>
        <w:t xml:space="preserve">ugovorne prodaje toplinske energije (tzv. </w:t>
      </w:r>
      <w:r w:rsidRPr="00291DF5">
        <w:rPr>
          <w:rFonts w:ascii="Calibri" w:eastAsia="Times New Roman" w:hAnsi="Calibri" w:cs="Times New Roman"/>
          <w:i/>
          <w:iCs/>
        </w:rPr>
        <w:t>Heat Contracting</w:t>
      </w:r>
      <w:r w:rsidRPr="00383A74">
        <w:rPr>
          <w:rFonts w:ascii="Calibri" w:eastAsia="Times New Roman" w:hAnsi="Calibri" w:cs="Times New Roman"/>
        </w:rPr>
        <w:t>). Model ugovorne prodaje topline razvijen je</w:t>
      </w:r>
      <w:r w:rsidR="000509A0">
        <w:rPr>
          <w:rFonts w:ascii="Calibri" w:eastAsia="Times New Roman" w:hAnsi="Calibri" w:cs="Times New Roman"/>
        </w:rPr>
        <w:t xml:space="preserve"> i </w:t>
      </w:r>
      <w:r w:rsidRPr="00383A74">
        <w:rPr>
          <w:rFonts w:ascii="Calibri" w:eastAsia="Times New Roman" w:hAnsi="Calibri" w:cs="Times New Roman"/>
        </w:rPr>
        <w:t>primijenjen u velikoj mjeri u Austriji, Finskoj, Švedskoj</w:t>
      </w:r>
      <w:r w:rsidR="000509A0">
        <w:rPr>
          <w:rFonts w:ascii="Calibri" w:eastAsia="Times New Roman" w:hAnsi="Calibri" w:cs="Times New Roman"/>
        </w:rPr>
        <w:t xml:space="preserve"> i </w:t>
      </w:r>
      <w:r w:rsidRPr="00383A74">
        <w:rPr>
          <w:rFonts w:ascii="Calibri" w:eastAsia="Times New Roman" w:hAnsi="Calibri" w:cs="Times New Roman"/>
        </w:rPr>
        <w:t>drugim EU zemljama sa značajnim iskustvima u modernom iskorištavanju biomase iz privatnih šuma, dok u Hrvatskoj trenutno ne postoji niti jedan primjer primjene. Osnovni princip ovog modela sastoji se u tome da privatni poduzetnici prodaju toplinsku energiju krajnjim potrošačima (primjerice, zgradama javne namjene).</w:t>
      </w:r>
    </w:p>
    <w:p w14:paraId="7F3340B6" w14:textId="77777777" w:rsidR="00233428" w:rsidRPr="00383A74" w:rsidRDefault="00233428" w:rsidP="00E16DFD">
      <w:pPr>
        <w:pStyle w:val="Heading3"/>
        <w:ind w:left="993" w:hanging="993"/>
      </w:pPr>
      <w:bookmarkStart w:id="391" w:name="_Toc467589743"/>
      <w:bookmarkStart w:id="392" w:name="_Toc477265349"/>
      <w:bookmarkStart w:id="393" w:name="_Toc493666299"/>
      <w:bookmarkStart w:id="394" w:name="_Toc4156136"/>
      <w:r w:rsidRPr="00383A74">
        <w:t>Javno-privatno partnerstvo</w:t>
      </w:r>
      <w:bookmarkEnd w:id="391"/>
      <w:bookmarkEnd w:id="392"/>
      <w:bookmarkEnd w:id="393"/>
      <w:bookmarkEnd w:id="394"/>
    </w:p>
    <w:p w14:paraId="6C467AEE" w14:textId="213AFFCD"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Javno privatno partnerstvo (JPP) je zajedničko, kooperativno djelovanje javnog sektora s privatnim sektorom u proizvodnji javnih proizvoda ili pružanju javnih usluga. Javni sektor se javlja kao proizvođač</w:t>
      </w:r>
      <w:r w:rsidR="000509A0">
        <w:rPr>
          <w:rFonts w:ascii="Calibri" w:eastAsia="Times New Roman" w:hAnsi="Calibri" w:cs="Times New Roman"/>
        </w:rPr>
        <w:t xml:space="preserve"> i </w:t>
      </w:r>
      <w:r w:rsidRPr="00383A74">
        <w:rPr>
          <w:rFonts w:ascii="Calibri" w:eastAsia="Times New Roman" w:hAnsi="Calibri" w:cs="Times New Roman"/>
        </w:rPr>
        <w:t>ponuđač suradnje – kao partner koji ugovorno definira vrste</w:t>
      </w:r>
      <w:r w:rsidR="000509A0">
        <w:rPr>
          <w:rFonts w:ascii="Calibri" w:eastAsia="Times New Roman" w:hAnsi="Calibri" w:cs="Times New Roman"/>
        </w:rPr>
        <w:t xml:space="preserve"> i </w:t>
      </w:r>
      <w:r w:rsidRPr="00383A74">
        <w:rPr>
          <w:rFonts w:ascii="Calibri" w:eastAsia="Times New Roman" w:hAnsi="Calibri" w:cs="Times New Roman"/>
        </w:rPr>
        <w:t>obim poslova ili usluga koje namjerava prenijeti na privatni sektor</w:t>
      </w:r>
      <w:r w:rsidR="000509A0">
        <w:rPr>
          <w:rFonts w:ascii="Calibri" w:eastAsia="Times New Roman" w:hAnsi="Calibri" w:cs="Times New Roman"/>
        </w:rPr>
        <w:t xml:space="preserve"> i </w:t>
      </w:r>
      <w:r w:rsidRPr="00383A74">
        <w:rPr>
          <w:rFonts w:ascii="Calibri" w:eastAsia="Times New Roman" w:hAnsi="Calibri" w:cs="Times New Roman"/>
        </w:rPr>
        <w:t>koji obavljanje javnih poslova nudi privatnom sektoru. Privatni sektor se javlja kao partner koji potražuje takvu suradnju, ukoliko može ostvariti poslovni interes (profit)</w:t>
      </w:r>
      <w:r w:rsidR="000509A0">
        <w:rPr>
          <w:rFonts w:ascii="Calibri" w:eastAsia="Times New Roman" w:hAnsi="Calibri" w:cs="Times New Roman"/>
        </w:rPr>
        <w:t xml:space="preserve"> i </w:t>
      </w:r>
      <w:r w:rsidRPr="00383A74">
        <w:rPr>
          <w:rFonts w:ascii="Calibri" w:eastAsia="Times New Roman" w:hAnsi="Calibri" w:cs="Times New Roman"/>
        </w:rPr>
        <w:t>koji je dužan kvalitetno izvršavati ugovorno dobivene</w:t>
      </w:r>
      <w:r w:rsidR="000509A0">
        <w:rPr>
          <w:rFonts w:ascii="Calibri" w:eastAsia="Times New Roman" w:hAnsi="Calibri" w:cs="Times New Roman"/>
        </w:rPr>
        <w:t xml:space="preserve"> i </w:t>
      </w:r>
      <w:r w:rsidRPr="00383A74">
        <w:rPr>
          <w:rFonts w:ascii="Calibri" w:eastAsia="Times New Roman" w:hAnsi="Calibri" w:cs="Times New Roman"/>
        </w:rPr>
        <w:t>definirane poslove.</w:t>
      </w:r>
    </w:p>
    <w:p w14:paraId="66E6DD31" w14:textId="54B8B791"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Cilj javno privatnog partnerstva je ekonomičnija, djelotvornija</w:t>
      </w:r>
      <w:r w:rsidR="000509A0">
        <w:rPr>
          <w:rFonts w:ascii="Calibri" w:eastAsia="Times New Roman" w:hAnsi="Calibri" w:cs="Times New Roman"/>
        </w:rPr>
        <w:t xml:space="preserve"> i </w:t>
      </w:r>
      <w:r w:rsidRPr="00383A74">
        <w:rPr>
          <w:rFonts w:ascii="Calibri" w:eastAsia="Times New Roman" w:hAnsi="Calibri" w:cs="Times New Roman"/>
        </w:rPr>
        <w:t>učinkovitija</w:t>
      </w:r>
      <w:r w:rsidR="00B25B9E">
        <w:rPr>
          <w:rFonts w:ascii="Calibri" w:eastAsia="Times New Roman" w:hAnsi="Calibri" w:cs="Times New Roman"/>
        </w:rPr>
        <w:t xml:space="preserve"> </w:t>
      </w:r>
      <w:r w:rsidRPr="00383A74">
        <w:rPr>
          <w:rFonts w:ascii="Calibri" w:eastAsia="Times New Roman" w:hAnsi="Calibri" w:cs="Times New Roman"/>
        </w:rPr>
        <w:t>proizvodnja javnih proizvoda ili usluga u odnosu na tradicionalan način pružanja javnih usluga. JPP javlja u različitim područjima javne uprave, u različitim oblicima, s različitim rokom trajanja</w:t>
      </w:r>
      <w:r w:rsidR="000509A0">
        <w:rPr>
          <w:rFonts w:ascii="Calibri" w:eastAsia="Times New Roman" w:hAnsi="Calibri" w:cs="Times New Roman"/>
        </w:rPr>
        <w:t xml:space="preserve"> i </w:t>
      </w:r>
      <w:r w:rsidRPr="00383A74">
        <w:rPr>
          <w:rFonts w:ascii="Calibri" w:eastAsia="Times New Roman" w:hAnsi="Calibri" w:cs="Times New Roman"/>
        </w:rPr>
        <w:t>s različitim intenzitetom, a najčešće u slučajevima kada javna uprava nije u mogućnosti neposredno obavljati javne poslove u vlastitoj režiji iz dva razloga:</w:t>
      </w:r>
    </w:p>
    <w:p w14:paraId="41C08DD2" w14:textId="4D671283" w:rsidR="00233428" w:rsidRPr="00383A74" w:rsidRDefault="00233428" w:rsidP="00E35782">
      <w:pPr>
        <w:numPr>
          <w:ilvl w:val="0"/>
          <w:numId w:val="71"/>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lastRenderedPageBreak/>
        <w:t>Zbog nedovoljne stručnosti djelatnika javne uprave, kada su u pitanju specifično stručni poslovi (npr. medicina, nafta</w:t>
      </w:r>
      <w:r w:rsidR="000509A0">
        <w:rPr>
          <w:rFonts w:ascii="Calibri" w:eastAsia="Times New Roman" w:hAnsi="Calibri" w:cs="Times New Roman"/>
        </w:rPr>
        <w:t xml:space="preserve"> i </w:t>
      </w:r>
      <w:r w:rsidRPr="00383A74">
        <w:rPr>
          <w:rFonts w:ascii="Calibri" w:eastAsia="Times New Roman" w:hAnsi="Calibri" w:cs="Times New Roman"/>
        </w:rPr>
        <w:t xml:space="preserve">sl.); </w:t>
      </w:r>
    </w:p>
    <w:p w14:paraId="130D9625" w14:textId="77777777" w:rsidR="00233428" w:rsidRPr="00383A74" w:rsidRDefault="00233428" w:rsidP="00E35782">
      <w:pPr>
        <w:numPr>
          <w:ilvl w:val="0"/>
          <w:numId w:val="71"/>
        </w:numPr>
        <w:tabs>
          <w:tab w:val="left" w:pos="720"/>
          <w:tab w:val="left" w:pos="6912"/>
        </w:tabs>
        <w:rPr>
          <w:rFonts w:ascii="Calibri" w:eastAsia="Times New Roman" w:hAnsi="Calibri" w:cs="Times New Roman"/>
        </w:rPr>
      </w:pPr>
      <w:r w:rsidRPr="00383A74">
        <w:rPr>
          <w:rFonts w:ascii="Calibri" w:eastAsia="Times New Roman" w:hAnsi="Calibri" w:cs="Times New Roman"/>
        </w:rPr>
        <w:t xml:space="preserve">Zbog velikih troškova izvedbe javnih poslova u vlastitoj režiji (npr. nabavka građevinske mehanizacije). </w:t>
      </w:r>
    </w:p>
    <w:p w14:paraId="0B45CFA7" w14:textId="77777777" w:rsidR="00233428" w:rsidRPr="00383A74" w:rsidRDefault="00233428" w:rsidP="00E35782">
      <w:p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Karakteristike projekata JPP su:</w:t>
      </w:r>
    </w:p>
    <w:p w14:paraId="103BF4B7" w14:textId="063E0775" w:rsidR="00233428" w:rsidRPr="00383A74" w:rsidRDefault="00233428" w:rsidP="00E35782">
      <w:pPr>
        <w:numPr>
          <w:ilvl w:val="0"/>
          <w:numId w:val="72"/>
        </w:numPr>
        <w:tabs>
          <w:tab w:val="left" w:pos="720"/>
          <w:tab w:val="left" w:pos="6912"/>
        </w:tabs>
        <w:spacing w:after="0"/>
        <w:rPr>
          <w:rFonts w:ascii="Calibri" w:eastAsia="Times New Roman" w:hAnsi="Calibri" w:cs="Times New Roman"/>
        </w:rPr>
      </w:pPr>
      <w:r w:rsidRPr="00383A74">
        <w:rPr>
          <w:rFonts w:ascii="Calibri" w:eastAsia="Times New Roman" w:hAnsi="Calibri" w:cs="Times New Roman"/>
        </w:rPr>
        <w:t>Dugoročna ugovorna suradnja (maksimalno 40 godina) između javnog</w:t>
      </w:r>
      <w:r w:rsidR="000509A0">
        <w:rPr>
          <w:rFonts w:ascii="Calibri" w:eastAsia="Times New Roman" w:hAnsi="Calibri" w:cs="Times New Roman"/>
        </w:rPr>
        <w:t xml:space="preserve"> i </w:t>
      </w:r>
      <w:r w:rsidRPr="00383A74">
        <w:rPr>
          <w:rFonts w:ascii="Calibri" w:eastAsia="Times New Roman" w:hAnsi="Calibri" w:cs="Times New Roman"/>
        </w:rPr>
        <w:t xml:space="preserve">privatnog sektora, </w:t>
      </w:r>
    </w:p>
    <w:p w14:paraId="6727C90D" w14:textId="14B0BB25" w:rsidR="00233428" w:rsidRPr="00383A74" w:rsidRDefault="00233428" w:rsidP="00E35782">
      <w:pPr>
        <w:numPr>
          <w:ilvl w:val="0"/>
          <w:numId w:val="72"/>
        </w:numPr>
        <w:tabs>
          <w:tab w:val="left" w:pos="720"/>
          <w:tab w:val="left" w:pos="6912"/>
        </w:tabs>
        <w:rPr>
          <w:rFonts w:ascii="Calibri" w:eastAsia="Times New Roman" w:hAnsi="Calibri" w:cs="Times New Roman"/>
        </w:rPr>
      </w:pPr>
      <w:r w:rsidRPr="00383A74">
        <w:rPr>
          <w:rFonts w:ascii="Calibri" w:eastAsia="Times New Roman" w:hAnsi="Calibri" w:cs="Times New Roman"/>
        </w:rPr>
        <w:t>Stvarna preraspodjela poslovnog rizika izgradnje, raspoloživosti</w:t>
      </w:r>
      <w:r w:rsidR="000509A0">
        <w:rPr>
          <w:rFonts w:ascii="Calibri" w:eastAsia="Times New Roman" w:hAnsi="Calibri" w:cs="Times New Roman"/>
        </w:rPr>
        <w:t xml:space="preserve"> i </w:t>
      </w:r>
      <w:r w:rsidRPr="00383A74">
        <w:rPr>
          <w:rFonts w:ascii="Calibri" w:eastAsia="Times New Roman" w:hAnsi="Calibri" w:cs="Times New Roman"/>
        </w:rPr>
        <w:t>potražnje (dva od navedena tri rizika moraju biti na privatnom partneru).</w:t>
      </w:r>
    </w:p>
    <w:p w14:paraId="7C58D6E1" w14:textId="76AB3B24" w:rsidR="00233428" w:rsidRPr="00383A74" w:rsidRDefault="00233428" w:rsidP="00E35782">
      <w:pPr>
        <w:tabs>
          <w:tab w:val="left" w:pos="720"/>
          <w:tab w:val="left" w:pos="6912"/>
        </w:tabs>
        <w:rPr>
          <w:rFonts w:ascii="Calibri" w:eastAsia="Times New Roman" w:hAnsi="Calibri" w:cs="Times New Roman"/>
        </w:rPr>
      </w:pPr>
      <w:r w:rsidRPr="00383A74">
        <w:rPr>
          <w:rFonts w:ascii="Calibri" w:eastAsia="Times New Roman" w:hAnsi="Calibri" w:cs="Times New Roman"/>
        </w:rPr>
        <w:t>Europska unija donijela je Zelenu knjigu o javno-privatnom partnerstvu Europske unije o javnim ugovorima</w:t>
      </w:r>
      <w:r w:rsidR="000509A0">
        <w:rPr>
          <w:rFonts w:ascii="Calibri" w:eastAsia="Times New Roman" w:hAnsi="Calibri" w:cs="Times New Roman"/>
        </w:rPr>
        <w:t xml:space="preserve"> i </w:t>
      </w:r>
      <w:r w:rsidRPr="00383A74">
        <w:rPr>
          <w:rFonts w:ascii="Calibri" w:eastAsia="Times New Roman" w:hAnsi="Calibri" w:cs="Times New Roman"/>
        </w:rPr>
        <w:t>koncesijama. U tom se dokumentu analizira pojava JPP-a,</w:t>
      </w:r>
      <w:r w:rsidR="000509A0">
        <w:rPr>
          <w:rFonts w:ascii="Calibri" w:eastAsia="Times New Roman" w:hAnsi="Calibri" w:cs="Times New Roman"/>
        </w:rPr>
        <w:t xml:space="preserve"> i </w:t>
      </w:r>
      <w:r w:rsidRPr="00383A74">
        <w:rPr>
          <w:rFonts w:ascii="Calibri" w:eastAsia="Times New Roman" w:hAnsi="Calibri" w:cs="Times New Roman"/>
        </w:rPr>
        <w:t>to ponajprije radi njihove klasifikacije, kako bi se utvrdilo koji oblici takvog povezivanja spadaju pod propise EU o javnim nabavama, a koji se mogu ugovarati na drugi način. Područje javno-privatnog partnerstva u Republici Hrvatskoj regulirano je Zakonom o JPP-u (NN 78/12</w:t>
      </w:r>
      <w:r w:rsidR="000509A0">
        <w:rPr>
          <w:rFonts w:ascii="Calibri" w:eastAsia="Times New Roman" w:hAnsi="Calibri" w:cs="Times New Roman"/>
        </w:rPr>
        <w:t xml:space="preserve"> i </w:t>
      </w:r>
      <w:r w:rsidRPr="00383A74">
        <w:rPr>
          <w:rFonts w:ascii="Calibri" w:eastAsia="Times New Roman" w:hAnsi="Calibri" w:cs="Times New Roman"/>
        </w:rPr>
        <w:t>NN 152/2014)</w:t>
      </w:r>
      <w:r w:rsidR="000509A0">
        <w:rPr>
          <w:rFonts w:ascii="Calibri" w:eastAsia="Times New Roman" w:hAnsi="Calibri" w:cs="Times New Roman"/>
        </w:rPr>
        <w:t xml:space="preserve"> i </w:t>
      </w:r>
      <w:r w:rsidRPr="00383A74">
        <w:rPr>
          <w:rFonts w:ascii="Calibri" w:eastAsia="Times New Roman" w:hAnsi="Calibri" w:cs="Times New Roman"/>
        </w:rPr>
        <w:t>Uredbom o provedbi projekata javno-privatnog partnerstva (NN 88/12</w:t>
      </w:r>
      <w:r w:rsidR="000509A0">
        <w:rPr>
          <w:rFonts w:ascii="Calibri" w:eastAsia="Times New Roman" w:hAnsi="Calibri" w:cs="Times New Roman"/>
        </w:rPr>
        <w:t xml:space="preserve"> i </w:t>
      </w:r>
      <w:r w:rsidRPr="00383A74">
        <w:rPr>
          <w:rFonts w:ascii="Calibri" w:eastAsia="Times New Roman" w:hAnsi="Calibri" w:cs="Times New Roman"/>
        </w:rPr>
        <w:t>15/15), Zakonom o koncesijama (NN 143/12) te Zakonom o javnoj nabavi (NN 90/11, 83/13</w:t>
      </w:r>
      <w:r w:rsidR="000509A0">
        <w:rPr>
          <w:rFonts w:ascii="Calibri" w:eastAsia="Times New Roman" w:hAnsi="Calibri" w:cs="Times New Roman"/>
        </w:rPr>
        <w:t xml:space="preserve"> i </w:t>
      </w:r>
      <w:r w:rsidRPr="00383A74">
        <w:rPr>
          <w:rFonts w:ascii="Calibri" w:eastAsia="Times New Roman" w:hAnsi="Calibri" w:cs="Times New Roman"/>
        </w:rPr>
        <w:t>143/13) vezano na postupke dodjele ugovora o javnoj nabavi</w:t>
      </w:r>
      <w:r w:rsidR="000509A0">
        <w:rPr>
          <w:rFonts w:ascii="Calibri" w:eastAsia="Times New Roman" w:hAnsi="Calibri" w:cs="Times New Roman"/>
        </w:rPr>
        <w:t xml:space="preserve"> i </w:t>
      </w:r>
      <w:r w:rsidRPr="00383A74">
        <w:rPr>
          <w:rFonts w:ascii="Calibri" w:eastAsia="Times New Roman" w:hAnsi="Calibri" w:cs="Times New Roman"/>
        </w:rPr>
        <w:t>ugovora o koncesijama.</w:t>
      </w:r>
    </w:p>
    <w:p w14:paraId="773869CD" w14:textId="2208DC3A" w:rsidR="00233428" w:rsidRPr="00383A74" w:rsidRDefault="00233428" w:rsidP="00E35782">
      <w:r w:rsidRPr="00383A74">
        <w:rPr>
          <w:rFonts w:ascii="Calibri" w:eastAsia="Times New Roman" w:hAnsi="Calibri" w:cs="Times New Roman"/>
        </w:rPr>
        <w:t>Prednost financiranja projekata putem javno-privatnog partnerstva je u činjenici da se takva investicija ne promatra kao povećanje javnog duga. Ključan uvjet nalazi se u klasifikaciji imovine koja se razmatra uz ugovor o partnerstvu. Imovina iz ugovora ne smatra se imovinom grada samo ako postoji čvrst dokaz da privatni partner snosi većinu rizika vezanog uz partnerstvo. U uvjetima prezaduženosti jedinica lokalne</w:t>
      </w:r>
      <w:r w:rsidR="000509A0">
        <w:rPr>
          <w:rFonts w:ascii="Calibri" w:eastAsia="Times New Roman" w:hAnsi="Calibri" w:cs="Times New Roman"/>
        </w:rPr>
        <w:t xml:space="preserve"> i </w:t>
      </w:r>
      <w:r w:rsidRPr="00383A74">
        <w:rPr>
          <w:rFonts w:ascii="Calibri" w:eastAsia="Times New Roman" w:hAnsi="Calibri" w:cs="Times New Roman"/>
        </w:rPr>
        <w:t>regionalne samouprave te manjka javnih (bespovratnih) sredstava javno-privatno partnerstvo predstavlja model kojim je moguće pokrenuti značajno veći obujam projekata u sektoru energetske obnove</w:t>
      </w:r>
      <w:r w:rsidRPr="00383A74">
        <w:t>.</w:t>
      </w:r>
    </w:p>
    <w:p w14:paraId="742ABB0E" w14:textId="357C75B3" w:rsidR="00E848F8" w:rsidRPr="00922031" w:rsidRDefault="00E848F8" w:rsidP="00975CD4">
      <w:pPr>
        <w:ind w:left="720" w:hanging="540"/>
        <w:rPr>
          <w:rFonts w:cstheme="minorHAnsi"/>
        </w:rPr>
      </w:pPr>
      <w:r w:rsidRPr="00922031">
        <w:rPr>
          <w:rFonts w:cstheme="minorHAnsi"/>
        </w:rPr>
        <w:br w:type="page"/>
      </w:r>
    </w:p>
    <w:p w14:paraId="0A01E628" w14:textId="065F19B1" w:rsidR="00726EB4" w:rsidRDefault="00726EB4" w:rsidP="00F5641B">
      <w:pPr>
        <w:pStyle w:val="Heading1"/>
      </w:pPr>
      <w:bookmarkStart w:id="395" w:name="_Toc4156137"/>
      <w:r w:rsidRPr="00922031">
        <w:lastRenderedPageBreak/>
        <w:t>ZAKLJUČCI</w:t>
      </w:r>
      <w:r w:rsidR="000509A0">
        <w:t xml:space="preserve"> </w:t>
      </w:r>
      <w:r w:rsidR="00B227CC">
        <w:t>I</w:t>
      </w:r>
      <w:r w:rsidR="000509A0">
        <w:t xml:space="preserve"> </w:t>
      </w:r>
      <w:r w:rsidRPr="00922031">
        <w:t>PREPORUKE</w:t>
      </w:r>
      <w:bookmarkEnd w:id="395"/>
    </w:p>
    <w:p w14:paraId="1DCA581E" w14:textId="77777777" w:rsidR="00291DF5" w:rsidRDefault="00291DF5" w:rsidP="00425A8B">
      <w:pPr>
        <w:pStyle w:val="paragraph"/>
        <w:spacing w:before="0" w:beforeAutospacing="0" w:after="0" w:afterAutospacing="0" w:line="276" w:lineRule="auto"/>
        <w:jc w:val="both"/>
        <w:textAlignment w:val="baseline"/>
        <w:rPr>
          <w:rFonts w:asciiTheme="minorHAnsi" w:eastAsiaTheme="minorHAnsi" w:hAnsiTheme="minorHAnsi" w:cstheme="minorBidi"/>
          <w:sz w:val="22"/>
          <w:szCs w:val="22"/>
          <w:lang w:val="hr-HR"/>
        </w:rPr>
      </w:pPr>
    </w:p>
    <w:p w14:paraId="6CD49D54" w14:textId="6EF216CB" w:rsidR="00B227CC" w:rsidRDefault="00291DF5" w:rsidP="005808FC">
      <w:pPr>
        <w:pStyle w:val="paragraph"/>
        <w:spacing w:before="0" w:beforeAutospacing="0" w:after="0" w:afterAutospacing="0" w:line="276" w:lineRule="auto"/>
        <w:jc w:val="both"/>
        <w:textAlignment w:val="baseline"/>
        <w:rPr>
          <w:rStyle w:val="eop"/>
          <w:rFonts w:ascii="Calibri" w:eastAsiaTheme="minorHAnsi" w:hAnsi="Calibri" w:cs="Calibri"/>
          <w:sz w:val="22"/>
          <w:szCs w:val="22"/>
          <w:lang w:val="hr-HR"/>
        </w:rPr>
      </w:pPr>
      <w:r>
        <w:rPr>
          <w:rStyle w:val="normaltextrun"/>
          <w:rFonts w:ascii="Calibri" w:eastAsiaTheme="majorEastAsia" w:hAnsi="Calibri" w:cs="Calibri"/>
          <w:sz w:val="22"/>
          <w:szCs w:val="22"/>
          <w:lang w:val="hr-HR"/>
        </w:rPr>
        <w:t>A</w:t>
      </w:r>
      <w:r w:rsidR="00B227CC">
        <w:rPr>
          <w:rStyle w:val="normaltextrun"/>
          <w:rFonts w:ascii="Calibri" w:eastAsiaTheme="majorEastAsia" w:hAnsi="Calibri" w:cs="Calibri"/>
          <w:sz w:val="22"/>
          <w:szCs w:val="22"/>
          <w:lang w:val="hr-HR"/>
        </w:rPr>
        <w:t>kcijski plan energetski održivog razvitka i prilagodbe klimatskim promjenama (</w:t>
      </w:r>
      <w:r w:rsidR="00B227CC">
        <w:rPr>
          <w:rStyle w:val="spellingerror"/>
          <w:rFonts w:ascii="Calibri" w:eastAsiaTheme="majorEastAsia" w:hAnsi="Calibri" w:cs="Calibri"/>
          <w:sz w:val="22"/>
          <w:szCs w:val="22"/>
          <w:lang w:val="hr-HR"/>
        </w:rPr>
        <w:t>eng</w:t>
      </w:r>
      <w:r w:rsidR="00B227CC">
        <w:rPr>
          <w:rStyle w:val="normaltextrun"/>
          <w:rFonts w:ascii="Calibri" w:eastAsiaTheme="majorEastAsia" w:hAnsi="Calibri" w:cs="Calibri"/>
          <w:sz w:val="22"/>
          <w:szCs w:val="22"/>
          <w:lang w:val="hr-HR"/>
        </w:rPr>
        <w:t>. </w:t>
      </w:r>
      <w:r w:rsidR="00B227CC" w:rsidRPr="005808FC">
        <w:rPr>
          <w:rStyle w:val="spellingerror"/>
          <w:rFonts w:ascii="Calibri" w:eastAsiaTheme="majorEastAsia" w:hAnsi="Calibri" w:cs="Calibri"/>
          <w:i/>
          <w:sz w:val="22"/>
          <w:szCs w:val="22"/>
          <w:lang w:val="hr-HR"/>
        </w:rPr>
        <w:t>Sustainable</w:t>
      </w:r>
      <w:r w:rsidR="00B227CC" w:rsidRPr="005808FC">
        <w:rPr>
          <w:rStyle w:val="normaltextrun"/>
          <w:rFonts w:ascii="Calibri" w:eastAsiaTheme="majorEastAsia" w:hAnsi="Calibri" w:cs="Calibri"/>
          <w:i/>
          <w:sz w:val="22"/>
          <w:szCs w:val="22"/>
          <w:lang w:val="hr-HR"/>
        </w:rPr>
        <w:t> Energy </w:t>
      </w:r>
      <w:r w:rsidR="00B227CC" w:rsidRPr="005808FC">
        <w:rPr>
          <w:rStyle w:val="spellingerror"/>
          <w:rFonts w:ascii="Calibri" w:eastAsiaTheme="majorEastAsia" w:hAnsi="Calibri" w:cs="Calibri"/>
          <w:i/>
          <w:sz w:val="22"/>
          <w:szCs w:val="22"/>
          <w:lang w:val="hr-HR"/>
        </w:rPr>
        <w:t>and</w:t>
      </w:r>
      <w:r w:rsidR="00B227CC" w:rsidRPr="005808FC">
        <w:rPr>
          <w:rStyle w:val="normaltextrun"/>
          <w:rFonts w:ascii="Calibri" w:eastAsiaTheme="majorEastAsia" w:hAnsi="Calibri" w:cs="Calibri"/>
          <w:i/>
          <w:sz w:val="22"/>
          <w:szCs w:val="22"/>
          <w:lang w:val="hr-HR"/>
        </w:rPr>
        <w:t> </w:t>
      </w:r>
      <w:r w:rsidR="00B227CC" w:rsidRPr="005808FC">
        <w:rPr>
          <w:rStyle w:val="spellingerror"/>
          <w:rFonts w:ascii="Calibri" w:eastAsiaTheme="majorEastAsia" w:hAnsi="Calibri" w:cs="Calibri"/>
          <w:i/>
          <w:sz w:val="22"/>
          <w:szCs w:val="22"/>
          <w:lang w:val="hr-HR"/>
        </w:rPr>
        <w:t>Climate</w:t>
      </w:r>
      <w:r w:rsidR="00B227CC" w:rsidRPr="005808FC">
        <w:rPr>
          <w:rStyle w:val="normaltextrun"/>
          <w:rFonts w:ascii="Calibri" w:eastAsiaTheme="majorEastAsia" w:hAnsi="Calibri" w:cs="Calibri"/>
          <w:i/>
          <w:sz w:val="22"/>
          <w:szCs w:val="22"/>
          <w:lang w:val="hr-HR"/>
        </w:rPr>
        <w:t> </w:t>
      </w:r>
      <w:r w:rsidR="00B227CC" w:rsidRPr="005808FC">
        <w:rPr>
          <w:rStyle w:val="spellingerror"/>
          <w:rFonts w:ascii="Calibri" w:eastAsiaTheme="majorEastAsia" w:hAnsi="Calibri" w:cs="Calibri"/>
          <w:i/>
          <w:sz w:val="22"/>
          <w:szCs w:val="22"/>
          <w:lang w:val="hr-HR"/>
        </w:rPr>
        <w:t>Action</w:t>
      </w:r>
      <w:r w:rsidR="00B227CC" w:rsidRPr="005808FC">
        <w:rPr>
          <w:rStyle w:val="normaltextrun"/>
          <w:rFonts w:ascii="Calibri" w:eastAsiaTheme="majorEastAsia" w:hAnsi="Calibri" w:cs="Calibri"/>
          <w:i/>
          <w:sz w:val="22"/>
          <w:szCs w:val="22"/>
          <w:lang w:val="hr-HR"/>
        </w:rPr>
        <w:t> Plan</w:t>
      </w:r>
      <w:r w:rsidR="00F1319B">
        <w:rPr>
          <w:rStyle w:val="normaltextrun"/>
          <w:rFonts w:ascii="Calibri" w:eastAsiaTheme="majorEastAsia" w:hAnsi="Calibri" w:cs="Calibri"/>
          <w:i/>
          <w:sz w:val="22"/>
          <w:szCs w:val="22"/>
          <w:lang w:val="hr-HR"/>
        </w:rPr>
        <w:t xml:space="preserve"> </w:t>
      </w:r>
      <w:r w:rsidR="00B227CC" w:rsidRPr="005808FC">
        <w:rPr>
          <w:rStyle w:val="normaltextrun"/>
          <w:rFonts w:ascii="Calibri" w:eastAsiaTheme="majorEastAsia" w:hAnsi="Calibri" w:cs="Calibri"/>
          <w:i/>
          <w:sz w:val="22"/>
          <w:szCs w:val="22"/>
          <w:lang w:val="hr-HR"/>
        </w:rPr>
        <w:t>–</w:t>
      </w:r>
      <w:r w:rsidR="00F1319B">
        <w:rPr>
          <w:rStyle w:val="normaltextrun"/>
          <w:rFonts w:ascii="Calibri" w:eastAsiaTheme="majorEastAsia" w:hAnsi="Calibri" w:cs="Calibri"/>
          <w:i/>
          <w:sz w:val="22"/>
          <w:szCs w:val="22"/>
          <w:lang w:val="hr-HR"/>
        </w:rPr>
        <w:t xml:space="preserve"> </w:t>
      </w:r>
      <w:r w:rsidR="00B227CC" w:rsidRPr="005808FC">
        <w:rPr>
          <w:rStyle w:val="normaltextrun"/>
          <w:rFonts w:ascii="Calibri" w:eastAsiaTheme="majorEastAsia" w:hAnsi="Calibri" w:cs="Calibri"/>
          <w:i/>
          <w:sz w:val="22"/>
          <w:szCs w:val="22"/>
          <w:lang w:val="hr-HR"/>
        </w:rPr>
        <w:t>SECAP</w:t>
      </w:r>
      <w:r w:rsidR="00212487">
        <w:rPr>
          <w:rStyle w:val="normaltextrun"/>
          <w:rFonts w:ascii="Calibri" w:eastAsiaTheme="majorEastAsia" w:hAnsi="Calibri" w:cs="Calibri"/>
          <w:sz w:val="22"/>
          <w:szCs w:val="22"/>
          <w:lang w:val="hr-HR"/>
        </w:rPr>
        <w:t xml:space="preserve">) predstavlja ambiciozan </w:t>
      </w:r>
      <w:r w:rsidR="00B227CC">
        <w:rPr>
          <w:rStyle w:val="normaltextrun"/>
          <w:rFonts w:ascii="Calibri" w:eastAsiaTheme="majorEastAsia" w:hAnsi="Calibri" w:cs="Calibri"/>
          <w:sz w:val="22"/>
          <w:szCs w:val="22"/>
          <w:lang w:val="hr-HR"/>
        </w:rPr>
        <w:t xml:space="preserve">ključni </w:t>
      </w:r>
      <w:r w:rsidR="00212487">
        <w:rPr>
          <w:rStyle w:val="normaltextrun"/>
          <w:rFonts w:ascii="Calibri" w:eastAsiaTheme="majorEastAsia" w:hAnsi="Calibri" w:cs="Calibri"/>
          <w:sz w:val="22"/>
          <w:szCs w:val="22"/>
          <w:lang w:val="hr-HR"/>
        </w:rPr>
        <w:t xml:space="preserve">dokument </w:t>
      </w:r>
      <w:r w:rsidR="00B227CC">
        <w:rPr>
          <w:rStyle w:val="normaltextrun"/>
          <w:rFonts w:ascii="Calibri" w:eastAsiaTheme="majorEastAsia" w:hAnsi="Calibri" w:cs="Calibri"/>
          <w:sz w:val="22"/>
          <w:szCs w:val="22"/>
          <w:lang w:val="hr-HR"/>
        </w:rPr>
        <w:t xml:space="preserve">gradske razine koji na bazi prikupljenih podataka o zatečenom stanju identificira te daje precizne i jasne odrednice za provedbu projekata i mjera energetske učinkovitosti, korištenja obnovljivih izvora energije te prilagodbe učincima klimatskih </w:t>
      </w:r>
      <w:r w:rsidR="00212487">
        <w:rPr>
          <w:rStyle w:val="normaltextrun"/>
          <w:rFonts w:ascii="Calibri" w:eastAsiaTheme="majorEastAsia" w:hAnsi="Calibri" w:cs="Calibri"/>
          <w:sz w:val="22"/>
          <w:szCs w:val="22"/>
          <w:lang w:val="hr-HR"/>
        </w:rPr>
        <w:t xml:space="preserve">promjena </w:t>
      </w:r>
      <w:r w:rsidR="00B227CC">
        <w:rPr>
          <w:rStyle w:val="normaltextrun"/>
          <w:rFonts w:ascii="Calibri" w:eastAsiaTheme="majorEastAsia" w:hAnsi="Calibri" w:cs="Calibri"/>
          <w:sz w:val="22"/>
          <w:szCs w:val="22"/>
          <w:lang w:val="hr-HR"/>
        </w:rPr>
        <w:t xml:space="preserve">kako bi dosegli zadani </w:t>
      </w:r>
      <w:r w:rsidR="00212487">
        <w:rPr>
          <w:rStyle w:val="normaltextrun"/>
          <w:rFonts w:ascii="Calibri" w:eastAsiaTheme="majorEastAsia" w:hAnsi="Calibri" w:cs="Calibri"/>
          <w:sz w:val="22"/>
          <w:szCs w:val="22"/>
          <w:lang w:val="hr-HR"/>
        </w:rPr>
        <w:t xml:space="preserve">cilj </w:t>
      </w:r>
      <w:r w:rsidR="00B227CC">
        <w:rPr>
          <w:rStyle w:val="normaltextrun"/>
          <w:rFonts w:ascii="Calibri" w:eastAsiaTheme="majorEastAsia" w:hAnsi="Calibri" w:cs="Calibri"/>
          <w:sz w:val="22"/>
          <w:szCs w:val="22"/>
          <w:lang w:val="hr-HR"/>
        </w:rPr>
        <w:t>smanjenja emisije stakleničkih plinova. Akcijski plan se fokusira na dugoročne utjecaje klimatskih promjena na područje lokalne zajednice, uzima u obzir energetsku učinkovitost te daje mjerljive ciljeve i rezultate vezane uz smanjenje potrošnje energije i emisija CO</w:t>
      </w:r>
      <w:r w:rsidR="00B227CC">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sidR="00B227CC">
        <w:rPr>
          <w:rStyle w:val="normaltextrun"/>
          <w:rFonts w:ascii="Calibri" w:eastAsiaTheme="majorEastAsia" w:hAnsi="Calibri" w:cs="Calibri"/>
          <w:b/>
          <w:bCs/>
          <w:sz w:val="22"/>
          <w:szCs w:val="22"/>
          <w:lang w:val="hr-HR"/>
        </w:rPr>
        <w:t>Glavni cilj SECAP-</w:t>
      </w:r>
      <w:r w:rsidR="00212487">
        <w:rPr>
          <w:rStyle w:val="normaltextrun"/>
          <w:rFonts w:ascii="Calibri" w:eastAsiaTheme="majorEastAsia" w:hAnsi="Calibri" w:cs="Calibri"/>
          <w:b/>
          <w:bCs/>
          <w:sz w:val="22"/>
          <w:szCs w:val="22"/>
          <w:lang w:val="hr-HR"/>
        </w:rPr>
        <w:t xml:space="preserve">a </w:t>
      </w:r>
      <w:r w:rsidR="00B227CC">
        <w:rPr>
          <w:rStyle w:val="normaltextrun"/>
          <w:rFonts w:ascii="Calibri" w:eastAsiaTheme="majorEastAsia" w:hAnsi="Calibri" w:cs="Calibri"/>
          <w:b/>
          <w:bCs/>
          <w:sz w:val="22"/>
          <w:szCs w:val="22"/>
          <w:lang w:val="hr-HR"/>
        </w:rPr>
        <w:t xml:space="preserve">je postići da predložene mjere rezultiraju smanjenjem emisije </w:t>
      </w:r>
      <w:r w:rsidR="00212487">
        <w:rPr>
          <w:rStyle w:val="normaltextrun"/>
          <w:rFonts w:ascii="Calibri" w:eastAsiaTheme="majorEastAsia" w:hAnsi="Calibri" w:cs="Calibri"/>
          <w:b/>
          <w:bCs/>
          <w:sz w:val="22"/>
          <w:szCs w:val="22"/>
          <w:lang w:val="hr-HR"/>
        </w:rPr>
        <w:t>CO</w:t>
      </w:r>
      <w:r w:rsidR="00212487">
        <w:rPr>
          <w:rStyle w:val="normaltextrun"/>
          <w:rFonts w:ascii="Calibri" w:eastAsiaTheme="majorEastAsia" w:hAnsi="Calibri" w:cs="Calibri"/>
          <w:b/>
          <w:bCs/>
          <w:sz w:val="17"/>
          <w:szCs w:val="17"/>
          <w:vertAlign w:val="subscript"/>
          <w:lang w:val="hr-HR"/>
        </w:rPr>
        <w:t>2</w:t>
      </w:r>
      <w:r w:rsidR="00212487">
        <w:rPr>
          <w:rStyle w:val="normaltextrun"/>
          <w:rFonts w:ascii="Calibri" w:eastAsiaTheme="majorEastAsia" w:hAnsi="Calibri" w:cs="Calibri"/>
          <w:b/>
          <w:bCs/>
          <w:sz w:val="22"/>
          <w:szCs w:val="22"/>
          <w:lang w:val="hr-HR"/>
        </w:rPr>
        <w:t xml:space="preserve"> </w:t>
      </w:r>
      <w:r w:rsidR="00B227CC">
        <w:rPr>
          <w:rStyle w:val="normaltextrun"/>
          <w:rFonts w:ascii="Calibri" w:eastAsiaTheme="majorEastAsia" w:hAnsi="Calibri" w:cs="Calibri"/>
          <w:b/>
          <w:bCs/>
          <w:sz w:val="22"/>
          <w:szCs w:val="22"/>
          <w:lang w:val="hr-HR"/>
        </w:rPr>
        <w:t>za više od 40% do 2030. godine</w:t>
      </w:r>
      <w:r w:rsidR="00B227CC">
        <w:rPr>
          <w:rStyle w:val="normaltextrun"/>
          <w:rFonts w:ascii="Calibri" w:eastAsiaTheme="majorEastAsia" w:hAnsi="Calibri" w:cs="Calibri"/>
          <w:sz w:val="22"/>
          <w:szCs w:val="22"/>
          <w:lang w:val="hr-HR"/>
        </w:rPr>
        <w:t>.</w:t>
      </w:r>
      <w:r w:rsidR="00B227CC" w:rsidRPr="004B46B9">
        <w:rPr>
          <w:rStyle w:val="eop"/>
          <w:rFonts w:ascii="Calibri" w:hAnsi="Calibri" w:cs="Calibri"/>
          <w:sz w:val="22"/>
          <w:szCs w:val="22"/>
          <w:lang w:val="hr-HR"/>
        </w:rPr>
        <w:t> </w:t>
      </w:r>
    </w:p>
    <w:p w14:paraId="39BC3809" w14:textId="77777777" w:rsidR="00B227CC" w:rsidRPr="004B46B9" w:rsidRDefault="00B227CC" w:rsidP="005808FC">
      <w:pPr>
        <w:pStyle w:val="paragraph"/>
        <w:spacing w:before="0" w:beforeAutospacing="0" w:after="0" w:afterAutospacing="0" w:line="276" w:lineRule="auto"/>
        <w:jc w:val="both"/>
        <w:textAlignment w:val="baseline"/>
        <w:rPr>
          <w:rFonts w:ascii="Segoe UI" w:hAnsi="Segoe UI" w:cs="Segoe UI"/>
          <w:sz w:val="18"/>
          <w:szCs w:val="18"/>
          <w:lang w:val="hr-HR"/>
        </w:rPr>
      </w:pPr>
    </w:p>
    <w:p w14:paraId="33A499E0" w14:textId="1293AF5C" w:rsidR="00B227CC" w:rsidRPr="004B46B9" w:rsidRDefault="00B227CC" w:rsidP="00B227CC">
      <w:pPr>
        <w:pStyle w:val="paragraph"/>
        <w:spacing w:before="0" w:beforeAutospacing="0" w:after="0" w:afterAutospacing="0" w:line="276" w:lineRule="auto"/>
        <w:jc w:val="both"/>
        <w:textAlignment w:val="baseline"/>
        <w:rPr>
          <w:rStyle w:val="eop"/>
          <w:rFonts w:ascii="Calibri" w:hAnsi="Calibri" w:cs="Calibri"/>
          <w:sz w:val="22"/>
          <w:szCs w:val="22"/>
          <w:lang w:val="hr-HR"/>
        </w:rPr>
      </w:pPr>
      <w:r>
        <w:rPr>
          <w:rStyle w:val="normaltextrun"/>
          <w:rFonts w:ascii="Calibri" w:eastAsiaTheme="majorEastAsia" w:hAnsi="Calibri" w:cs="Calibri"/>
          <w:sz w:val="22"/>
          <w:szCs w:val="22"/>
          <w:lang w:val="hr-HR"/>
        </w:rPr>
        <w:t xml:space="preserve">Grad </w:t>
      </w:r>
      <w:r w:rsidR="00212487">
        <w:rPr>
          <w:rStyle w:val="normaltextrun"/>
          <w:rFonts w:ascii="Calibri" w:eastAsiaTheme="majorEastAsia" w:hAnsi="Calibri" w:cs="Calibri"/>
          <w:sz w:val="22"/>
          <w:szCs w:val="22"/>
          <w:lang w:val="hr-HR"/>
        </w:rPr>
        <w:t xml:space="preserve">Zagreb </w:t>
      </w:r>
      <w:r>
        <w:rPr>
          <w:rStyle w:val="normaltextrun"/>
          <w:rFonts w:ascii="Calibri" w:eastAsiaTheme="majorEastAsia" w:hAnsi="Calibri" w:cs="Calibri"/>
          <w:sz w:val="22"/>
          <w:szCs w:val="22"/>
          <w:lang w:val="hr-HR"/>
        </w:rPr>
        <w:t xml:space="preserve">je prvi grad u Republici Hrvatskoj koji će </w:t>
      </w:r>
      <w:r w:rsidR="00212487">
        <w:rPr>
          <w:rStyle w:val="normaltextrun"/>
          <w:rFonts w:ascii="Calibri" w:eastAsiaTheme="majorEastAsia" w:hAnsi="Calibri" w:cs="Calibri"/>
          <w:sz w:val="22"/>
          <w:szCs w:val="22"/>
          <w:lang w:val="hr-HR"/>
        </w:rPr>
        <w:t xml:space="preserve">prijaviti svoj SECAP </w:t>
      </w:r>
      <w:r>
        <w:rPr>
          <w:rStyle w:val="normaltextrun"/>
          <w:rFonts w:ascii="Calibri" w:eastAsiaTheme="majorEastAsia" w:hAnsi="Calibri" w:cs="Calibri"/>
          <w:sz w:val="22"/>
          <w:szCs w:val="22"/>
          <w:lang w:val="hr-HR"/>
        </w:rPr>
        <w:t xml:space="preserve">u Sporazum </w:t>
      </w:r>
      <w:r w:rsidR="00C02294">
        <w:rPr>
          <w:rStyle w:val="normaltextrun"/>
          <w:rFonts w:ascii="Calibri" w:eastAsiaTheme="majorEastAsia" w:hAnsi="Calibri" w:cs="Calibri"/>
          <w:sz w:val="22"/>
          <w:szCs w:val="22"/>
          <w:lang w:val="hr-HR"/>
        </w:rPr>
        <w:t>gradonačelnika za klimu i energiju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 xml:space="preserve">Postavljen indikativni cilj smanjenja emisije </w:t>
      </w:r>
      <w:r w:rsidR="00212487">
        <w:rPr>
          <w:rStyle w:val="normaltextrun"/>
          <w:rFonts w:ascii="Calibri" w:eastAsiaTheme="majorEastAsia" w:hAnsi="Calibri" w:cs="Calibri"/>
          <w:sz w:val="22"/>
          <w:szCs w:val="22"/>
          <w:lang w:val="hr-HR"/>
        </w:rPr>
        <w:t>CO</w:t>
      </w:r>
      <w:r w:rsidR="00212487">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 xml:space="preserve">od 40% u usporedbi s emisijama iz bazne 2008. godine za Grad Zagreb iznosi </w:t>
      </w:r>
      <w:r w:rsidR="00212487">
        <w:rPr>
          <w:rStyle w:val="normaltextrun"/>
          <w:rFonts w:ascii="Calibri" w:eastAsiaTheme="majorEastAsia" w:hAnsi="Calibri" w:cs="Calibri"/>
          <w:sz w:val="22"/>
          <w:szCs w:val="22"/>
          <w:lang w:val="hr-HR"/>
        </w:rPr>
        <w:t xml:space="preserve">1118 </w:t>
      </w:r>
      <w:r w:rsidR="00212487">
        <w:rPr>
          <w:rStyle w:val="spellingerror"/>
          <w:rFonts w:ascii="Calibri" w:eastAsiaTheme="majorEastAsia" w:hAnsi="Calibri" w:cs="Calibri"/>
          <w:sz w:val="22"/>
          <w:szCs w:val="22"/>
          <w:lang w:val="hr-HR"/>
        </w:rPr>
        <w:t>kt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 xml:space="preserve">, što znači da bi ukupne emisije </w:t>
      </w:r>
      <w:r w:rsidR="00212487">
        <w:rPr>
          <w:rStyle w:val="normaltextrun"/>
          <w:rFonts w:ascii="Calibri" w:eastAsiaTheme="majorEastAsia" w:hAnsi="Calibri" w:cs="Calibri"/>
          <w:sz w:val="22"/>
          <w:szCs w:val="22"/>
          <w:lang w:val="hr-HR"/>
        </w:rPr>
        <w:t>CO</w:t>
      </w:r>
      <w:r w:rsidR="00212487">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 2030. godini trebale iznositi manje od 1.677.630,53 t 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Pr="004B46B9">
        <w:rPr>
          <w:rStyle w:val="eop"/>
          <w:rFonts w:ascii="Calibri" w:hAnsi="Calibri" w:cs="Calibri"/>
          <w:sz w:val="22"/>
          <w:szCs w:val="22"/>
          <w:lang w:val="hr-HR"/>
        </w:rPr>
        <w:t> </w:t>
      </w:r>
    </w:p>
    <w:p w14:paraId="1165F1A6" w14:textId="77777777" w:rsidR="00B227CC" w:rsidRPr="004B46B9" w:rsidRDefault="00B227CC" w:rsidP="005808FC">
      <w:pPr>
        <w:pStyle w:val="paragraph"/>
        <w:spacing w:before="0" w:beforeAutospacing="0" w:after="0" w:afterAutospacing="0" w:line="276" w:lineRule="auto"/>
        <w:jc w:val="both"/>
        <w:textAlignment w:val="baseline"/>
        <w:rPr>
          <w:rFonts w:ascii="Segoe UI" w:hAnsi="Segoe UI" w:cs="Segoe UI"/>
          <w:sz w:val="18"/>
          <w:szCs w:val="18"/>
          <w:lang w:val="hr-HR"/>
        </w:rPr>
      </w:pPr>
    </w:p>
    <w:p w14:paraId="17AC0C95" w14:textId="18F54F20" w:rsidR="00B227CC" w:rsidRDefault="00B227CC" w:rsidP="00B227CC">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hr-HR"/>
        </w:rPr>
      </w:pPr>
      <w:r>
        <w:rPr>
          <w:rStyle w:val="normaltextrun"/>
          <w:rFonts w:ascii="Calibri" w:eastAsiaTheme="majorEastAsia" w:hAnsi="Calibri" w:cs="Calibri"/>
          <w:sz w:val="22"/>
          <w:szCs w:val="22"/>
          <w:lang w:val="hr-HR"/>
        </w:rPr>
        <w:t>Izračun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indikativnog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cilja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izrađen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referentnom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Referentni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(engl.</w:t>
      </w:r>
      <w:r w:rsidR="00212487">
        <w:rPr>
          <w:rStyle w:val="normaltextrun"/>
          <w:rFonts w:ascii="Calibri" w:eastAsiaTheme="majorEastAsia" w:hAnsi="Calibri" w:cs="Calibri"/>
          <w:sz w:val="22"/>
          <w:szCs w:val="22"/>
          <w:lang w:val="hr-HR"/>
        </w:rPr>
        <w:t xml:space="preserve"> </w:t>
      </w:r>
      <w:r w:rsidRPr="00544C30">
        <w:rPr>
          <w:rStyle w:val="spellingerror"/>
          <w:rFonts w:ascii="Calibri" w:eastAsiaTheme="majorEastAsia" w:hAnsi="Calibri" w:cs="Calibri"/>
          <w:i/>
          <w:sz w:val="22"/>
          <w:szCs w:val="22"/>
          <w:lang w:val="hr-HR"/>
        </w:rPr>
        <w:t>Baseline</w:t>
      </w:r>
      <w:r w:rsidR="00212487" w:rsidRPr="00544C30">
        <w:rPr>
          <w:rStyle w:val="normaltextrun"/>
          <w:rFonts w:ascii="Calibri" w:eastAsiaTheme="majorEastAsia" w:hAnsi="Calibri" w:cs="Calibri"/>
          <w:i/>
          <w:sz w:val="22"/>
          <w:szCs w:val="22"/>
          <w:lang w:val="hr-HR"/>
        </w:rPr>
        <w:t xml:space="preserve"> </w:t>
      </w:r>
      <w:r w:rsidRPr="00544C30">
        <w:rPr>
          <w:rStyle w:val="spellingerror"/>
          <w:rFonts w:ascii="Calibri" w:eastAsiaTheme="majorEastAsia" w:hAnsi="Calibri" w:cs="Calibri"/>
          <w:i/>
          <w:sz w:val="22"/>
          <w:szCs w:val="22"/>
          <w:lang w:val="hr-HR"/>
        </w:rPr>
        <w:t>emission</w:t>
      </w:r>
      <w:r w:rsidR="00212487" w:rsidRPr="00544C30">
        <w:rPr>
          <w:rStyle w:val="normaltextrun"/>
          <w:rFonts w:ascii="Calibri" w:eastAsiaTheme="majorEastAsia" w:hAnsi="Calibri" w:cs="Calibri"/>
          <w:i/>
          <w:sz w:val="22"/>
          <w:szCs w:val="22"/>
          <w:lang w:val="hr-HR"/>
        </w:rPr>
        <w:t xml:space="preserve"> </w:t>
      </w:r>
      <w:r w:rsidRPr="00544C30">
        <w:rPr>
          <w:rStyle w:val="spellingerror"/>
          <w:rFonts w:ascii="Calibri" w:eastAsiaTheme="majorEastAsia" w:hAnsi="Calibri" w:cs="Calibri"/>
          <w:i/>
          <w:sz w:val="22"/>
          <w:szCs w:val="22"/>
          <w:lang w:val="hr-HR"/>
        </w:rPr>
        <w:t>inventory</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BEI)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izrađen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2008.</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temelju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prikupljenih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podataka.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Kontrolni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(engl.</w:t>
      </w:r>
      <w:r w:rsidR="00212487">
        <w:rPr>
          <w:rStyle w:val="normaltextrun"/>
          <w:rFonts w:ascii="Calibri" w:eastAsiaTheme="majorEastAsia" w:hAnsi="Calibri" w:cs="Calibri"/>
          <w:sz w:val="22"/>
          <w:szCs w:val="22"/>
          <w:lang w:val="hr-HR"/>
        </w:rPr>
        <w:t xml:space="preserve"> </w:t>
      </w:r>
      <w:r w:rsidRPr="00544C30">
        <w:rPr>
          <w:rStyle w:val="normaltextrun"/>
          <w:rFonts w:ascii="Calibri" w:eastAsiaTheme="majorEastAsia" w:hAnsi="Calibri" w:cs="Calibri"/>
          <w:i/>
          <w:sz w:val="22"/>
          <w:szCs w:val="22"/>
          <w:lang w:val="it-IT"/>
        </w:rPr>
        <w:t>Monitoring</w:t>
      </w:r>
      <w:r w:rsidR="00212487" w:rsidRPr="00544C30">
        <w:rPr>
          <w:rStyle w:val="normaltextrun"/>
          <w:rFonts w:ascii="Calibri" w:eastAsiaTheme="majorEastAsia" w:hAnsi="Calibri" w:cs="Calibri"/>
          <w:i/>
          <w:sz w:val="22"/>
          <w:szCs w:val="22"/>
          <w:lang w:val="it-IT"/>
        </w:rPr>
        <w:t xml:space="preserve"> </w:t>
      </w:r>
      <w:r w:rsidRPr="00544C30">
        <w:rPr>
          <w:rStyle w:val="spellingerror"/>
          <w:rFonts w:ascii="Calibri" w:eastAsiaTheme="majorEastAsia" w:hAnsi="Calibri" w:cs="Calibri"/>
          <w:i/>
          <w:sz w:val="22"/>
          <w:szCs w:val="22"/>
          <w:lang w:val="it-IT"/>
        </w:rPr>
        <w:t>emission</w:t>
      </w:r>
      <w:r w:rsidR="00212487" w:rsidRPr="00544C30">
        <w:rPr>
          <w:rStyle w:val="normaltextrun"/>
          <w:rFonts w:ascii="Calibri" w:eastAsiaTheme="majorEastAsia" w:hAnsi="Calibri" w:cs="Calibri"/>
          <w:i/>
          <w:sz w:val="22"/>
          <w:szCs w:val="22"/>
          <w:lang w:val="it-IT"/>
        </w:rPr>
        <w:t xml:space="preserve"> </w:t>
      </w:r>
      <w:r w:rsidRPr="00544C30">
        <w:rPr>
          <w:rStyle w:val="spellingerror"/>
          <w:rFonts w:ascii="Calibri" w:eastAsiaTheme="majorEastAsia" w:hAnsi="Calibri" w:cs="Calibri"/>
          <w:i/>
          <w:sz w:val="22"/>
          <w:szCs w:val="22"/>
          <w:lang w:val="it-IT"/>
        </w:rPr>
        <w:t>inventory</w:t>
      </w:r>
      <w:r w:rsidR="00212487">
        <w:rPr>
          <w:rStyle w:val="normaltextrun"/>
          <w:rFonts w:ascii="Calibri" w:eastAsiaTheme="majorEastAsia" w:hAnsi="Calibri" w:cs="Calibri"/>
          <w:sz w:val="22"/>
          <w:szCs w:val="22"/>
          <w:lang w:val="it-IT"/>
        </w:rPr>
        <w:t xml:space="preserve"> </w:t>
      </w:r>
      <w:r>
        <w:rPr>
          <w:rStyle w:val="normaltextrun"/>
          <w:rFonts w:ascii="Calibri" w:eastAsiaTheme="majorEastAsia" w:hAnsi="Calibri" w:cs="Calibri"/>
          <w:sz w:val="22"/>
          <w:szCs w:val="22"/>
          <w:lang w:val="it-IT"/>
        </w:rPr>
        <w:t>-</w:t>
      </w:r>
      <w:r w:rsidR="00212487">
        <w:rPr>
          <w:rStyle w:val="normaltextrun"/>
          <w:rFonts w:ascii="Calibri" w:eastAsiaTheme="majorEastAsia" w:hAnsi="Calibri" w:cs="Calibri"/>
          <w:sz w:val="22"/>
          <w:szCs w:val="22"/>
          <w:lang w:val="it-IT"/>
        </w:rPr>
        <w:t xml:space="preserve"> </w:t>
      </w:r>
      <w:r>
        <w:rPr>
          <w:rStyle w:val="normaltextrun"/>
          <w:rFonts w:ascii="Calibri" w:eastAsiaTheme="majorEastAsia" w:hAnsi="Calibri" w:cs="Calibri"/>
          <w:sz w:val="22"/>
          <w:szCs w:val="22"/>
          <w:lang w:val="it-IT"/>
        </w:rPr>
        <w:t>MEI</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izrađen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2015.</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Oba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izrađena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prema</w:t>
      </w:r>
      <w:r w:rsidR="00212487">
        <w:rPr>
          <w:rStyle w:val="normaltextrun"/>
          <w:rFonts w:ascii="Calibri" w:eastAsiaTheme="majorEastAsia" w:hAnsi="Calibri" w:cs="Calibri"/>
          <w:sz w:val="22"/>
          <w:szCs w:val="22"/>
          <w:lang w:val="hr-HR"/>
        </w:rPr>
        <w:t xml:space="preserve"> </w:t>
      </w:r>
      <w:r>
        <w:rPr>
          <w:rStyle w:val="spellingerror"/>
          <w:rFonts w:ascii="Calibri" w:eastAsiaTheme="majorEastAsia" w:hAnsi="Calibri" w:cs="Calibri"/>
          <w:sz w:val="22"/>
          <w:szCs w:val="22"/>
          <w:lang w:val="hr-HR"/>
        </w:rPr>
        <w:t>prema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IPCC</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protokolu.</w:t>
      </w:r>
      <w:r w:rsidR="00212487">
        <w:rPr>
          <w:rStyle w:val="eop"/>
          <w:rFonts w:ascii="Calibri" w:hAnsi="Calibri" w:cs="Calibri"/>
          <w:sz w:val="22"/>
          <w:szCs w:val="22"/>
          <w:lang w:val="it-IT"/>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temelju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prikupljenih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podataka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analiza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dostupnih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kroz</w:t>
      </w:r>
      <w:r w:rsidR="00212487">
        <w:rPr>
          <w:rStyle w:val="normaltextrun"/>
          <w:rFonts w:ascii="Calibri" w:eastAsiaTheme="majorEastAsia" w:hAnsi="Calibri" w:cs="Calibri"/>
          <w:sz w:val="22"/>
          <w:szCs w:val="22"/>
          <w:lang w:val="hr-HR"/>
        </w:rPr>
        <w:t xml:space="preserve"> </w:t>
      </w:r>
      <w:r w:rsidR="00C02294">
        <w:rPr>
          <w:rStyle w:val="spellingerror"/>
          <w:rFonts w:ascii="Calibri" w:eastAsiaTheme="majorEastAsia" w:hAnsi="Calibri" w:cs="Calibri"/>
          <w:sz w:val="22"/>
          <w:szCs w:val="22"/>
          <w:lang w:val="hr-HR"/>
        </w:rPr>
        <w:t>referenti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kontrolni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inventar,</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predložene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ublažavanja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učinaka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prilagodbe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učincima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w:t>
      </w:r>
    </w:p>
    <w:p w14:paraId="3CA1B766" w14:textId="77777777" w:rsidR="00B227CC" w:rsidRDefault="00B227CC" w:rsidP="00B227CC">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hr-HR"/>
        </w:rPr>
      </w:pPr>
    </w:p>
    <w:p w14:paraId="59387FB6" w14:textId="3B465B1D" w:rsidR="00FD17E7" w:rsidRPr="004B46B9" w:rsidRDefault="00B227CC" w:rsidP="00B227CC">
      <w:pPr>
        <w:pStyle w:val="paragraph"/>
        <w:spacing w:before="0" w:beforeAutospacing="0" w:after="0" w:afterAutospacing="0" w:line="276" w:lineRule="auto"/>
        <w:jc w:val="both"/>
        <w:textAlignment w:val="baseline"/>
        <w:rPr>
          <w:rStyle w:val="eop"/>
          <w:rFonts w:ascii="Calibri" w:hAnsi="Calibri" w:cs="Calibri"/>
          <w:sz w:val="22"/>
          <w:szCs w:val="22"/>
          <w:lang w:val="hr-HR"/>
        </w:rPr>
      </w:pPr>
      <w:r>
        <w:rPr>
          <w:rStyle w:val="normaltextrun"/>
          <w:rFonts w:ascii="Calibri" w:eastAsiaTheme="majorEastAsia" w:hAnsi="Calibri" w:cs="Calibri"/>
          <w:sz w:val="22"/>
          <w:szCs w:val="22"/>
          <w:lang w:val="hr-HR"/>
        </w:rPr>
        <w:t>Ukupno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w:t>
      </w:r>
      <w:r w:rsidR="00035704">
        <w:rPr>
          <w:rStyle w:val="normaltextrun"/>
          <w:rFonts w:ascii="Calibri" w:eastAsiaTheme="majorEastAsia" w:hAnsi="Calibri" w:cs="Calibri"/>
          <w:sz w:val="22"/>
          <w:szCs w:val="22"/>
          <w:lang w:val="hr-HR"/>
        </w:rPr>
        <w:t>ložene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23</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ublažavanja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učinaka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njih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kvantificirane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uštede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energije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(izražene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spellingerror"/>
          <w:rFonts w:ascii="Calibri" w:eastAsiaTheme="majorEastAsia" w:hAnsi="Calibri" w:cs="Calibri"/>
          <w:sz w:val="22"/>
          <w:szCs w:val="22"/>
          <w:lang w:val="hr-HR"/>
        </w:rPr>
        <w:t>MWh</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potencijali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(izraženi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područje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prilagodbe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definirano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35</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prilagodbe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nisu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uzete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obzir</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prilikom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kreiranja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uštede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energije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jer</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nije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predviđena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metodologija,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međutim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njihov</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utjecaj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dva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parametra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neminovan.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obzirom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temelju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nekih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predloženih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izraditi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metode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praćenja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pojedine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sektore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prilagodbe,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tijekom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predviđenih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perioda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izvještavanje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pratiti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dodatne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uštede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sukladno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tome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prikazati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izvješćima.</w:t>
      </w:r>
      <w:r w:rsidR="00212487">
        <w:rPr>
          <w:rStyle w:val="eop"/>
          <w:rFonts w:ascii="Calibri" w:hAnsi="Calibri" w:cs="Calibri"/>
          <w:sz w:val="22"/>
          <w:szCs w:val="22"/>
          <w:lang w:val="hr-HR"/>
        </w:rPr>
        <w:t xml:space="preserve"> </w:t>
      </w:r>
    </w:p>
    <w:p w14:paraId="284DD9F6" w14:textId="77777777" w:rsidR="00B227CC" w:rsidRPr="004B46B9" w:rsidRDefault="00B227CC" w:rsidP="005808FC">
      <w:pPr>
        <w:pStyle w:val="paragraph"/>
        <w:spacing w:before="0" w:beforeAutospacing="0" w:after="0" w:afterAutospacing="0" w:line="276" w:lineRule="auto"/>
        <w:jc w:val="both"/>
        <w:textAlignment w:val="baseline"/>
        <w:rPr>
          <w:rFonts w:ascii="Segoe UI" w:hAnsi="Segoe UI" w:cs="Segoe UI"/>
          <w:sz w:val="18"/>
          <w:szCs w:val="18"/>
          <w:lang w:val="hr-HR"/>
        </w:rPr>
      </w:pPr>
    </w:p>
    <w:p w14:paraId="26DA1445" w14:textId="056F896D" w:rsidR="00B227CC" w:rsidRDefault="00B227CC" w:rsidP="005808FC">
      <w:pPr>
        <w:pStyle w:val="paragraph"/>
        <w:spacing w:before="0" w:beforeAutospacing="0" w:after="0" w:afterAutospacing="0" w:line="276" w:lineRule="auto"/>
        <w:jc w:val="both"/>
        <w:textAlignment w:val="baseline"/>
        <w:rPr>
          <w:rStyle w:val="eop"/>
          <w:rFonts w:ascii="Calibri" w:hAnsi="Calibri" w:cs="Calibri"/>
          <w:sz w:val="22"/>
          <w:szCs w:val="22"/>
          <w:lang w:val="hr-HR"/>
        </w:rPr>
      </w:pP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prilagodbe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učincima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prvi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puta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sveobuhvatno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integrirane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jedan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dokument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ovog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tipa.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samog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prijedloga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vidljivo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velik</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broj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njih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analitičko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istraživačkog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tipa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što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ukazuje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činjenicu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potrebno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razviti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podloge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narednim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razdobljima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služiti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planiranje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konkretnih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aktivnosti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ovom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području,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iako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određen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dio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aktivnosti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predviđen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kroz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ove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vrlo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konkretan.</w:t>
      </w:r>
      <w:r w:rsidR="00212487">
        <w:rPr>
          <w:rStyle w:val="eop"/>
          <w:rFonts w:ascii="Calibri" w:hAnsi="Calibri" w:cs="Calibri"/>
          <w:sz w:val="22"/>
          <w:szCs w:val="22"/>
          <w:lang w:val="hr-HR"/>
        </w:rPr>
        <w:t xml:space="preserve"> </w:t>
      </w:r>
    </w:p>
    <w:p w14:paraId="70750E92" w14:textId="77777777" w:rsidR="00FD17E7" w:rsidRPr="004B46B9" w:rsidRDefault="00FD17E7" w:rsidP="005808FC">
      <w:pPr>
        <w:pStyle w:val="paragraph"/>
        <w:spacing w:before="0" w:beforeAutospacing="0" w:after="0" w:afterAutospacing="0" w:line="276" w:lineRule="auto"/>
        <w:jc w:val="both"/>
        <w:textAlignment w:val="baseline"/>
        <w:rPr>
          <w:rFonts w:ascii="Segoe UI" w:hAnsi="Segoe UI" w:cs="Segoe UI"/>
          <w:sz w:val="18"/>
          <w:szCs w:val="18"/>
          <w:lang w:val="hr-HR"/>
        </w:rPr>
      </w:pPr>
    </w:p>
    <w:p w14:paraId="17486D57" w14:textId="62143C70" w:rsidR="00B227CC" w:rsidRPr="004B46B9" w:rsidRDefault="00B227CC" w:rsidP="005808FC">
      <w:pPr>
        <w:pStyle w:val="paragraph"/>
        <w:spacing w:before="0" w:beforeAutospacing="0" w:after="0" w:afterAutospacing="0" w:line="276" w:lineRule="auto"/>
        <w:jc w:val="both"/>
        <w:textAlignment w:val="baseline"/>
        <w:rPr>
          <w:rFonts w:ascii="Segoe UI" w:hAnsi="Segoe UI" w:cs="Segoe UI"/>
          <w:sz w:val="18"/>
          <w:szCs w:val="18"/>
          <w:lang w:val="hr-HR"/>
        </w:rPr>
      </w:pP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potrebe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uštede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energije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2030.godine,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temelju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predloženih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ublažavanja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učinaka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klimatskih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promjena,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korišten</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program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LEAP</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sidRPr="00544C30">
        <w:rPr>
          <w:rStyle w:val="spellingerror"/>
          <w:rFonts w:ascii="Calibri" w:eastAsiaTheme="majorEastAsia" w:hAnsi="Calibri" w:cs="Calibri"/>
          <w:i/>
          <w:sz w:val="22"/>
          <w:szCs w:val="22"/>
          <w:lang w:val="hr-HR"/>
        </w:rPr>
        <w:t>Long-range</w:t>
      </w:r>
      <w:r w:rsidR="00212487" w:rsidRPr="00544C30">
        <w:rPr>
          <w:rStyle w:val="normaltextrun"/>
          <w:rFonts w:ascii="Calibri" w:eastAsiaTheme="majorEastAsia" w:hAnsi="Calibri" w:cs="Calibri"/>
          <w:i/>
          <w:sz w:val="22"/>
          <w:szCs w:val="22"/>
          <w:lang w:val="hr-HR"/>
        </w:rPr>
        <w:t xml:space="preserve"> </w:t>
      </w:r>
      <w:r w:rsidRPr="00544C30">
        <w:rPr>
          <w:rStyle w:val="normaltextrun"/>
          <w:rFonts w:ascii="Calibri" w:eastAsiaTheme="majorEastAsia" w:hAnsi="Calibri" w:cs="Calibri"/>
          <w:i/>
          <w:sz w:val="22"/>
          <w:szCs w:val="22"/>
          <w:lang w:val="hr-HR"/>
        </w:rPr>
        <w:t>Energy</w:t>
      </w:r>
      <w:r w:rsidR="00212487" w:rsidRPr="00544C30">
        <w:rPr>
          <w:rStyle w:val="normaltextrun"/>
          <w:rFonts w:ascii="Calibri" w:eastAsiaTheme="majorEastAsia" w:hAnsi="Calibri" w:cs="Calibri"/>
          <w:i/>
          <w:sz w:val="22"/>
          <w:szCs w:val="22"/>
          <w:lang w:val="hr-HR"/>
        </w:rPr>
        <w:t xml:space="preserve"> </w:t>
      </w:r>
      <w:r w:rsidRPr="00544C30">
        <w:rPr>
          <w:rStyle w:val="spellingerror"/>
          <w:rFonts w:ascii="Calibri" w:eastAsiaTheme="majorEastAsia" w:hAnsi="Calibri" w:cs="Calibri"/>
          <w:i/>
          <w:sz w:val="22"/>
          <w:szCs w:val="22"/>
          <w:lang w:val="hr-HR"/>
        </w:rPr>
        <w:t>Alternatives</w:t>
      </w:r>
      <w:r w:rsidR="00212487" w:rsidRPr="00544C30">
        <w:rPr>
          <w:rStyle w:val="normaltextrun"/>
          <w:rFonts w:ascii="Calibri" w:eastAsiaTheme="majorEastAsia" w:hAnsi="Calibri" w:cs="Calibri"/>
          <w:i/>
          <w:sz w:val="22"/>
          <w:szCs w:val="22"/>
          <w:lang w:val="hr-HR"/>
        </w:rPr>
        <w:t xml:space="preserve"> </w:t>
      </w:r>
      <w:r w:rsidRPr="00544C30">
        <w:rPr>
          <w:rStyle w:val="spellingerror"/>
          <w:rFonts w:ascii="Calibri" w:eastAsiaTheme="majorEastAsia" w:hAnsi="Calibri" w:cs="Calibri"/>
          <w:i/>
          <w:sz w:val="22"/>
          <w:szCs w:val="22"/>
          <w:lang w:val="hr-HR"/>
        </w:rPr>
        <w:t>Planning</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programu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izrađeni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w:t>
      </w:r>
      <w:r w:rsidR="00AD3393">
        <w:rPr>
          <w:rStyle w:val="spellingerror"/>
          <w:rFonts w:ascii="Calibri" w:eastAsiaTheme="majorEastAsia" w:hAnsi="Calibri" w:cs="Calibri"/>
          <w:sz w:val="22"/>
          <w:szCs w:val="22"/>
          <w:lang w:val="hr-HR"/>
        </w:rPr>
        <w:t>Business</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as</w:t>
      </w:r>
      <w:r w:rsidR="00212487">
        <w:rPr>
          <w:rStyle w:val="normaltextrun"/>
          <w:rFonts w:ascii="Calibri" w:eastAsiaTheme="majorEastAsia" w:hAnsi="Calibri" w:cs="Calibri"/>
          <w:sz w:val="22"/>
          <w:szCs w:val="22"/>
          <w:lang w:val="hr-HR"/>
        </w:rPr>
        <w:t xml:space="preserve"> </w:t>
      </w:r>
      <w:r w:rsidR="00AD3393">
        <w:rPr>
          <w:rStyle w:val="spellingerror"/>
          <w:rFonts w:ascii="Calibri" w:eastAsiaTheme="majorEastAsia" w:hAnsi="Calibri" w:cs="Calibri"/>
          <w:sz w:val="22"/>
          <w:szCs w:val="22"/>
          <w:lang w:val="hr-HR"/>
        </w:rPr>
        <w:t>Usual</w:t>
      </w:r>
      <w:r w:rsidR="00AD3393">
        <w:rPr>
          <w:rStyle w:val="normaltextrun"/>
          <w:rFonts w:ascii="Calibri" w:eastAsiaTheme="majorEastAsia" w:hAnsi="Calibri" w:cs="Calibri"/>
          <w:sz w:val="22"/>
          <w:szCs w:val="22"/>
          <w:lang w:val="hr-HR"/>
        </w:rPr>
        <w:t xml:space="preserve">'' (BAU) </w:t>
      </w:r>
      <w:r>
        <w:rPr>
          <w:rStyle w:val="normaltextrun"/>
          <w:rFonts w:ascii="Calibri" w:eastAsiaTheme="majorEastAsia" w:hAnsi="Calibri" w:cs="Calibri"/>
          <w:sz w:val="22"/>
          <w:szCs w:val="22"/>
          <w:lang w:val="hr-HR"/>
        </w:rPr>
        <w:t>scenarij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Rezultat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analize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pokazuje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bez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2030.</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iznosit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lastRenderedPageBreak/>
        <w:t>2.499.658,70</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što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822,03</w:t>
      </w:r>
      <w:r w:rsidR="00212487">
        <w:rPr>
          <w:rStyle w:val="normaltextrun"/>
          <w:rFonts w:ascii="Calibri" w:eastAsiaTheme="majorEastAsia" w:hAnsi="Calibri" w:cs="Calibri"/>
          <w:sz w:val="22"/>
          <w:szCs w:val="22"/>
          <w:lang w:val="hr-HR"/>
        </w:rPr>
        <w:t xml:space="preserve"> </w:t>
      </w:r>
      <w:r>
        <w:rPr>
          <w:rStyle w:val="spellingerror"/>
          <w:rFonts w:ascii="Calibri" w:eastAsiaTheme="majorEastAsia" w:hAnsi="Calibri" w:cs="Calibri"/>
          <w:sz w:val="22"/>
          <w:szCs w:val="22"/>
          <w:lang w:val="hr-HR"/>
        </w:rPr>
        <w:t>kt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odnosno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49%</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više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predloženog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indikativnog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cilja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može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zaključiti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bez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primjene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predloženi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cilj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neće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moći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biti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ostvaren.</w:t>
      </w:r>
      <w:r w:rsidR="00212487">
        <w:rPr>
          <w:rStyle w:val="eop"/>
          <w:rFonts w:ascii="Calibri" w:hAnsi="Calibri" w:cs="Calibri"/>
          <w:sz w:val="22"/>
          <w:szCs w:val="22"/>
          <w:lang w:val="hr-HR"/>
        </w:rPr>
        <w:t xml:space="preserve"> </w:t>
      </w:r>
    </w:p>
    <w:p w14:paraId="50976704" w14:textId="0862539F" w:rsidR="00B227CC" w:rsidRPr="004B46B9" w:rsidRDefault="00212487" w:rsidP="005808FC">
      <w:pPr>
        <w:pStyle w:val="paragraph"/>
        <w:spacing w:before="0" w:beforeAutospacing="0" w:after="0" w:afterAutospacing="0" w:line="276" w:lineRule="auto"/>
        <w:jc w:val="both"/>
        <w:textAlignment w:val="baseline"/>
        <w:rPr>
          <w:rFonts w:ascii="Segoe UI" w:hAnsi="Segoe UI" w:cs="Segoe UI"/>
          <w:sz w:val="18"/>
          <w:szCs w:val="18"/>
          <w:lang w:val="hr-HR"/>
        </w:rPr>
      </w:pPr>
      <w:r>
        <w:rPr>
          <w:rStyle w:val="eop"/>
          <w:rFonts w:ascii="Calibri" w:hAnsi="Calibri" w:cs="Calibri"/>
          <w:sz w:val="22"/>
          <w:szCs w:val="22"/>
          <w:lang w:val="hr-HR"/>
        </w:rPr>
        <w:t xml:space="preserve"> </w:t>
      </w:r>
    </w:p>
    <w:p w14:paraId="5B57D812" w14:textId="307D2651" w:rsidR="00B227CC" w:rsidRDefault="00B227CC" w:rsidP="005808FC">
      <w:pPr>
        <w:pStyle w:val="paragraph"/>
        <w:spacing w:before="0" w:beforeAutospacing="0" w:after="0" w:afterAutospacing="0" w:line="276" w:lineRule="auto"/>
        <w:jc w:val="both"/>
        <w:textAlignment w:val="baseline"/>
        <w:rPr>
          <w:rStyle w:val="eop"/>
          <w:rFonts w:ascii="Calibri" w:hAnsi="Calibri" w:cs="Calibri"/>
          <w:sz w:val="22"/>
          <w:szCs w:val="22"/>
          <w:lang w:val="hr-HR"/>
        </w:rPr>
      </w:pPr>
      <w:r>
        <w:rPr>
          <w:rStyle w:val="normaltextrun"/>
          <w:rFonts w:ascii="Calibri" w:eastAsiaTheme="majorEastAsia" w:hAnsi="Calibri" w:cs="Calibri"/>
          <w:sz w:val="22"/>
          <w:szCs w:val="22"/>
          <w:lang w:val="hr-HR"/>
        </w:rPr>
        <w:t>Projekcija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potvrđuje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činjenicu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pokazuje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da,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primjenu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energetske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potrošnje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ukupne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2030.</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iznose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1.631.536,3</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odnosu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na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baznu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smanjenje</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ukupnim</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scenariju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mjerama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iznosi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41,65</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w:t>
      </w:r>
    </w:p>
    <w:p w14:paraId="68D905A3" w14:textId="77777777" w:rsidR="00FD17E7" w:rsidRPr="004B46B9" w:rsidRDefault="00FD17E7" w:rsidP="005808FC">
      <w:pPr>
        <w:pStyle w:val="paragraph"/>
        <w:spacing w:before="0" w:beforeAutospacing="0" w:after="0" w:afterAutospacing="0" w:line="276" w:lineRule="auto"/>
        <w:jc w:val="both"/>
        <w:textAlignment w:val="baseline"/>
        <w:rPr>
          <w:rFonts w:ascii="Segoe UI" w:hAnsi="Segoe UI" w:cs="Segoe UI"/>
          <w:sz w:val="18"/>
          <w:szCs w:val="18"/>
          <w:lang w:val="hr-HR"/>
        </w:rPr>
      </w:pPr>
    </w:p>
    <w:p w14:paraId="02631825" w14:textId="152242BA" w:rsidR="00D94C49" w:rsidRDefault="00B227CC" w:rsidP="00693B4B">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hr-HR"/>
        </w:rPr>
      </w:pPr>
      <w:r>
        <w:rPr>
          <w:rStyle w:val="normaltextrun"/>
          <w:rFonts w:ascii="Calibri" w:eastAsiaTheme="majorEastAsia" w:hAnsi="Calibri" w:cs="Calibri"/>
          <w:sz w:val="22"/>
          <w:szCs w:val="22"/>
          <w:lang w:val="hr-HR"/>
        </w:rPr>
        <w:t>Uz</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provedbu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svih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predviđenih</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mjera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emisija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u</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2030.</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godini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bila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bi</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manja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indikativnog</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cilja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za</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2,75%</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odnosno</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46.094,23</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t</w:t>
      </w:r>
      <w:r w:rsidR="00212487">
        <w:rPr>
          <w:rStyle w:val="normaltextrun"/>
          <w:rFonts w:ascii="Calibri" w:eastAsiaTheme="majorEastAsia" w:hAnsi="Calibri" w:cs="Calibri"/>
          <w:sz w:val="22"/>
          <w:szCs w:val="22"/>
          <w:lang w:val="hr-HR"/>
        </w:rPr>
        <w:t xml:space="preserve"> </w:t>
      </w:r>
      <w:r>
        <w:rPr>
          <w:rStyle w:val="normaltextrun"/>
          <w:rFonts w:ascii="Calibri" w:eastAsiaTheme="majorEastAsia" w:hAnsi="Calibri" w:cs="Calibri"/>
          <w:sz w:val="22"/>
          <w:szCs w:val="22"/>
          <w:lang w:val="hr-HR"/>
        </w:rPr>
        <w:t>CO</w:t>
      </w:r>
      <w:r>
        <w:rPr>
          <w:rStyle w:val="normaltextrun"/>
          <w:rFonts w:ascii="Calibri" w:eastAsiaTheme="majorEastAsia" w:hAnsi="Calibri" w:cs="Calibri"/>
          <w:sz w:val="17"/>
          <w:szCs w:val="17"/>
          <w:vertAlign w:val="subscript"/>
          <w:lang w:val="hr-HR"/>
        </w:rPr>
        <w:t>2</w:t>
      </w:r>
      <w:r>
        <w:rPr>
          <w:rStyle w:val="normaltextrun"/>
          <w:rFonts w:ascii="Calibri" w:eastAsiaTheme="majorEastAsia" w:hAnsi="Calibri" w:cs="Calibri"/>
          <w:sz w:val="22"/>
          <w:szCs w:val="22"/>
          <w:lang w:val="hr-HR"/>
        </w:rPr>
        <w:t>.</w:t>
      </w:r>
    </w:p>
    <w:p w14:paraId="5E668F38" w14:textId="1F913348" w:rsidR="00035704" w:rsidRDefault="00035704" w:rsidP="00693B4B">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hr-HR"/>
        </w:rPr>
      </w:pPr>
    </w:p>
    <w:p w14:paraId="20692621" w14:textId="0AF3A30D" w:rsidR="00035704" w:rsidRPr="00E16DFD" w:rsidRDefault="00ED4BDA" w:rsidP="00693B4B">
      <w:pPr>
        <w:pStyle w:val="paragraph"/>
        <w:spacing w:before="0" w:beforeAutospacing="0" w:after="0" w:afterAutospacing="0" w:line="276" w:lineRule="auto"/>
        <w:jc w:val="both"/>
        <w:textAlignment w:val="baseline"/>
        <w:rPr>
          <w:lang w:val="hr-HR"/>
        </w:rPr>
      </w:pPr>
      <w:r>
        <w:rPr>
          <w:rStyle w:val="normaltextrun"/>
          <w:rFonts w:ascii="Calibri" w:eastAsiaTheme="majorEastAsia" w:hAnsi="Calibri" w:cs="Calibri"/>
          <w:sz w:val="22"/>
          <w:szCs w:val="22"/>
          <w:lang w:val="hr-HR"/>
        </w:rPr>
        <w:t>Ovaj dokument je strateški dokument Grada Zagreba iz područja energetske učinkovitosti i prilagodbe učincima klimatskih promjena za razdoblje do 2030. g. Izrađen je na način da će se realizacija mjera, a samim time i njihov učinak moći pratiti i o njima izvješćivati, što je uostalom i obveza sukladno Sporazumu gradonačelnika za klimu i energiju.</w:t>
      </w:r>
      <w:r w:rsidR="0053512D">
        <w:rPr>
          <w:rStyle w:val="normaltextrun"/>
          <w:rFonts w:ascii="Calibri" w:eastAsiaTheme="majorEastAsia" w:hAnsi="Calibri" w:cs="Calibri"/>
          <w:sz w:val="22"/>
          <w:szCs w:val="22"/>
          <w:lang w:val="hr-HR"/>
        </w:rPr>
        <w:t xml:space="preserve"> Plan Grada Zagreba je da se ovaj dokument koristi kao ključan u procesu planiranja operativnog(ih) programa za iduće financijsko razdoblje iz područja energetske učinkovitosti i prilagodbe učincima klimatskih promjena.  </w:t>
      </w:r>
    </w:p>
    <w:p w14:paraId="321BC4D1" w14:textId="63942FB4" w:rsidR="00921FC0" w:rsidRDefault="00921FC0" w:rsidP="0090778A">
      <w:r>
        <w:br w:type="page"/>
      </w:r>
    </w:p>
    <w:p w14:paraId="1AFF008D" w14:textId="09FD4925" w:rsidR="00921FC0" w:rsidRDefault="00921FC0" w:rsidP="00921FC0">
      <w:pPr>
        <w:pStyle w:val="Heading1"/>
      </w:pPr>
      <w:bookmarkStart w:id="396" w:name="_Toc4156138"/>
      <w:r>
        <w:lastRenderedPageBreak/>
        <w:t>POPIS TABLICA</w:t>
      </w:r>
      <w:bookmarkEnd w:id="396"/>
    </w:p>
    <w:p w14:paraId="096A677C" w14:textId="5210A390" w:rsidR="00921FC0" w:rsidRDefault="00921FC0" w:rsidP="00921FC0"/>
    <w:p w14:paraId="0975011C" w14:textId="501FBBF0" w:rsidR="00402663" w:rsidRPr="00402663" w:rsidRDefault="00921FC0">
      <w:pPr>
        <w:pStyle w:val="TableofFigures"/>
        <w:tabs>
          <w:tab w:val="right" w:leader="dot" w:pos="9016"/>
        </w:tabs>
        <w:rPr>
          <w:rFonts w:asciiTheme="minorHAnsi" w:eastAsiaTheme="minorEastAsia" w:hAnsiTheme="minorHAnsi" w:cstheme="minorBidi"/>
          <w:noProof/>
          <w:sz w:val="22"/>
          <w:szCs w:val="22"/>
          <w:lang w:eastAsia="hr-HR"/>
        </w:rPr>
      </w:pPr>
      <w:r w:rsidRPr="00402663">
        <w:rPr>
          <w:i/>
          <w:sz w:val="22"/>
          <w:szCs w:val="22"/>
        </w:rPr>
        <w:fldChar w:fldCharType="begin"/>
      </w:r>
      <w:r w:rsidRPr="00402663">
        <w:rPr>
          <w:i/>
          <w:sz w:val="22"/>
          <w:szCs w:val="22"/>
        </w:rPr>
        <w:instrText xml:space="preserve"> TOC \h \z \c "Tablica" </w:instrText>
      </w:r>
      <w:r w:rsidRPr="00402663">
        <w:rPr>
          <w:i/>
          <w:sz w:val="22"/>
          <w:szCs w:val="22"/>
        </w:rPr>
        <w:fldChar w:fldCharType="separate"/>
      </w:r>
      <w:hyperlink w:anchor="_Toc4155990" w:history="1">
        <w:r w:rsidR="00402663" w:rsidRPr="00402663">
          <w:rPr>
            <w:rStyle w:val="Hyperlink"/>
            <w:noProof/>
            <w:sz w:val="22"/>
            <w:szCs w:val="22"/>
          </w:rPr>
          <w:t>Tablica 3.1 - Identificirani rizici za provedbu Akcijskog plana energetski održivog razvoja i prilagodbe na klimatske promjene prema Obrascu za izvještavanje Sporazuma gradonačelnika i kvalitativna ocjena identificiranih rizika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21</w:t>
        </w:r>
        <w:r w:rsidR="00402663" w:rsidRPr="00402663">
          <w:rPr>
            <w:noProof/>
            <w:webHidden/>
            <w:sz w:val="22"/>
            <w:szCs w:val="22"/>
          </w:rPr>
          <w:fldChar w:fldCharType="end"/>
        </w:r>
      </w:hyperlink>
    </w:p>
    <w:p w14:paraId="68B84259" w14:textId="69FB7D28"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1" w:history="1">
        <w:r w:rsidR="00402663" w:rsidRPr="00402663">
          <w:rPr>
            <w:rStyle w:val="Hyperlink"/>
            <w:noProof/>
            <w:sz w:val="22"/>
            <w:szCs w:val="22"/>
          </w:rPr>
          <w:t>Tablica 4.1 - Korišteni emisijski faktori za određivanje emisija CO</w:t>
        </w:r>
        <w:r w:rsidR="00402663" w:rsidRPr="00402663">
          <w:rPr>
            <w:rStyle w:val="Hyperlink"/>
            <w:noProof/>
            <w:sz w:val="22"/>
            <w:szCs w:val="22"/>
            <w:vertAlign w:val="subscript"/>
          </w:rPr>
          <w:t>2</w:t>
        </w:r>
        <w:r w:rsidR="00402663" w:rsidRPr="00402663">
          <w:rPr>
            <w:rStyle w:val="Hyperlink"/>
            <w:noProof/>
            <w:sz w:val="22"/>
            <w:szCs w:val="22"/>
          </w:rPr>
          <w:t xml:space="preserve"> iz sektora zgradarstva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23</w:t>
        </w:r>
        <w:r w:rsidR="00402663" w:rsidRPr="00402663">
          <w:rPr>
            <w:noProof/>
            <w:webHidden/>
            <w:sz w:val="22"/>
            <w:szCs w:val="22"/>
          </w:rPr>
          <w:fldChar w:fldCharType="end"/>
        </w:r>
      </w:hyperlink>
    </w:p>
    <w:p w14:paraId="7FD62C7E" w14:textId="44A8386A"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2" w:history="1">
        <w:r w:rsidR="00402663" w:rsidRPr="00402663">
          <w:rPr>
            <w:rStyle w:val="Hyperlink"/>
            <w:noProof/>
            <w:sz w:val="22"/>
            <w:szCs w:val="22"/>
            <w:lang w:val="it-IT"/>
          </w:rPr>
          <w:t>Tablica 4.2 - Emisije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sektora zgradarstva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23</w:t>
        </w:r>
        <w:r w:rsidR="00402663" w:rsidRPr="00402663">
          <w:rPr>
            <w:noProof/>
            <w:webHidden/>
            <w:sz w:val="22"/>
            <w:szCs w:val="22"/>
          </w:rPr>
          <w:fldChar w:fldCharType="end"/>
        </w:r>
      </w:hyperlink>
    </w:p>
    <w:p w14:paraId="5675C7A5" w14:textId="6057135A"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3" w:history="1">
        <w:r w:rsidR="00402663" w:rsidRPr="00402663">
          <w:rPr>
            <w:rStyle w:val="Hyperlink"/>
            <w:noProof/>
            <w:sz w:val="22"/>
            <w:szCs w:val="22"/>
          </w:rPr>
          <w:t>Tablica 4.3 - Emisije stakleničkih plinova voznog parka u vlasništvu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25</w:t>
        </w:r>
        <w:r w:rsidR="00402663" w:rsidRPr="00402663">
          <w:rPr>
            <w:noProof/>
            <w:webHidden/>
            <w:sz w:val="22"/>
            <w:szCs w:val="22"/>
          </w:rPr>
          <w:fldChar w:fldCharType="end"/>
        </w:r>
      </w:hyperlink>
    </w:p>
    <w:p w14:paraId="7F78F81A" w14:textId="4F48B709"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4" w:history="1">
        <w:r w:rsidR="00402663" w:rsidRPr="00402663">
          <w:rPr>
            <w:rStyle w:val="Hyperlink"/>
            <w:noProof/>
            <w:sz w:val="22"/>
            <w:szCs w:val="22"/>
          </w:rPr>
          <w:t>Tablica 4.4 - Prikaz ukupno potrošene energije i pridruženih emisija te ekvivalenta emisija CO</w:t>
        </w:r>
        <w:r w:rsidR="00402663" w:rsidRPr="00402663">
          <w:rPr>
            <w:rStyle w:val="Hyperlink"/>
            <w:noProof/>
            <w:sz w:val="22"/>
            <w:szCs w:val="22"/>
            <w:vertAlign w:val="subscript"/>
          </w:rPr>
          <w:t xml:space="preserve">2 </w:t>
        </w:r>
        <w:r w:rsidR="00402663" w:rsidRPr="00402663">
          <w:rPr>
            <w:rStyle w:val="Hyperlink"/>
            <w:noProof/>
            <w:sz w:val="22"/>
            <w:szCs w:val="22"/>
          </w:rPr>
          <w:t>za vozila u vlasništvu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25</w:t>
        </w:r>
        <w:r w:rsidR="00402663" w:rsidRPr="00402663">
          <w:rPr>
            <w:noProof/>
            <w:webHidden/>
            <w:sz w:val="22"/>
            <w:szCs w:val="22"/>
          </w:rPr>
          <w:fldChar w:fldCharType="end"/>
        </w:r>
      </w:hyperlink>
    </w:p>
    <w:p w14:paraId="5ED3049D" w14:textId="4DA77F37"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5" w:history="1">
        <w:r w:rsidR="00402663" w:rsidRPr="00402663">
          <w:rPr>
            <w:rStyle w:val="Hyperlink"/>
            <w:noProof/>
            <w:sz w:val="22"/>
            <w:szCs w:val="22"/>
            <w:lang w:val="it-IT"/>
          </w:rPr>
          <w:t>Tablica 4.5 - Potrošnje goriva i e</w:t>
        </w:r>
        <w:r w:rsidR="00402663" w:rsidRPr="00402663">
          <w:rPr>
            <w:rStyle w:val="Hyperlink"/>
            <w:noProof/>
            <w:sz w:val="22"/>
            <w:szCs w:val="22"/>
            <w:lang w:val="pl-PL"/>
          </w:rPr>
          <w:t>misije</w:t>
        </w:r>
        <w:r w:rsidR="00402663" w:rsidRPr="00402663">
          <w:rPr>
            <w:rStyle w:val="Hyperlink"/>
            <w:noProof/>
            <w:sz w:val="22"/>
            <w:szCs w:val="22"/>
            <w:lang w:val="it-IT"/>
          </w:rPr>
          <w:t xml:space="preserve"> </w:t>
        </w:r>
        <w:r w:rsidR="00402663" w:rsidRPr="00402663">
          <w:rPr>
            <w:rStyle w:val="Hyperlink"/>
            <w:noProof/>
            <w:sz w:val="22"/>
            <w:szCs w:val="22"/>
            <w:lang w:val="pl-PL"/>
          </w:rPr>
          <w:t>stakleni</w:t>
        </w:r>
        <w:r w:rsidR="00402663" w:rsidRPr="00402663">
          <w:rPr>
            <w:rStyle w:val="Hyperlink"/>
            <w:noProof/>
            <w:sz w:val="22"/>
            <w:szCs w:val="22"/>
            <w:lang w:val="it-IT"/>
          </w:rPr>
          <w:t>č</w:t>
        </w:r>
        <w:r w:rsidR="00402663" w:rsidRPr="00402663">
          <w:rPr>
            <w:rStyle w:val="Hyperlink"/>
            <w:noProof/>
            <w:sz w:val="22"/>
            <w:szCs w:val="22"/>
            <w:lang w:val="pl-PL"/>
          </w:rPr>
          <w:t>kih</w:t>
        </w:r>
        <w:r w:rsidR="00402663" w:rsidRPr="00402663">
          <w:rPr>
            <w:rStyle w:val="Hyperlink"/>
            <w:noProof/>
            <w:sz w:val="22"/>
            <w:szCs w:val="22"/>
            <w:lang w:val="it-IT"/>
          </w:rPr>
          <w:t xml:space="preserve"> </w:t>
        </w:r>
        <w:r w:rsidR="00402663" w:rsidRPr="00402663">
          <w:rPr>
            <w:rStyle w:val="Hyperlink"/>
            <w:noProof/>
            <w:sz w:val="22"/>
            <w:szCs w:val="22"/>
            <w:lang w:val="pl-PL"/>
          </w:rPr>
          <w:t>plinova</w:t>
        </w:r>
        <w:r w:rsidR="00402663" w:rsidRPr="00402663">
          <w:rPr>
            <w:rStyle w:val="Hyperlink"/>
            <w:noProof/>
            <w:sz w:val="22"/>
            <w:szCs w:val="22"/>
            <w:lang w:val="it-IT"/>
          </w:rPr>
          <w:t xml:space="preserve"> </w:t>
        </w:r>
        <w:r w:rsidR="00402663" w:rsidRPr="00402663">
          <w:rPr>
            <w:rStyle w:val="Hyperlink"/>
            <w:noProof/>
            <w:sz w:val="22"/>
            <w:szCs w:val="22"/>
            <w:lang w:val="pl-PL"/>
          </w:rPr>
          <w:t>po</w:t>
        </w:r>
        <w:r w:rsidR="00402663" w:rsidRPr="00402663">
          <w:rPr>
            <w:rStyle w:val="Hyperlink"/>
            <w:noProof/>
            <w:sz w:val="22"/>
            <w:szCs w:val="22"/>
            <w:lang w:val="it-IT"/>
          </w:rPr>
          <w:t xml:space="preserve"> </w:t>
        </w:r>
        <w:r w:rsidR="00402663" w:rsidRPr="00402663">
          <w:rPr>
            <w:rStyle w:val="Hyperlink"/>
            <w:noProof/>
            <w:sz w:val="22"/>
            <w:szCs w:val="22"/>
            <w:lang w:val="pl-PL"/>
          </w:rPr>
          <w:t>kategorijama</w:t>
        </w:r>
        <w:r w:rsidR="00402663" w:rsidRPr="00402663">
          <w:rPr>
            <w:rStyle w:val="Hyperlink"/>
            <w:noProof/>
            <w:sz w:val="22"/>
            <w:szCs w:val="22"/>
            <w:lang w:val="it-IT"/>
          </w:rPr>
          <w:t xml:space="preserve"> autobusa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26</w:t>
        </w:r>
        <w:r w:rsidR="00402663" w:rsidRPr="00402663">
          <w:rPr>
            <w:noProof/>
            <w:webHidden/>
            <w:sz w:val="22"/>
            <w:szCs w:val="22"/>
          </w:rPr>
          <w:fldChar w:fldCharType="end"/>
        </w:r>
      </w:hyperlink>
    </w:p>
    <w:p w14:paraId="6064EEF3" w14:textId="6455CAE7"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6" w:history="1">
        <w:r w:rsidR="00402663" w:rsidRPr="00402663">
          <w:rPr>
            <w:rStyle w:val="Hyperlink"/>
            <w:noProof/>
            <w:sz w:val="22"/>
            <w:szCs w:val="22"/>
            <w:lang w:val="it-IT"/>
          </w:rPr>
          <w:t>Tablica 4.6 - Potrošnje električne energije i emisije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vozila na električni pogon za 2008.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26</w:t>
        </w:r>
        <w:r w:rsidR="00402663" w:rsidRPr="00402663">
          <w:rPr>
            <w:noProof/>
            <w:webHidden/>
            <w:sz w:val="22"/>
            <w:szCs w:val="22"/>
          </w:rPr>
          <w:fldChar w:fldCharType="end"/>
        </w:r>
      </w:hyperlink>
    </w:p>
    <w:p w14:paraId="1B2FBA0B" w14:textId="1E3C0D49"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7" w:history="1">
        <w:r w:rsidR="00402663" w:rsidRPr="00402663">
          <w:rPr>
            <w:rStyle w:val="Hyperlink"/>
            <w:noProof/>
            <w:sz w:val="22"/>
            <w:szCs w:val="22"/>
          </w:rPr>
          <w:t>Tablica 4.7 - Potrošnje energije te pripadajuće emisije i ekvivalenti emisija CO</w:t>
        </w:r>
        <w:r w:rsidR="00402663" w:rsidRPr="00402663">
          <w:rPr>
            <w:rStyle w:val="Hyperlink"/>
            <w:noProof/>
            <w:sz w:val="22"/>
            <w:szCs w:val="22"/>
            <w:vertAlign w:val="subscript"/>
          </w:rPr>
          <w:t>2</w:t>
        </w:r>
        <w:r w:rsidR="00402663" w:rsidRPr="00402663">
          <w:rPr>
            <w:rStyle w:val="Hyperlink"/>
            <w:noProof/>
            <w:sz w:val="22"/>
            <w:szCs w:val="22"/>
          </w:rPr>
          <w:t xml:space="preserve"> za autobusni i tračni prijevoz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27</w:t>
        </w:r>
        <w:r w:rsidR="00402663" w:rsidRPr="00402663">
          <w:rPr>
            <w:noProof/>
            <w:webHidden/>
            <w:sz w:val="22"/>
            <w:szCs w:val="22"/>
          </w:rPr>
          <w:fldChar w:fldCharType="end"/>
        </w:r>
      </w:hyperlink>
    </w:p>
    <w:p w14:paraId="110102B4" w14:textId="28ED806E"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8" w:history="1">
        <w:r w:rsidR="00402663" w:rsidRPr="00402663">
          <w:rPr>
            <w:rStyle w:val="Hyperlink"/>
            <w:noProof/>
            <w:sz w:val="22"/>
            <w:szCs w:val="22"/>
          </w:rPr>
          <w:t>Tablica 4.8 - Ukupna potrošnja pojedine vrste goriva podsektora osobnih i komercijalnih vozila u 2008.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27</w:t>
        </w:r>
        <w:r w:rsidR="00402663" w:rsidRPr="00402663">
          <w:rPr>
            <w:noProof/>
            <w:webHidden/>
            <w:sz w:val="22"/>
            <w:szCs w:val="22"/>
          </w:rPr>
          <w:fldChar w:fldCharType="end"/>
        </w:r>
      </w:hyperlink>
    </w:p>
    <w:p w14:paraId="6ED16A89" w14:textId="1035B709"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5999" w:history="1">
        <w:r w:rsidR="00402663" w:rsidRPr="00402663">
          <w:rPr>
            <w:rStyle w:val="Hyperlink"/>
            <w:noProof/>
            <w:sz w:val="22"/>
            <w:szCs w:val="22"/>
          </w:rPr>
          <w:t>Tablica 4.9 - Emisije i ekvivalent CO</w:t>
        </w:r>
        <w:r w:rsidR="00402663" w:rsidRPr="00402663">
          <w:rPr>
            <w:rStyle w:val="Hyperlink"/>
            <w:noProof/>
            <w:sz w:val="22"/>
            <w:szCs w:val="22"/>
            <w:vertAlign w:val="subscript"/>
          </w:rPr>
          <w:t>2</w:t>
        </w:r>
        <w:r w:rsidR="00402663" w:rsidRPr="00402663">
          <w:rPr>
            <w:rStyle w:val="Hyperlink"/>
            <w:noProof/>
            <w:sz w:val="22"/>
            <w:szCs w:val="22"/>
          </w:rPr>
          <w:t xml:space="preserve"> za podsektor osobnih i komercijalnih vozila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_Toc4155999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28</w:t>
        </w:r>
        <w:r w:rsidR="00402663" w:rsidRPr="00402663">
          <w:rPr>
            <w:noProof/>
            <w:webHidden/>
            <w:sz w:val="22"/>
            <w:szCs w:val="22"/>
          </w:rPr>
          <w:fldChar w:fldCharType="end"/>
        </w:r>
      </w:hyperlink>
    </w:p>
    <w:p w14:paraId="72F0FDFB" w14:textId="7ECEB29C"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0" w:history="1">
        <w:r w:rsidR="00402663" w:rsidRPr="00402663">
          <w:rPr>
            <w:rStyle w:val="Hyperlink"/>
            <w:noProof/>
            <w:sz w:val="22"/>
            <w:szCs w:val="22"/>
            <w:lang w:val="it-IT"/>
          </w:rPr>
          <w:t>Tablica 4.10 - Potrošena energija i pripadajuće emisije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za podsektore prometa u Gradu Zagrebu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28</w:t>
        </w:r>
        <w:r w:rsidR="00402663" w:rsidRPr="00402663">
          <w:rPr>
            <w:noProof/>
            <w:webHidden/>
            <w:sz w:val="22"/>
            <w:szCs w:val="22"/>
          </w:rPr>
          <w:fldChar w:fldCharType="end"/>
        </w:r>
      </w:hyperlink>
    </w:p>
    <w:p w14:paraId="224C7BE6" w14:textId="5182865C"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1" w:history="1">
        <w:r w:rsidR="00402663" w:rsidRPr="00402663">
          <w:rPr>
            <w:rStyle w:val="Hyperlink"/>
            <w:noProof/>
            <w:sz w:val="22"/>
            <w:szCs w:val="22"/>
          </w:rPr>
          <w:t>Tablica 4.11 - Potrošnja električne energije i neizravna emisija CO</w:t>
        </w:r>
        <w:r w:rsidR="00402663" w:rsidRPr="00402663">
          <w:rPr>
            <w:rStyle w:val="Hyperlink"/>
            <w:noProof/>
            <w:sz w:val="22"/>
            <w:szCs w:val="22"/>
            <w:vertAlign w:val="subscript"/>
          </w:rPr>
          <w:t>2</w:t>
        </w:r>
        <w:r w:rsidR="00402663" w:rsidRPr="00402663">
          <w:rPr>
            <w:rStyle w:val="Hyperlink"/>
            <w:noProof/>
            <w:sz w:val="22"/>
            <w:szCs w:val="22"/>
          </w:rPr>
          <w:t xml:space="preserve"> električne mreže javne rasvjete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29</w:t>
        </w:r>
        <w:r w:rsidR="00402663" w:rsidRPr="00402663">
          <w:rPr>
            <w:noProof/>
            <w:webHidden/>
            <w:sz w:val="22"/>
            <w:szCs w:val="22"/>
          </w:rPr>
          <w:fldChar w:fldCharType="end"/>
        </w:r>
      </w:hyperlink>
    </w:p>
    <w:p w14:paraId="6B39E7D1" w14:textId="3D75AC57"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2" w:history="1">
        <w:r w:rsidR="00402663" w:rsidRPr="00402663">
          <w:rPr>
            <w:rStyle w:val="Hyperlink"/>
            <w:noProof/>
            <w:sz w:val="22"/>
            <w:szCs w:val="22"/>
            <w:lang w:val="it-IT"/>
          </w:rPr>
          <w:t>Tablica 4.12 - Potrošnja plina i emisija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plinske mreže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29</w:t>
        </w:r>
        <w:r w:rsidR="00402663" w:rsidRPr="00402663">
          <w:rPr>
            <w:noProof/>
            <w:webHidden/>
            <w:sz w:val="22"/>
            <w:szCs w:val="22"/>
          </w:rPr>
          <w:fldChar w:fldCharType="end"/>
        </w:r>
      </w:hyperlink>
    </w:p>
    <w:p w14:paraId="277F1EC9" w14:textId="2DA9356F"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3" w:history="1">
        <w:r w:rsidR="00402663" w:rsidRPr="00402663">
          <w:rPr>
            <w:rStyle w:val="Hyperlink"/>
            <w:noProof/>
            <w:sz w:val="22"/>
            <w:szCs w:val="22"/>
            <w:lang w:val="it-IT"/>
          </w:rPr>
          <w:t>Tablica 4.13 - Podjela energetske potrošnje pojedinih sektora po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30</w:t>
        </w:r>
        <w:r w:rsidR="00402663" w:rsidRPr="00402663">
          <w:rPr>
            <w:noProof/>
            <w:webHidden/>
            <w:sz w:val="22"/>
            <w:szCs w:val="22"/>
          </w:rPr>
          <w:fldChar w:fldCharType="end"/>
        </w:r>
      </w:hyperlink>
    </w:p>
    <w:p w14:paraId="52CCC130" w14:textId="65D059F6"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4" w:history="1">
        <w:r w:rsidR="00402663" w:rsidRPr="00402663">
          <w:rPr>
            <w:rStyle w:val="Hyperlink"/>
            <w:noProof/>
            <w:sz w:val="22"/>
            <w:szCs w:val="22"/>
            <w:lang w:val="it-IT"/>
          </w:rPr>
          <w:t>Tablica 4.14 - Emisija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po sektorima i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32</w:t>
        </w:r>
        <w:r w:rsidR="00402663" w:rsidRPr="00402663">
          <w:rPr>
            <w:noProof/>
            <w:webHidden/>
            <w:sz w:val="22"/>
            <w:szCs w:val="22"/>
          </w:rPr>
          <w:fldChar w:fldCharType="end"/>
        </w:r>
      </w:hyperlink>
    </w:p>
    <w:p w14:paraId="141C22CF" w14:textId="0811EB5F"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5" w:history="1">
        <w:r w:rsidR="00402663" w:rsidRPr="00402663">
          <w:rPr>
            <w:rStyle w:val="Hyperlink"/>
            <w:noProof/>
            <w:sz w:val="22"/>
            <w:szCs w:val="22"/>
          </w:rPr>
          <w:t>Tablica 4.</w:t>
        </w:r>
        <w:r w:rsidR="00402663" w:rsidRPr="00402663">
          <w:rPr>
            <w:rStyle w:val="Hyperlink"/>
            <w:noProof/>
            <w:sz w:val="22"/>
            <w:szCs w:val="22"/>
            <w:lang w:val="it-IT"/>
          </w:rPr>
          <w:t>15 - Prikaz emisija CO</w:t>
        </w:r>
        <w:r w:rsidR="00402663" w:rsidRPr="00402663">
          <w:rPr>
            <w:rStyle w:val="Hyperlink"/>
            <w:noProof/>
            <w:sz w:val="22"/>
            <w:szCs w:val="22"/>
            <w:vertAlign w:val="subscript"/>
            <w:lang w:val="it-IT"/>
          </w:rPr>
          <w:t>2</w:t>
        </w:r>
        <w:r w:rsidR="00402663" w:rsidRPr="00402663">
          <w:rPr>
            <w:rStyle w:val="Hyperlink"/>
            <w:noProof/>
            <w:sz w:val="22"/>
            <w:szCs w:val="22"/>
            <w:lang w:val="it-IT"/>
          </w:rPr>
          <w:t>-ekv po sektorima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34</w:t>
        </w:r>
        <w:r w:rsidR="00402663" w:rsidRPr="00402663">
          <w:rPr>
            <w:noProof/>
            <w:webHidden/>
            <w:sz w:val="22"/>
            <w:szCs w:val="22"/>
          </w:rPr>
          <w:fldChar w:fldCharType="end"/>
        </w:r>
      </w:hyperlink>
    </w:p>
    <w:p w14:paraId="167026E9" w14:textId="0935CE98"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6" w:history="1">
        <w:r w:rsidR="00402663" w:rsidRPr="00402663">
          <w:rPr>
            <w:rStyle w:val="Hyperlink"/>
            <w:noProof/>
            <w:sz w:val="22"/>
            <w:szCs w:val="22"/>
          </w:rPr>
          <w:t xml:space="preserve">Tablica 5.1 - </w:t>
        </w:r>
        <w:r w:rsidR="00402663" w:rsidRPr="00402663">
          <w:rPr>
            <w:rStyle w:val="Hyperlink"/>
            <w:rFonts w:eastAsia="Calibri"/>
            <w:noProof/>
            <w:sz w:val="22"/>
            <w:szCs w:val="22"/>
          </w:rPr>
          <w:t>Korišteni emisijski faktori za određivanje emisija CO</w:t>
        </w:r>
        <w:r w:rsidR="00402663" w:rsidRPr="00402663">
          <w:rPr>
            <w:rStyle w:val="Hyperlink"/>
            <w:rFonts w:eastAsia="Calibri"/>
            <w:noProof/>
            <w:sz w:val="22"/>
            <w:szCs w:val="22"/>
            <w:vertAlign w:val="subscript"/>
          </w:rPr>
          <w:t>2</w:t>
        </w:r>
        <w:r w:rsidR="00402663" w:rsidRPr="00402663">
          <w:rPr>
            <w:rStyle w:val="Hyperlink"/>
            <w:rFonts w:eastAsia="Calibri"/>
            <w:noProof/>
            <w:sz w:val="22"/>
            <w:szCs w:val="22"/>
          </w:rPr>
          <w:t xml:space="preserve"> iz sektora zgradarstva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36</w:t>
        </w:r>
        <w:r w:rsidR="00402663" w:rsidRPr="00402663">
          <w:rPr>
            <w:noProof/>
            <w:webHidden/>
            <w:sz w:val="22"/>
            <w:szCs w:val="22"/>
          </w:rPr>
          <w:fldChar w:fldCharType="end"/>
        </w:r>
      </w:hyperlink>
    </w:p>
    <w:p w14:paraId="67916599" w14:textId="2BC6F6CE"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7" w:history="1">
        <w:r w:rsidR="00402663" w:rsidRPr="00402663">
          <w:rPr>
            <w:rStyle w:val="Hyperlink"/>
            <w:noProof/>
            <w:sz w:val="22"/>
            <w:szCs w:val="22"/>
            <w:lang w:val="it-IT"/>
          </w:rPr>
          <w:t xml:space="preserve">Tablica 5.2 - </w:t>
        </w:r>
        <w:r w:rsidR="00402663" w:rsidRPr="00402663">
          <w:rPr>
            <w:rStyle w:val="Hyperlink"/>
            <w:rFonts w:eastAsia="Calibri"/>
            <w:noProof/>
            <w:sz w:val="22"/>
            <w:szCs w:val="22"/>
            <w:lang w:val="it-IT"/>
          </w:rPr>
          <w:t xml:space="preserve">Kontrolni inventar </w:t>
        </w:r>
        <w:r w:rsidR="00402663" w:rsidRPr="00402663">
          <w:rPr>
            <w:rStyle w:val="Hyperlink"/>
            <w:noProof/>
            <w:sz w:val="22"/>
            <w:szCs w:val="22"/>
            <w:lang w:val="it-IT"/>
          </w:rPr>
          <w:t>emisije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sektora zgradarstva Grada Zagreba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36</w:t>
        </w:r>
        <w:r w:rsidR="00402663" w:rsidRPr="00402663">
          <w:rPr>
            <w:noProof/>
            <w:webHidden/>
            <w:sz w:val="22"/>
            <w:szCs w:val="22"/>
          </w:rPr>
          <w:fldChar w:fldCharType="end"/>
        </w:r>
      </w:hyperlink>
    </w:p>
    <w:p w14:paraId="4FF39E2F" w14:textId="680CAD80"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8" w:history="1">
        <w:r w:rsidR="00402663" w:rsidRPr="00402663">
          <w:rPr>
            <w:rStyle w:val="Hyperlink"/>
            <w:noProof/>
            <w:sz w:val="22"/>
            <w:szCs w:val="22"/>
            <w:lang w:val="it-IT"/>
          </w:rPr>
          <w:t>Tablica 5.3 -</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Kontrolni inventar</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emisije CO</w:t>
        </w:r>
        <w:r w:rsidR="00402663" w:rsidRPr="00402663">
          <w:rPr>
            <w:rStyle w:val="Hyperlink"/>
            <w:rFonts w:eastAsia="Calibri"/>
            <w:noProof/>
            <w:sz w:val="22"/>
            <w:szCs w:val="22"/>
            <w:vertAlign w:val="subscript"/>
            <w:lang w:val="it-IT"/>
          </w:rPr>
          <w:t>2</w:t>
        </w:r>
        <w:r w:rsidR="00402663" w:rsidRPr="00402663">
          <w:rPr>
            <w:rStyle w:val="Hyperlink"/>
            <w:rFonts w:eastAsia="Calibri"/>
            <w:noProof/>
            <w:sz w:val="22"/>
            <w:szCs w:val="22"/>
            <w:lang w:val="it-IT"/>
          </w:rPr>
          <w:t xml:space="preserve"> sektora promet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39</w:t>
        </w:r>
        <w:r w:rsidR="00402663" w:rsidRPr="00402663">
          <w:rPr>
            <w:noProof/>
            <w:webHidden/>
            <w:sz w:val="22"/>
            <w:szCs w:val="22"/>
          </w:rPr>
          <w:fldChar w:fldCharType="end"/>
        </w:r>
      </w:hyperlink>
    </w:p>
    <w:p w14:paraId="500857BA" w14:textId="22AD447A"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09" w:history="1">
        <w:r w:rsidR="00402663" w:rsidRPr="00402663">
          <w:rPr>
            <w:rStyle w:val="Hyperlink"/>
            <w:noProof/>
            <w:sz w:val="22"/>
            <w:szCs w:val="22"/>
            <w:lang w:val="it-IT"/>
          </w:rPr>
          <w:t>Tablica 5.4 -</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Potrošnja električne energije i plina i pripadajući Kontrolni inventar emisije CO</w:t>
        </w:r>
        <w:r w:rsidR="00402663" w:rsidRPr="00402663">
          <w:rPr>
            <w:rStyle w:val="Hyperlink"/>
            <w:rFonts w:eastAsia="Calibri"/>
            <w:noProof/>
            <w:sz w:val="22"/>
            <w:szCs w:val="22"/>
            <w:vertAlign w:val="subscript"/>
            <w:lang w:val="it-IT"/>
          </w:rPr>
          <w:t xml:space="preserve">2 </w:t>
        </w:r>
        <w:r w:rsidR="00402663" w:rsidRPr="00402663">
          <w:rPr>
            <w:rStyle w:val="Hyperlink"/>
            <w:rFonts w:eastAsia="Calibri"/>
            <w:noProof/>
            <w:sz w:val="22"/>
            <w:szCs w:val="22"/>
            <w:lang w:val="it-IT"/>
          </w:rPr>
          <w:t>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_Toc4156009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40</w:t>
        </w:r>
        <w:r w:rsidR="00402663" w:rsidRPr="00402663">
          <w:rPr>
            <w:noProof/>
            <w:webHidden/>
            <w:sz w:val="22"/>
            <w:szCs w:val="22"/>
          </w:rPr>
          <w:fldChar w:fldCharType="end"/>
        </w:r>
      </w:hyperlink>
    </w:p>
    <w:p w14:paraId="6B1A4E90" w14:textId="6BFC70CD"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0" w:history="1">
        <w:r w:rsidR="00402663" w:rsidRPr="00402663">
          <w:rPr>
            <w:rStyle w:val="Hyperlink"/>
            <w:noProof/>
            <w:sz w:val="22"/>
            <w:szCs w:val="22"/>
            <w:lang w:val="it-IT"/>
          </w:rPr>
          <w:t>Tablica 5.5 - Podjela energetske potrošnje pojedinih sektora po energentima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41</w:t>
        </w:r>
        <w:r w:rsidR="00402663" w:rsidRPr="00402663">
          <w:rPr>
            <w:noProof/>
            <w:webHidden/>
            <w:sz w:val="22"/>
            <w:szCs w:val="22"/>
          </w:rPr>
          <w:fldChar w:fldCharType="end"/>
        </w:r>
      </w:hyperlink>
    </w:p>
    <w:p w14:paraId="6B44DBE7" w14:textId="3BF73C7C"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1" w:history="1">
        <w:r w:rsidR="00402663" w:rsidRPr="00402663">
          <w:rPr>
            <w:rStyle w:val="Hyperlink"/>
            <w:noProof/>
            <w:sz w:val="22"/>
            <w:szCs w:val="22"/>
            <w:lang w:val="it-IT"/>
          </w:rPr>
          <w:t>Tablica 5.6</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Kontrolni inventar</w:t>
        </w:r>
        <w:r w:rsidR="00402663" w:rsidRPr="00402663">
          <w:rPr>
            <w:rStyle w:val="Hyperlink"/>
            <w:rFonts w:eastAsia="Calibri"/>
            <w:b/>
            <w:bCs/>
            <w:noProof/>
            <w:sz w:val="22"/>
            <w:szCs w:val="22"/>
            <w:lang w:val="it-IT"/>
          </w:rPr>
          <w:t xml:space="preserve"> </w:t>
        </w:r>
        <w:r w:rsidR="00402663" w:rsidRPr="00402663">
          <w:rPr>
            <w:rStyle w:val="Hyperlink"/>
            <w:noProof/>
            <w:sz w:val="22"/>
            <w:szCs w:val="22"/>
            <w:lang w:val="it-IT"/>
          </w:rPr>
          <w:t>emisija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u 2015. godini po sektorima i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43</w:t>
        </w:r>
        <w:r w:rsidR="00402663" w:rsidRPr="00402663">
          <w:rPr>
            <w:noProof/>
            <w:webHidden/>
            <w:sz w:val="22"/>
            <w:szCs w:val="22"/>
          </w:rPr>
          <w:fldChar w:fldCharType="end"/>
        </w:r>
      </w:hyperlink>
    </w:p>
    <w:p w14:paraId="4BB514D8" w14:textId="7F340452"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2" w:history="1">
        <w:r w:rsidR="00402663" w:rsidRPr="00402663">
          <w:rPr>
            <w:rStyle w:val="Hyperlink"/>
            <w:noProof/>
            <w:sz w:val="22"/>
            <w:szCs w:val="22"/>
            <w:lang w:val="it-IT"/>
          </w:rPr>
          <w:t>Tablica 6.1</w:t>
        </w:r>
        <w:r w:rsidR="00402663" w:rsidRPr="00402663">
          <w:rPr>
            <w:rStyle w:val="Hyperlink"/>
            <w:rFonts w:eastAsia="Calibri"/>
            <w:b/>
            <w:bCs/>
            <w:noProof/>
            <w:sz w:val="22"/>
            <w:szCs w:val="22"/>
            <w:lang w:val="it-IT"/>
          </w:rPr>
          <w:t xml:space="preserve"> </w:t>
        </w:r>
        <w:r w:rsidR="00402663" w:rsidRPr="00402663">
          <w:rPr>
            <w:rStyle w:val="Hyperlink"/>
            <w:rFonts w:eastAsia="Calibri"/>
            <w:bCs/>
            <w:noProof/>
            <w:sz w:val="22"/>
            <w:szCs w:val="22"/>
            <w:lang w:val="it-IT"/>
          </w:rPr>
          <w:t>-</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Referentni inventar</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emisija CO</w:t>
        </w:r>
        <w:r w:rsidR="00402663" w:rsidRPr="00402663">
          <w:rPr>
            <w:rStyle w:val="Hyperlink"/>
            <w:rFonts w:eastAsia="Calibri"/>
            <w:noProof/>
            <w:sz w:val="22"/>
            <w:szCs w:val="22"/>
            <w:vertAlign w:val="subscript"/>
            <w:lang w:val="it-IT"/>
          </w:rPr>
          <w:t>2</w:t>
        </w:r>
        <w:r w:rsidR="00402663" w:rsidRPr="00402663">
          <w:rPr>
            <w:rStyle w:val="Hyperlink"/>
            <w:rFonts w:eastAsia="Calibri"/>
            <w:noProof/>
            <w:sz w:val="22"/>
            <w:szCs w:val="22"/>
            <w:lang w:val="it-IT"/>
          </w:rPr>
          <w:t xml:space="preserve"> po sektorima i energentima, 2008. godina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45</w:t>
        </w:r>
        <w:r w:rsidR="00402663" w:rsidRPr="00402663">
          <w:rPr>
            <w:noProof/>
            <w:webHidden/>
            <w:sz w:val="22"/>
            <w:szCs w:val="22"/>
          </w:rPr>
          <w:fldChar w:fldCharType="end"/>
        </w:r>
      </w:hyperlink>
    </w:p>
    <w:p w14:paraId="7CED79E8" w14:textId="5E402B62"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3" w:history="1">
        <w:r w:rsidR="00402663" w:rsidRPr="00402663">
          <w:rPr>
            <w:rStyle w:val="Hyperlink"/>
            <w:noProof/>
            <w:sz w:val="22"/>
            <w:szCs w:val="22"/>
            <w:lang w:val="it-IT"/>
          </w:rPr>
          <w:t>Tablica 6.2 -</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Kontrolni inventar</w:t>
        </w:r>
        <w:r w:rsidR="00402663" w:rsidRPr="00402663">
          <w:rPr>
            <w:rStyle w:val="Hyperlink"/>
            <w:rFonts w:eastAsia="Calibri"/>
            <w:b/>
            <w:bCs/>
            <w:noProof/>
            <w:sz w:val="22"/>
            <w:szCs w:val="22"/>
            <w:lang w:val="it-IT"/>
          </w:rPr>
          <w:t xml:space="preserve"> </w:t>
        </w:r>
        <w:r w:rsidR="00402663" w:rsidRPr="00402663">
          <w:rPr>
            <w:rStyle w:val="Hyperlink"/>
            <w:rFonts w:eastAsia="Calibri"/>
            <w:noProof/>
            <w:sz w:val="22"/>
            <w:szCs w:val="22"/>
            <w:lang w:val="it-IT"/>
          </w:rPr>
          <w:t>emisija CO</w:t>
        </w:r>
        <w:r w:rsidR="00402663" w:rsidRPr="00402663">
          <w:rPr>
            <w:rStyle w:val="Hyperlink"/>
            <w:rFonts w:eastAsia="Calibri"/>
            <w:noProof/>
            <w:sz w:val="22"/>
            <w:szCs w:val="22"/>
            <w:vertAlign w:val="subscript"/>
            <w:lang w:val="it-IT"/>
          </w:rPr>
          <w:t>2</w:t>
        </w:r>
        <w:r w:rsidR="00402663" w:rsidRPr="00402663">
          <w:rPr>
            <w:rStyle w:val="Hyperlink"/>
            <w:rFonts w:eastAsia="Calibri"/>
            <w:noProof/>
            <w:sz w:val="22"/>
            <w:szCs w:val="22"/>
            <w:lang w:val="it-IT"/>
          </w:rPr>
          <w:t xml:space="preserve"> po sektorima i energentima, 2015. godina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45</w:t>
        </w:r>
        <w:r w:rsidR="00402663" w:rsidRPr="00402663">
          <w:rPr>
            <w:noProof/>
            <w:webHidden/>
            <w:sz w:val="22"/>
            <w:szCs w:val="22"/>
          </w:rPr>
          <w:fldChar w:fldCharType="end"/>
        </w:r>
      </w:hyperlink>
    </w:p>
    <w:p w14:paraId="3D6AB883" w14:textId="33C37841"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4" w:history="1">
        <w:r w:rsidR="00402663" w:rsidRPr="00402663">
          <w:rPr>
            <w:rStyle w:val="Hyperlink"/>
            <w:noProof/>
            <w:sz w:val="22"/>
            <w:szCs w:val="22"/>
          </w:rPr>
          <w:t>Tablica 6.3 - Omjer emisije CO2 iz sektora javne rasvjeta i broja rasvjetnih tijela, t CO2/izvor svjetlost</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50</w:t>
        </w:r>
        <w:r w:rsidR="00402663" w:rsidRPr="00402663">
          <w:rPr>
            <w:noProof/>
            <w:webHidden/>
            <w:sz w:val="22"/>
            <w:szCs w:val="22"/>
          </w:rPr>
          <w:fldChar w:fldCharType="end"/>
        </w:r>
      </w:hyperlink>
    </w:p>
    <w:p w14:paraId="42353D8D" w14:textId="17DF86F6"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5" w:history="1">
        <w:r w:rsidR="00402663" w:rsidRPr="00402663">
          <w:rPr>
            <w:rStyle w:val="Hyperlink"/>
            <w:noProof/>
            <w:sz w:val="22"/>
            <w:szCs w:val="22"/>
            <w:lang w:val="it-IT"/>
          </w:rPr>
          <w:t>Tablica 6.4 - Sažeta usporedba Kontrolnog i Referentnog inventara emisija CO</w:t>
        </w:r>
        <w:r w:rsidR="00402663" w:rsidRPr="00402663">
          <w:rPr>
            <w:rStyle w:val="Hyperlink"/>
            <w:noProof/>
            <w:sz w:val="22"/>
            <w:szCs w:val="22"/>
            <w:vertAlign w:val="subscript"/>
            <w:lang w:val="it-IT"/>
          </w:rPr>
          <w:t>2</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51</w:t>
        </w:r>
        <w:r w:rsidR="00402663" w:rsidRPr="00402663">
          <w:rPr>
            <w:noProof/>
            <w:webHidden/>
            <w:sz w:val="22"/>
            <w:szCs w:val="22"/>
          </w:rPr>
          <w:fldChar w:fldCharType="end"/>
        </w:r>
      </w:hyperlink>
    </w:p>
    <w:p w14:paraId="0F871A66" w14:textId="5364B755"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6" w:history="1">
        <w:r w:rsidR="00402663" w:rsidRPr="00402663">
          <w:rPr>
            <w:rStyle w:val="Hyperlink"/>
            <w:rFonts w:eastAsia="Calibri"/>
            <w:noProof/>
            <w:sz w:val="22"/>
            <w:szCs w:val="22"/>
            <w:lang w:val="it-IT"/>
          </w:rPr>
          <w:t>Tablica 6.5</w:t>
        </w:r>
        <w:r w:rsidR="00402663" w:rsidRPr="00402663">
          <w:rPr>
            <w:rStyle w:val="Hyperlink"/>
            <w:rFonts w:eastAsia="Calibri"/>
            <w:b/>
            <w:bCs/>
            <w:noProof/>
            <w:sz w:val="22"/>
            <w:szCs w:val="22"/>
            <w:lang w:val="it-IT"/>
          </w:rPr>
          <w:t xml:space="preserve"> - </w:t>
        </w:r>
        <w:r w:rsidR="00402663" w:rsidRPr="00402663">
          <w:rPr>
            <w:rStyle w:val="Hyperlink"/>
            <w:rFonts w:eastAsia="Calibri"/>
            <w:noProof/>
            <w:sz w:val="22"/>
            <w:szCs w:val="22"/>
            <w:lang w:val="it-IT"/>
          </w:rPr>
          <w:t>Prikaz rezultata Analize uspješnosti provede Akcijskog plana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52</w:t>
        </w:r>
        <w:r w:rsidR="00402663" w:rsidRPr="00402663">
          <w:rPr>
            <w:noProof/>
            <w:webHidden/>
            <w:sz w:val="22"/>
            <w:szCs w:val="22"/>
          </w:rPr>
          <w:fldChar w:fldCharType="end"/>
        </w:r>
      </w:hyperlink>
    </w:p>
    <w:p w14:paraId="4D0C7C2B" w14:textId="3287E7BA"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7" w:history="1">
        <w:r w:rsidR="00402663" w:rsidRPr="00402663">
          <w:rPr>
            <w:rStyle w:val="Hyperlink"/>
            <w:noProof/>
            <w:sz w:val="22"/>
            <w:szCs w:val="22"/>
            <w:lang w:val="it-IT"/>
          </w:rPr>
          <w:t>Tablica 10.1 – Projekcije emisije Inventara za scenarij bez mjera i scenarij s mjerama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130</w:t>
        </w:r>
        <w:r w:rsidR="00402663" w:rsidRPr="00402663">
          <w:rPr>
            <w:noProof/>
            <w:webHidden/>
            <w:sz w:val="22"/>
            <w:szCs w:val="22"/>
          </w:rPr>
          <w:fldChar w:fldCharType="end"/>
        </w:r>
      </w:hyperlink>
    </w:p>
    <w:p w14:paraId="7304518A" w14:textId="6CD00CB6"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8" w:history="1">
        <w:r w:rsidR="00402663" w:rsidRPr="00402663">
          <w:rPr>
            <w:rStyle w:val="Hyperlink"/>
            <w:noProof/>
            <w:sz w:val="22"/>
            <w:szCs w:val="22"/>
            <w:lang w:val="it-IT"/>
          </w:rPr>
          <w:t xml:space="preserve">Tablica 10.2 - </w:t>
        </w:r>
        <w:r w:rsidR="00402663" w:rsidRPr="00402663">
          <w:rPr>
            <w:rStyle w:val="Hyperlink"/>
            <w:rFonts w:cstheme="minorHAnsi"/>
            <w:noProof/>
            <w:sz w:val="22"/>
            <w:szCs w:val="22"/>
            <w:lang w:val="it-IT"/>
          </w:rPr>
          <w:t>Ukupni potencijali smanjenja emisija po sektorima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130</w:t>
        </w:r>
        <w:r w:rsidR="00402663" w:rsidRPr="00402663">
          <w:rPr>
            <w:noProof/>
            <w:webHidden/>
            <w:sz w:val="22"/>
            <w:szCs w:val="22"/>
          </w:rPr>
          <w:fldChar w:fldCharType="end"/>
        </w:r>
      </w:hyperlink>
    </w:p>
    <w:p w14:paraId="07B905C2" w14:textId="2D29A0C7" w:rsidR="00402663" w:rsidRPr="00402663" w:rsidRDefault="00DF5A17">
      <w:pPr>
        <w:pStyle w:val="TableofFigures"/>
        <w:tabs>
          <w:tab w:val="right" w:leader="dot" w:pos="9016"/>
        </w:tabs>
        <w:rPr>
          <w:rFonts w:asciiTheme="minorHAnsi" w:eastAsiaTheme="minorEastAsia" w:hAnsiTheme="minorHAnsi" w:cstheme="minorBidi"/>
          <w:noProof/>
          <w:sz w:val="22"/>
          <w:szCs w:val="22"/>
          <w:lang w:eastAsia="hr-HR"/>
        </w:rPr>
      </w:pPr>
      <w:hyperlink w:anchor="_Toc4156019" w:history="1">
        <w:r w:rsidR="00402663" w:rsidRPr="00402663">
          <w:rPr>
            <w:rStyle w:val="Hyperlink"/>
            <w:noProof/>
            <w:sz w:val="22"/>
            <w:szCs w:val="22"/>
          </w:rPr>
          <w:t xml:space="preserve">Tablica 11.2 - </w:t>
        </w:r>
        <w:r w:rsidR="00402663" w:rsidRPr="00402663">
          <w:rPr>
            <w:rStyle w:val="Hyperlink"/>
            <w:noProof/>
            <w:sz w:val="22"/>
            <w:szCs w:val="22"/>
            <w:lang w:val="x-none"/>
          </w:rPr>
          <w:t>Pregled mogućih izvora financiranja mjera i aktivnosti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_Toc4156019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133</w:t>
        </w:r>
        <w:r w:rsidR="00402663" w:rsidRPr="00402663">
          <w:rPr>
            <w:noProof/>
            <w:webHidden/>
            <w:sz w:val="22"/>
            <w:szCs w:val="22"/>
          </w:rPr>
          <w:fldChar w:fldCharType="end"/>
        </w:r>
      </w:hyperlink>
    </w:p>
    <w:p w14:paraId="76A6DD4A" w14:textId="0E8B1A1A" w:rsidR="006D77A6" w:rsidRPr="005808FC" w:rsidRDefault="00921FC0" w:rsidP="005808FC">
      <w:pPr>
        <w:pStyle w:val="TableofFigures"/>
        <w:spacing w:line="360" w:lineRule="auto"/>
        <w:rPr>
          <w:i/>
          <w:sz w:val="22"/>
          <w:szCs w:val="22"/>
        </w:rPr>
      </w:pPr>
      <w:r w:rsidRPr="00402663">
        <w:rPr>
          <w:i/>
          <w:sz w:val="22"/>
          <w:szCs w:val="22"/>
        </w:rPr>
        <w:fldChar w:fldCharType="end"/>
      </w:r>
      <w:r w:rsidR="00AD773C" w:rsidRPr="005808FC">
        <w:rPr>
          <w:i/>
          <w:sz w:val="22"/>
          <w:szCs w:val="22"/>
        </w:rPr>
        <w:br w:type="page"/>
      </w:r>
    </w:p>
    <w:p w14:paraId="3FF76550" w14:textId="5079B7CE" w:rsidR="006D77A6" w:rsidRDefault="000509A0" w:rsidP="000509A0">
      <w:pPr>
        <w:pStyle w:val="Heading1"/>
      </w:pPr>
      <w:bookmarkStart w:id="397" w:name="_Toc4156139"/>
      <w:r>
        <w:lastRenderedPageBreak/>
        <w:t>POPIS SLIKA</w:t>
      </w:r>
      <w:bookmarkEnd w:id="397"/>
    </w:p>
    <w:p w14:paraId="169F8340" w14:textId="77777777" w:rsidR="000509A0" w:rsidRPr="000509A0" w:rsidRDefault="000509A0"/>
    <w:p w14:paraId="2474E55B" w14:textId="2DCFEC63" w:rsidR="00402663" w:rsidRPr="00402663" w:rsidRDefault="006D77A6">
      <w:pPr>
        <w:pStyle w:val="TableofFigures"/>
        <w:tabs>
          <w:tab w:val="right" w:pos="9016"/>
        </w:tabs>
        <w:rPr>
          <w:rFonts w:asciiTheme="minorHAnsi" w:eastAsiaTheme="minorEastAsia" w:hAnsiTheme="minorHAnsi" w:cstheme="minorBidi"/>
          <w:noProof/>
          <w:sz w:val="22"/>
          <w:szCs w:val="22"/>
          <w:lang w:eastAsia="hr-HR"/>
        </w:rPr>
      </w:pPr>
      <w:r w:rsidRPr="00402663">
        <w:rPr>
          <w:i/>
          <w:sz w:val="22"/>
          <w:szCs w:val="22"/>
        </w:rPr>
        <w:fldChar w:fldCharType="begin"/>
      </w:r>
      <w:r w:rsidRPr="00402663">
        <w:rPr>
          <w:i/>
          <w:sz w:val="22"/>
          <w:szCs w:val="22"/>
        </w:rPr>
        <w:instrText xml:space="preserve"> TOC \h \z \c "Slika" </w:instrText>
      </w:r>
      <w:r w:rsidRPr="00402663">
        <w:rPr>
          <w:i/>
          <w:sz w:val="22"/>
          <w:szCs w:val="22"/>
        </w:rPr>
        <w:fldChar w:fldCharType="separate"/>
      </w:r>
      <w:hyperlink w:anchor="_Toc4156020" w:history="1">
        <w:r w:rsidR="00402663" w:rsidRPr="00402663">
          <w:rPr>
            <w:rStyle w:val="Hyperlink"/>
            <w:noProof/>
            <w:sz w:val="22"/>
            <w:szCs w:val="22"/>
          </w:rPr>
          <w:t>Slika 2.1 - Sporazum gradonačelnika za klimu i energiju – logo inicijative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7</w:t>
        </w:r>
        <w:r w:rsidR="00402663" w:rsidRPr="00402663">
          <w:rPr>
            <w:noProof/>
            <w:webHidden/>
            <w:sz w:val="22"/>
            <w:szCs w:val="22"/>
          </w:rPr>
          <w:fldChar w:fldCharType="end"/>
        </w:r>
      </w:hyperlink>
    </w:p>
    <w:p w14:paraId="338F9D57" w14:textId="611BE91D"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1" w:history="1">
        <w:r w:rsidR="00402663" w:rsidRPr="00402663">
          <w:rPr>
            <w:rStyle w:val="Hyperlink"/>
            <w:noProof/>
            <w:sz w:val="22"/>
            <w:szCs w:val="22"/>
          </w:rPr>
          <w:t xml:space="preserve">Slika 2.2 - Svečano potpisivanje Sporazuma gradonačelnika 10. </w:t>
        </w:r>
        <w:r w:rsidR="00402663" w:rsidRPr="00402663">
          <w:rPr>
            <w:rStyle w:val="Hyperlink"/>
            <w:noProof/>
            <w:sz w:val="22"/>
            <w:szCs w:val="22"/>
            <w:shd w:val="clear" w:color="auto" w:fill="FFFFFF"/>
          </w:rPr>
          <w:t>veljače 2009. godine</w:t>
        </w:r>
        <w:r w:rsidR="00402663" w:rsidRPr="00402663">
          <w:rPr>
            <w:rStyle w:val="Hyperlink"/>
            <w:noProof/>
            <w:sz w:val="22"/>
            <w:szCs w:val="22"/>
          </w:rPr>
          <w:t xml:space="preserve"> u Velikoj dvorani Europskog parlamenta u Bruxellesu </w:t>
        </w:r>
        <w:r w:rsidR="00402663" w:rsidRPr="00402663">
          <w:rPr>
            <w:rStyle w:val="Hyperlink"/>
            <w:noProof/>
            <w:sz w:val="22"/>
            <w:szCs w:val="22"/>
            <w:shd w:val="clear" w:color="auto" w:fill="FFFFFF"/>
          </w:rPr>
          <w:t>(gradonačelnik Grada Zagreba je peti slijeva u prvom redu)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11</w:t>
        </w:r>
        <w:r w:rsidR="00402663" w:rsidRPr="00402663">
          <w:rPr>
            <w:noProof/>
            <w:webHidden/>
            <w:sz w:val="22"/>
            <w:szCs w:val="22"/>
          </w:rPr>
          <w:fldChar w:fldCharType="end"/>
        </w:r>
      </w:hyperlink>
    </w:p>
    <w:p w14:paraId="2793DECF" w14:textId="6B369B84"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2" w:history="1">
        <w:r w:rsidR="00402663" w:rsidRPr="00402663">
          <w:rPr>
            <w:rStyle w:val="Hyperlink"/>
            <w:noProof/>
            <w:sz w:val="22"/>
            <w:szCs w:val="22"/>
          </w:rPr>
          <w:t>Slika 4.1 - Emisije CO</w:t>
        </w:r>
        <w:r w:rsidR="00402663" w:rsidRPr="00402663">
          <w:rPr>
            <w:rStyle w:val="Hyperlink"/>
            <w:noProof/>
            <w:sz w:val="22"/>
            <w:szCs w:val="22"/>
            <w:vertAlign w:val="subscript"/>
          </w:rPr>
          <w:t>2</w:t>
        </w:r>
        <w:r w:rsidR="00402663" w:rsidRPr="00402663">
          <w:rPr>
            <w:rStyle w:val="Hyperlink"/>
            <w:noProof/>
            <w:sz w:val="22"/>
            <w:szCs w:val="22"/>
          </w:rPr>
          <w:t xml:space="preserve"> iz sektora zgradarstva Grada Zagreba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24</w:t>
        </w:r>
        <w:r w:rsidR="00402663" w:rsidRPr="00402663">
          <w:rPr>
            <w:noProof/>
            <w:webHidden/>
            <w:sz w:val="22"/>
            <w:szCs w:val="22"/>
          </w:rPr>
          <w:fldChar w:fldCharType="end"/>
        </w:r>
      </w:hyperlink>
    </w:p>
    <w:p w14:paraId="6ED77A9F" w14:textId="0E59B582"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3" w:history="1">
        <w:r w:rsidR="00402663" w:rsidRPr="00402663">
          <w:rPr>
            <w:rStyle w:val="Hyperlink"/>
            <w:noProof/>
            <w:sz w:val="22"/>
            <w:szCs w:val="22"/>
          </w:rPr>
          <w:t>Slika 4.2 - Potrošnja energenata prometnog sektora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28</w:t>
        </w:r>
        <w:r w:rsidR="00402663" w:rsidRPr="00402663">
          <w:rPr>
            <w:noProof/>
            <w:webHidden/>
            <w:sz w:val="22"/>
            <w:szCs w:val="22"/>
          </w:rPr>
          <w:fldChar w:fldCharType="end"/>
        </w:r>
      </w:hyperlink>
    </w:p>
    <w:p w14:paraId="5B881448" w14:textId="2E54F302"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4" w:history="1">
        <w:r w:rsidR="00402663" w:rsidRPr="00402663">
          <w:rPr>
            <w:rStyle w:val="Hyperlink"/>
            <w:bCs/>
            <w:noProof/>
            <w:sz w:val="22"/>
            <w:szCs w:val="22"/>
          </w:rPr>
          <w:t>Slika 4.3 - Emisije CO2 prometnog sektora Grada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29</w:t>
        </w:r>
        <w:r w:rsidR="00402663" w:rsidRPr="00402663">
          <w:rPr>
            <w:noProof/>
            <w:webHidden/>
            <w:sz w:val="22"/>
            <w:szCs w:val="22"/>
          </w:rPr>
          <w:fldChar w:fldCharType="end"/>
        </w:r>
      </w:hyperlink>
    </w:p>
    <w:p w14:paraId="0E7EE500" w14:textId="6590F6F1"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5" w:history="1">
        <w:r w:rsidR="00402663" w:rsidRPr="00402663">
          <w:rPr>
            <w:rStyle w:val="Hyperlink"/>
            <w:noProof/>
            <w:sz w:val="22"/>
            <w:szCs w:val="22"/>
          </w:rPr>
          <w:t>Slika 4.4 - Energetska potrošnja po energentu u 2008.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30</w:t>
        </w:r>
        <w:r w:rsidR="00402663" w:rsidRPr="00402663">
          <w:rPr>
            <w:noProof/>
            <w:webHidden/>
            <w:sz w:val="22"/>
            <w:szCs w:val="22"/>
          </w:rPr>
          <w:fldChar w:fldCharType="end"/>
        </w:r>
      </w:hyperlink>
    </w:p>
    <w:p w14:paraId="3523F87C" w14:textId="5A9B732E"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6" w:history="1">
        <w:r w:rsidR="00402663" w:rsidRPr="00402663">
          <w:rPr>
            <w:rStyle w:val="Hyperlink"/>
            <w:noProof/>
            <w:sz w:val="22"/>
            <w:szCs w:val="22"/>
          </w:rPr>
          <w:t>Slika 4.5 - Energetska potrošnja po sektorima u 2008.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31</w:t>
        </w:r>
        <w:r w:rsidR="00402663" w:rsidRPr="00402663">
          <w:rPr>
            <w:noProof/>
            <w:webHidden/>
            <w:sz w:val="22"/>
            <w:szCs w:val="22"/>
          </w:rPr>
          <w:fldChar w:fldCharType="end"/>
        </w:r>
      </w:hyperlink>
    </w:p>
    <w:p w14:paraId="40006B76" w14:textId="7325D9B7"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7" w:history="1">
        <w:r w:rsidR="00402663" w:rsidRPr="00402663">
          <w:rPr>
            <w:rStyle w:val="Hyperlink"/>
            <w:noProof/>
            <w:sz w:val="22"/>
            <w:szCs w:val="22"/>
          </w:rPr>
          <w:t>Slika 4.6 - Raspodjela ukupne potrošnje energije po sektorima i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31</w:t>
        </w:r>
        <w:r w:rsidR="00402663" w:rsidRPr="00402663">
          <w:rPr>
            <w:noProof/>
            <w:webHidden/>
            <w:sz w:val="22"/>
            <w:szCs w:val="22"/>
          </w:rPr>
          <w:fldChar w:fldCharType="end"/>
        </w:r>
      </w:hyperlink>
    </w:p>
    <w:p w14:paraId="6B277378" w14:textId="1E7965F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8" w:history="1">
        <w:r w:rsidR="00402663" w:rsidRPr="00402663">
          <w:rPr>
            <w:rStyle w:val="Hyperlink"/>
            <w:noProof/>
            <w:sz w:val="22"/>
            <w:szCs w:val="22"/>
          </w:rPr>
          <w:t>Slika 4.7 - Emisija CO</w:t>
        </w:r>
        <w:r w:rsidR="00402663" w:rsidRPr="00402663">
          <w:rPr>
            <w:rStyle w:val="Hyperlink"/>
            <w:noProof/>
            <w:sz w:val="22"/>
            <w:szCs w:val="22"/>
            <w:vertAlign w:val="subscript"/>
          </w:rPr>
          <w:t>2</w:t>
        </w:r>
        <w:r w:rsidR="00402663" w:rsidRPr="00402663">
          <w:rPr>
            <w:rStyle w:val="Hyperlink"/>
            <w:noProof/>
            <w:sz w:val="22"/>
            <w:szCs w:val="22"/>
          </w:rPr>
          <w:t xml:space="preserve"> inventara po sektorima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32</w:t>
        </w:r>
        <w:r w:rsidR="00402663" w:rsidRPr="00402663">
          <w:rPr>
            <w:noProof/>
            <w:webHidden/>
            <w:sz w:val="22"/>
            <w:szCs w:val="22"/>
          </w:rPr>
          <w:fldChar w:fldCharType="end"/>
        </w:r>
      </w:hyperlink>
    </w:p>
    <w:p w14:paraId="6385A81F" w14:textId="2B4E75D8"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29" w:history="1">
        <w:r w:rsidR="00402663" w:rsidRPr="00402663">
          <w:rPr>
            <w:rStyle w:val="Hyperlink"/>
            <w:noProof/>
            <w:sz w:val="22"/>
            <w:szCs w:val="22"/>
          </w:rPr>
          <w:t>Slika 4.8 - Emisija CO</w:t>
        </w:r>
        <w:r w:rsidR="00402663" w:rsidRPr="00402663">
          <w:rPr>
            <w:rStyle w:val="Hyperlink"/>
            <w:noProof/>
            <w:sz w:val="22"/>
            <w:szCs w:val="22"/>
            <w:vertAlign w:val="subscript"/>
          </w:rPr>
          <w:t>2</w:t>
        </w:r>
        <w:r w:rsidR="00402663" w:rsidRPr="00402663">
          <w:rPr>
            <w:rStyle w:val="Hyperlink"/>
            <w:noProof/>
            <w:sz w:val="22"/>
            <w:szCs w:val="22"/>
          </w:rPr>
          <w:t xml:space="preserve"> inventara po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_Toc4156029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33</w:t>
        </w:r>
        <w:r w:rsidR="00402663" w:rsidRPr="00402663">
          <w:rPr>
            <w:noProof/>
            <w:webHidden/>
            <w:sz w:val="22"/>
            <w:szCs w:val="22"/>
          </w:rPr>
          <w:fldChar w:fldCharType="end"/>
        </w:r>
      </w:hyperlink>
    </w:p>
    <w:p w14:paraId="198F8BE6" w14:textId="18312B12"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0" w:history="1">
        <w:r w:rsidR="00402663" w:rsidRPr="00402663">
          <w:rPr>
            <w:rStyle w:val="Hyperlink"/>
            <w:noProof/>
            <w:sz w:val="22"/>
            <w:szCs w:val="22"/>
          </w:rPr>
          <w:t>Slika 4.9 - Prikaz emisije CO</w:t>
        </w:r>
        <w:r w:rsidR="00402663" w:rsidRPr="00402663">
          <w:rPr>
            <w:rStyle w:val="Hyperlink"/>
            <w:noProof/>
            <w:sz w:val="22"/>
            <w:szCs w:val="22"/>
            <w:vertAlign w:val="subscript"/>
          </w:rPr>
          <w:t>2</w:t>
        </w:r>
        <w:r w:rsidR="00402663" w:rsidRPr="00402663">
          <w:rPr>
            <w:rStyle w:val="Hyperlink"/>
            <w:noProof/>
            <w:sz w:val="22"/>
            <w:szCs w:val="22"/>
          </w:rPr>
          <w:t xml:space="preserve"> po sektorima i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33</w:t>
        </w:r>
        <w:r w:rsidR="00402663" w:rsidRPr="00402663">
          <w:rPr>
            <w:noProof/>
            <w:webHidden/>
            <w:sz w:val="22"/>
            <w:szCs w:val="22"/>
          </w:rPr>
          <w:fldChar w:fldCharType="end"/>
        </w:r>
      </w:hyperlink>
    </w:p>
    <w:p w14:paraId="32F6B9D7" w14:textId="7D267E56"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1" w:history="1">
        <w:r w:rsidR="00402663" w:rsidRPr="00402663">
          <w:rPr>
            <w:rStyle w:val="Hyperlink"/>
            <w:noProof/>
            <w:sz w:val="22"/>
            <w:szCs w:val="22"/>
          </w:rPr>
          <w:t>Slika 5.1 - Kontrolni inventar emisije CO2 iz sektora zgradarstva Grada Zagreba prema podsektorima i energentima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37</w:t>
        </w:r>
        <w:r w:rsidR="00402663" w:rsidRPr="00402663">
          <w:rPr>
            <w:noProof/>
            <w:webHidden/>
            <w:sz w:val="22"/>
            <w:szCs w:val="22"/>
          </w:rPr>
          <w:fldChar w:fldCharType="end"/>
        </w:r>
      </w:hyperlink>
    </w:p>
    <w:p w14:paraId="3E444B4A" w14:textId="7614C595"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2" w:history="1">
        <w:r w:rsidR="00402663" w:rsidRPr="00402663">
          <w:rPr>
            <w:rStyle w:val="Hyperlink"/>
            <w:rFonts w:eastAsia="Calibri"/>
            <w:noProof/>
            <w:sz w:val="22"/>
            <w:szCs w:val="22"/>
          </w:rPr>
          <w:t>Slika 5.2 - Udio pojedinog energenta u ukupnom Kontrolnom inventaru emisija CO</w:t>
        </w:r>
        <w:r w:rsidR="00402663" w:rsidRPr="00402663">
          <w:rPr>
            <w:rStyle w:val="Hyperlink"/>
            <w:rFonts w:eastAsia="Calibri"/>
            <w:noProof/>
            <w:sz w:val="22"/>
            <w:szCs w:val="22"/>
            <w:vertAlign w:val="subscript"/>
          </w:rPr>
          <w:t>2</w:t>
        </w:r>
        <w:r w:rsidR="00402663" w:rsidRPr="00402663">
          <w:rPr>
            <w:rStyle w:val="Hyperlink"/>
            <w:rFonts w:eastAsia="Calibri"/>
            <w:noProof/>
            <w:sz w:val="22"/>
            <w:szCs w:val="22"/>
          </w:rPr>
          <w:t xml:space="preserve"> sektora zgradarstvo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37</w:t>
        </w:r>
        <w:r w:rsidR="00402663" w:rsidRPr="00402663">
          <w:rPr>
            <w:noProof/>
            <w:webHidden/>
            <w:sz w:val="22"/>
            <w:szCs w:val="22"/>
          </w:rPr>
          <w:fldChar w:fldCharType="end"/>
        </w:r>
      </w:hyperlink>
    </w:p>
    <w:p w14:paraId="5D093C15" w14:textId="591F4014"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3" w:history="1">
        <w:r w:rsidR="00402663" w:rsidRPr="00402663">
          <w:rPr>
            <w:rStyle w:val="Hyperlink"/>
            <w:rFonts w:eastAsia="Calibri"/>
            <w:noProof/>
            <w:sz w:val="22"/>
            <w:szCs w:val="22"/>
          </w:rPr>
          <w:t>Slika 5.3 - Udio pojedinog podsektora u ukupnom Kontrolnom inventaru emisija CO</w:t>
        </w:r>
        <w:r w:rsidR="00402663" w:rsidRPr="00402663">
          <w:rPr>
            <w:rStyle w:val="Hyperlink"/>
            <w:rFonts w:eastAsia="Calibri"/>
            <w:noProof/>
            <w:sz w:val="22"/>
            <w:szCs w:val="22"/>
            <w:vertAlign w:val="subscript"/>
          </w:rPr>
          <w:t>2</w:t>
        </w:r>
        <w:r w:rsidR="00402663" w:rsidRPr="00402663">
          <w:rPr>
            <w:rStyle w:val="Hyperlink"/>
            <w:rFonts w:eastAsia="Calibri"/>
            <w:noProof/>
            <w:sz w:val="22"/>
            <w:szCs w:val="22"/>
          </w:rPr>
          <w:t xml:space="preserve"> sektora zgradarstva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38</w:t>
        </w:r>
        <w:r w:rsidR="00402663" w:rsidRPr="00402663">
          <w:rPr>
            <w:noProof/>
            <w:webHidden/>
            <w:sz w:val="22"/>
            <w:szCs w:val="22"/>
          </w:rPr>
          <w:fldChar w:fldCharType="end"/>
        </w:r>
      </w:hyperlink>
    </w:p>
    <w:p w14:paraId="4652E88A" w14:textId="7E182A1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4" w:history="1">
        <w:r w:rsidR="00402663" w:rsidRPr="00402663">
          <w:rPr>
            <w:rStyle w:val="Hyperlink"/>
            <w:bCs/>
            <w:i/>
            <w:noProof/>
            <w:sz w:val="22"/>
            <w:szCs w:val="22"/>
          </w:rPr>
          <w:t>Slika 5.4 - Udio pojedinog energenta u ukupnom Kontrolnom inventaru CO</w:t>
        </w:r>
        <w:r w:rsidR="00402663" w:rsidRPr="00402663">
          <w:rPr>
            <w:rStyle w:val="Hyperlink"/>
            <w:bCs/>
            <w:i/>
            <w:noProof/>
            <w:sz w:val="22"/>
            <w:szCs w:val="22"/>
            <w:vertAlign w:val="subscript"/>
          </w:rPr>
          <w:t>2</w:t>
        </w:r>
        <w:r w:rsidR="00402663" w:rsidRPr="00402663">
          <w:rPr>
            <w:rStyle w:val="Hyperlink"/>
            <w:bCs/>
            <w:i/>
            <w:noProof/>
            <w:sz w:val="22"/>
            <w:szCs w:val="22"/>
          </w:rPr>
          <w:t xml:space="preserve"> iz sektora promet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39</w:t>
        </w:r>
        <w:r w:rsidR="00402663" w:rsidRPr="00402663">
          <w:rPr>
            <w:noProof/>
            <w:webHidden/>
            <w:sz w:val="22"/>
            <w:szCs w:val="22"/>
          </w:rPr>
          <w:fldChar w:fldCharType="end"/>
        </w:r>
      </w:hyperlink>
    </w:p>
    <w:p w14:paraId="75AFDA16" w14:textId="1709C0F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5" w:history="1">
        <w:r w:rsidR="00402663" w:rsidRPr="00402663">
          <w:rPr>
            <w:rStyle w:val="Hyperlink"/>
            <w:rFonts w:eastAsia="Calibri"/>
            <w:noProof/>
            <w:sz w:val="22"/>
            <w:szCs w:val="22"/>
          </w:rPr>
          <w:t>Slika 5.5 - Udio pojedinog podsektora sektora promet u ukupnom Kontrolnom inventaru emisija CO</w:t>
        </w:r>
        <w:r w:rsidR="00402663" w:rsidRPr="00402663">
          <w:rPr>
            <w:rStyle w:val="Hyperlink"/>
            <w:rFonts w:eastAsia="Calibri"/>
            <w:noProof/>
            <w:sz w:val="22"/>
            <w:szCs w:val="22"/>
            <w:vertAlign w:val="subscript"/>
          </w:rPr>
          <w:t>2</w:t>
        </w:r>
        <w:r w:rsidR="00402663" w:rsidRPr="00402663">
          <w:rPr>
            <w:rStyle w:val="Hyperlink"/>
            <w:rFonts w:eastAsia="Calibri"/>
            <w:noProof/>
            <w:sz w:val="22"/>
            <w:szCs w:val="22"/>
          </w:rPr>
          <w:t xml:space="preserve"> za 2015. godinu</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40</w:t>
        </w:r>
        <w:r w:rsidR="00402663" w:rsidRPr="00402663">
          <w:rPr>
            <w:noProof/>
            <w:webHidden/>
            <w:sz w:val="22"/>
            <w:szCs w:val="22"/>
          </w:rPr>
          <w:fldChar w:fldCharType="end"/>
        </w:r>
      </w:hyperlink>
    </w:p>
    <w:p w14:paraId="764E63AB" w14:textId="3D0E8103"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6" w:history="1">
        <w:r w:rsidR="00402663" w:rsidRPr="00402663">
          <w:rPr>
            <w:rStyle w:val="Hyperlink"/>
            <w:bCs/>
            <w:i/>
            <w:noProof/>
            <w:sz w:val="22"/>
            <w:szCs w:val="22"/>
          </w:rPr>
          <w:t>Slika 5.6 - Energetska potrošnja po energentu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41</w:t>
        </w:r>
        <w:r w:rsidR="00402663" w:rsidRPr="00402663">
          <w:rPr>
            <w:noProof/>
            <w:webHidden/>
            <w:sz w:val="22"/>
            <w:szCs w:val="22"/>
          </w:rPr>
          <w:fldChar w:fldCharType="end"/>
        </w:r>
      </w:hyperlink>
    </w:p>
    <w:p w14:paraId="385283B1" w14:textId="483E0773"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7" w:history="1">
        <w:r w:rsidR="00402663" w:rsidRPr="00402663">
          <w:rPr>
            <w:rStyle w:val="Hyperlink"/>
            <w:noProof/>
            <w:sz w:val="22"/>
            <w:szCs w:val="22"/>
          </w:rPr>
          <w:t>Slika 5.7 - Raspodjela ukupne potrošnje energije po sektorima i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42</w:t>
        </w:r>
        <w:r w:rsidR="00402663" w:rsidRPr="00402663">
          <w:rPr>
            <w:noProof/>
            <w:webHidden/>
            <w:sz w:val="22"/>
            <w:szCs w:val="22"/>
          </w:rPr>
          <w:fldChar w:fldCharType="end"/>
        </w:r>
      </w:hyperlink>
    </w:p>
    <w:p w14:paraId="5092FEC8" w14:textId="67596BDF"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8" w:history="1">
        <w:r w:rsidR="00402663" w:rsidRPr="00402663">
          <w:rPr>
            <w:rStyle w:val="Hyperlink"/>
            <w:rFonts w:eastAsia="Calibri"/>
            <w:noProof/>
            <w:sz w:val="22"/>
            <w:szCs w:val="22"/>
          </w:rPr>
          <w:t>Slika 5.8</w:t>
        </w:r>
        <w:r w:rsidR="00402663" w:rsidRPr="00402663">
          <w:rPr>
            <w:rStyle w:val="Hyperlink"/>
            <w:noProof/>
            <w:sz w:val="22"/>
            <w:szCs w:val="22"/>
          </w:rPr>
          <w:t xml:space="preserve"> - Kontrolni inventar emisija CO</w:t>
        </w:r>
        <w:r w:rsidR="00402663" w:rsidRPr="00402663">
          <w:rPr>
            <w:rStyle w:val="Hyperlink"/>
            <w:noProof/>
            <w:sz w:val="22"/>
            <w:szCs w:val="22"/>
            <w:vertAlign w:val="subscript"/>
          </w:rPr>
          <w:t>2</w:t>
        </w:r>
        <w:r w:rsidR="00402663" w:rsidRPr="00402663">
          <w:rPr>
            <w:rStyle w:val="Hyperlink"/>
            <w:noProof/>
            <w:sz w:val="22"/>
            <w:szCs w:val="22"/>
          </w:rPr>
          <w:t xml:space="preserve"> po sektorima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43</w:t>
        </w:r>
        <w:r w:rsidR="00402663" w:rsidRPr="00402663">
          <w:rPr>
            <w:noProof/>
            <w:webHidden/>
            <w:sz w:val="22"/>
            <w:szCs w:val="22"/>
          </w:rPr>
          <w:fldChar w:fldCharType="end"/>
        </w:r>
      </w:hyperlink>
    </w:p>
    <w:p w14:paraId="3245248F" w14:textId="400F9C5F"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39" w:history="1">
        <w:r w:rsidR="00402663" w:rsidRPr="00402663">
          <w:rPr>
            <w:rStyle w:val="Hyperlink"/>
            <w:noProof/>
            <w:sz w:val="22"/>
            <w:szCs w:val="22"/>
          </w:rPr>
          <w:t>Slika 5.9 - Kontrolni inventar emisija CO2 po energentima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_Toc4156039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44</w:t>
        </w:r>
        <w:r w:rsidR="00402663" w:rsidRPr="00402663">
          <w:rPr>
            <w:noProof/>
            <w:webHidden/>
            <w:sz w:val="22"/>
            <w:szCs w:val="22"/>
          </w:rPr>
          <w:fldChar w:fldCharType="end"/>
        </w:r>
      </w:hyperlink>
    </w:p>
    <w:p w14:paraId="21985CFD" w14:textId="17E9F72C"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0" w:history="1">
        <w:r w:rsidR="00402663" w:rsidRPr="00402663">
          <w:rPr>
            <w:rStyle w:val="Hyperlink"/>
            <w:noProof/>
            <w:sz w:val="22"/>
            <w:szCs w:val="22"/>
          </w:rPr>
          <w:t>Slika 5.10 - Prikaz Kontrolnog inventara emisije CO</w:t>
        </w:r>
        <w:r w:rsidR="00402663" w:rsidRPr="00402663">
          <w:rPr>
            <w:rStyle w:val="Hyperlink"/>
            <w:noProof/>
            <w:sz w:val="22"/>
            <w:szCs w:val="22"/>
            <w:vertAlign w:val="subscript"/>
          </w:rPr>
          <w:t>2</w:t>
        </w:r>
        <w:r w:rsidR="00402663" w:rsidRPr="00402663">
          <w:rPr>
            <w:rStyle w:val="Hyperlink"/>
            <w:noProof/>
            <w:sz w:val="22"/>
            <w:szCs w:val="22"/>
          </w:rPr>
          <w:t xml:space="preserve"> po sektorima i energentima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44</w:t>
        </w:r>
        <w:r w:rsidR="00402663" w:rsidRPr="00402663">
          <w:rPr>
            <w:noProof/>
            <w:webHidden/>
            <w:sz w:val="22"/>
            <w:szCs w:val="22"/>
          </w:rPr>
          <w:fldChar w:fldCharType="end"/>
        </w:r>
      </w:hyperlink>
    </w:p>
    <w:p w14:paraId="6D3423FC" w14:textId="65CACA3B"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1" w:history="1">
        <w:r w:rsidR="00402663" w:rsidRPr="00402663">
          <w:rPr>
            <w:rStyle w:val="Hyperlink"/>
            <w:noProof/>
            <w:sz w:val="22"/>
            <w:szCs w:val="22"/>
          </w:rPr>
          <w:t>Slika 6.1 - Referentni inventar emisije CO</w:t>
        </w:r>
        <w:r w:rsidR="00402663" w:rsidRPr="00402663">
          <w:rPr>
            <w:rStyle w:val="Hyperlink"/>
            <w:noProof/>
            <w:sz w:val="22"/>
            <w:szCs w:val="22"/>
            <w:vertAlign w:val="subscript"/>
          </w:rPr>
          <w:t>2</w:t>
        </w:r>
        <w:r w:rsidR="00402663" w:rsidRPr="00402663">
          <w:rPr>
            <w:rStyle w:val="Hyperlink"/>
            <w:noProof/>
            <w:sz w:val="22"/>
            <w:szCs w:val="22"/>
          </w:rPr>
          <w:t xml:space="preserve"> po sektorima i energentima, 2008. godina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46</w:t>
        </w:r>
        <w:r w:rsidR="00402663" w:rsidRPr="00402663">
          <w:rPr>
            <w:noProof/>
            <w:webHidden/>
            <w:sz w:val="22"/>
            <w:szCs w:val="22"/>
          </w:rPr>
          <w:fldChar w:fldCharType="end"/>
        </w:r>
      </w:hyperlink>
    </w:p>
    <w:p w14:paraId="04555EBB" w14:textId="764B420B"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2" w:history="1">
        <w:r w:rsidR="00402663" w:rsidRPr="00402663">
          <w:rPr>
            <w:rStyle w:val="Hyperlink"/>
            <w:noProof/>
            <w:sz w:val="22"/>
            <w:szCs w:val="22"/>
          </w:rPr>
          <w:t>Slika 6.2 - Kontrolni inventar emisija CO2 po sektorima i energentima, 2015. godina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46</w:t>
        </w:r>
        <w:r w:rsidR="00402663" w:rsidRPr="00402663">
          <w:rPr>
            <w:noProof/>
            <w:webHidden/>
            <w:sz w:val="22"/>
            <w:szCs w:val="22"/>
          </w:rPr>
          <w:fldChar w:fldCharType="end"/>
        </w:r>
      </w:hyperlink>
    </w:p>
    <w:p w14:paraId="5A1FD9DD" w14:textId="4CD58815"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3" w:history="1">
        <w:r w:rsidR="00402663" w:rsidRPr="00402663">
          <w:rPr>
            <w:rStyle w:val="Hyperlink"/>
            <w:noProof/>
            <w:sz w:val="22"/>
            <w:szCs w:val="22"/>
          </w:rPr>
          <w:t>Slika 6.3 - Usporedba Referentnog i Kontrolnog inventara emisija CO</w:t>
        </w:r>
        <w:r w:rsidR="00402663" w:rsidRPr="00402663">
          <w:rPr>
            <w:rStyle w:val="Hyperlink"/>
            <w:noProof/>
            <w:sz w:val="22"/>
            <w:szCs w:val="22"/>
            <w:vertAlign w:val="subscript"/>
          </w:rPr>
          <w:t xml:space="preserve">2 </w:t>
        </w:r>
        <w:r w:rsidR="00402663" w:rsidRPr="00402663">
          <w:rPr>
            <w:rStyle w:val="Hyperlink"/>
            <w:noProof/>
            <w:sz w:val="22"/>
            <w:szCs w:val="22"/>
          </w:rPr>
          <w:t>po energentima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47</w:t>
        </w:r>
        <w:r w:rsidR="00402663" w:rsidRPr="00402663">
          <w:rPr>
            <w:noProof/>
            <w:webHidden/>
            <w:sz w:val="22"/>
            <w:szCs w:val="22"/>
          </w:rPr>
          <w:fldChar w:fldCharType="end"/>
        </w:r>
      </w:hyperlink>
    </w:p>
    <w:p w14:paraId="12F5DA64" w14:textId="3C76E38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4" w:history="1">
        <w:r w:rsidR="00402663" w:rsidRPr="00402663">
          <w:rPr>
            <w:rStyle w:val="Hyperlink"/>
            <w:bCs/>
            <w:i/>
            <w:noProof/>
            <w:sz w:val="22"/>
            <w:szCs w:val="22"/>
          </w:rPr>
          <w:t>Slika 6.4 - Referentni inventar emisija CO2 po sektorima u 2008.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47</w:t>
        </w:r>
        <w:r w:rsidR="00402663" w:rsidRPr="00402663">
          <w:rPr>
            <w:noProof/>
            <w:webHidden/>
            <w:sz w:val="22"/>
            <w:szCs w:val="22"/>
          </w:rPr>
          <w:fldChar w:fldCharType="end"/>
        </w:r>
      </w:hyperlink>
    </w:p>
    <w:p w14:paraId="7CC7DF67" w14:textId="17CCB7AF"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5" w:history="1">
        <w:r w:rsidR="00402663" w:rsidRPr="00402663">
          <w:rPr>
            <w:rStyle w:val="Hyperlink"/>
            <w:noProof/>
            <w:sz w:val="22"/>
            <w:szCs w:val="22"/>
          </w:rPr>
          <w:t>Slika 6.5 - Kontrolni inventar emisija CO</w:t>
        </w:r>
        <w:r w:rsidR="00402663" w:rsidRPr="00402663">
          <w:rPr>
            <w:rStyle w:val="Hyperlink"/>
            <w:noProof/>
            <w:sz w:val="22"/>
            <w:szCs w:val="22"/>
            <w:vertAlign w:val="subscript"/>
          </w:rPr>
          <w:t>2</w:t>
        </w:r>
        <w:r w:rsidR="00402663" w:rsidRPr="00402663">
          <w:rPr>
            <w:rStyle w:val="Hyperlink"/>
            <w:noProof/>
            <w:sz w:val="22"/>
            <w:szCs w:val="22"/>
          </w:rPr>
          <w:t xml:space="preserve"> po sektorima u 2015. Godini</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_Toc4156045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48</w:t>
        </w:r>
        <w:r w:rsidR="00402663" w:rsidRPr="00402663">
          <w:rPr>
            <w:noProof/>
            <w:webHidden/>
            <w:sz w:val="22"/>
            <w:szCs w:val="22"/>
          </w:rPr>
          <w:fldChar w:fldCharType="end"/>
        </w:r>
      </w:hyperlink>
    </w:p>
    <w:p w14:paraId="1AD271A6" w14:textId="5BEDEDF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6" w:history="1">
        <w:r w:rsidR="00402663" w:rsidRPr="00402663">
          <w:rPr>
            <w:rStyle w:val="Hyperlink"/>
            <w:noProof/>
            <w:sz w:val="22"/>
            <w:szCs w:val="22"/>
          </w:rPr>
          <w:t>Slika 6.6 - Usporedba Referentnog i Kontrolnog inventara emisija CO</w:t>
        </w:r>
        <w:r w:rsidR="00402663" w:rsidRPr="00402663">
          <w:rPr>
            <w:rStyle w:val="Hyperlink"/>
            <w:noProof/>
            <w:sz w:val="22"/>
            <w:szCs w:val="22"/>
            <w:vertAlign w:val="subscript"/>
          </w:rPr>
          <w:t>2</w:t>
        </w:r>
        <w:r w:rsidR="00402663" w:rsidRPr="00402663">
          <w:rPr>
            <w:rStyle w:val="Hyperlink"/>
            <w:noProof/>
            <w:sz w:val="22"/>
            <w:szCs w:val="22"/>
          </w:rPr>
          <w:t xml:space="preserve"> za sektor zgradarstva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_Toc4156046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48</w:t>
        </w:r>
        <w:r w:rsidR="00402663" w:rsidRPr="00402663">
          <w:rPr>
            <w:noProof/>
            <w:webHidden/>
            <w:sz w:val="22"/>
            <w:szCs w:val="22"/>
          </w:rPr>
          <w:fldChar w:fldCharType="end"/>
        </w:r>
      </w:hyperlink>
    </w:p>
    <w:p w14:paraId="165EB144" w14:textId="3BD07DB6"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7" w:history="1">
        <w:r w:rsidR="00402663" w:rsidRPr="00402663">
          <w:rPr>
            <w:rStyle w:val="Hyperlink"/>
            <w:noProof/>
            <w:sz w:val="22"/>
            <w:szCs w:val="22"/>
          </w:rPr>
          <w:t>Slika 6.7 - Usporedba Referentnog i Kontrolnog inventara emisija CO</w:t>
        </w:r>
        <w:r w:rsidR="00402663" w:rsidRPr="00402663">
          <w:rPr>
            <w:rStyle w:val="Hyperlink"/>
            <w:noProof/>
            <w:sz w:val="22"/>
            <w:szCs w:val="22"/>
            <w:vertAlign w:val="subscript"/>
          </w:rPr>
          <w:t>2</w:t>
        </w:r>
        <w:r w:rsidR="00402663" w:rsidRPr="00402663">
          <w:rPr>
            <w:rStyle w:val="Hyperlink"/>
            <w:noProof/>
            <w:sz w:val="22"/>
            <w:szCs w:val="22"/>
          </w:rPr>
          <w:t xml:space="preserve"> za sektor prometa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_Toc4156047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49</w:t>
        </w:r>
        <w:r w:rsidR="00402663" w:rsidRPr="00402663">
          <w:rPr>
            <w:noProof/>
            <w:webHidden/>
            <w:sz w:val="22"/>
            <w:szCs w:val="22"/>
          </w:rPr>
          <w:fldChar w:fldCharType="end"/>
        </w:r>
      </w:hyperlink>
    </w:p>
    <w:p w14:paraId="49C34DE0" w14:textId="59541BE6"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8" w:history="1">
        <w:r w:rsidR="00402663" w:rsidRPr="00402663">
          <w:rPr>
            <w:rStyle w:val="Hyperlink"/>
            <w:noProof/>
            <w:sz w:val="22"/>
            <w:szCs w:val="22"/>
          </w:rPr>
          <w:t>Slika 6.8 - Usporedba Referentnog i Kontrolnog inventara emisija CO</w:t>
        </w:r>
        <w:r w:rsidR="00402663" w:rsidRPr="00402663">
          <w:rPr>
            <w:rStyle w:val="Hyperlink"/>
            <w:noProof/>
            <w:sz w:val="22"/>
            <w:szCs w:val="22"/>
            <w:vertAlign w:val="subscript"/>
          </w:rPr>
          <w:t>2</w:t>
        </w:r>
        <w:r w:rsidR="00402663" w:rsidRPr="00402663">
          <w:rPr>
            <w:rStyle w:val="Hyperlink"/>
            <w:noProof/>
            <w:sz w:val="22"/>
            <w:szCs w:val="22"/>
          </w:rPr>
          <w:t xml:space="preserve"> za sektor javne rasvjete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_Toc4156048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50</w:t>
        </w:r>
        <w:r w:rsidR="00402663" w:rsidRPr="00402663">
          <w:rPr>
            <w:noProof/>
            <w:webHidden/>
            <w:sz w:val="22"/>
            <w:szCs w:val="22"/>
          </w:rPr>
          <w:fldChar w:fldCharType="end"/>
        </w:r>
      </w:hyperlink>
    </w:p>
    <w:p w14:paraId="648F71D9" w14:textId="5BE54CF6"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49" w:history="1">
        <w:r w:rsidR="00402663" w:rsidRPr="00402663">
          <w:rPr>
            <w:rStyle w:val="Hyperlink"/>
            <w:noProof/>
            <w:sz w:val="22"/>
            <w:szCs w:val="22"/>
          </w:rPr>
          <w:t>Slika 6.9 - Udio pojedinog sektora u ukupno ostvarenom smanjenju emisije CO</w:t>
        </w:r>
        <w:r w:rsidR="00402663" w:rsidRPr="00402663">
          <w:rPr>
            <w:rStyle w:val="Hyperlink"/>
            <w:noProof/>
            <w:sz w:val="22"/>
            <w:szCs w:val="22"/>
            <w:vertAlign w:val="subscript"/>
          </w:rPr>
          <w:t>2</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_Toc4156049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52</w:t>
        </w:r>
        <w:r w:rsidR="00402663" w:rsidRPr="00402663">
          <w:rPr>
            <w:noProof/>
            <w:webHidden/>
            <w:sz w:val="22"/>
            <w:szCs w:val="22"/>
          </w:rPr>
          <w:fldChar w:fldCharType="end"/>
        </w:r>
      </w:hyperlink>
    </w:p>
    <w:p w14:paraId="6E0F8C1D" w14:textId="06EB2D96"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50" w:history="1">
        <w:r w:rsidR="00402663" w:rsidRPr="00402663">
          <w:rPr>
            <w:rStyle w:val="Hyperlink"/>
            <w:noProof/>
            <w:sz w:val="22"/>
            <w:szCs w:val="22"/>
          </w:rPr>
          <w:t>Slika 6.10 - Udio pojedinog podsektora u ukupno ostvarenom smanjenju emisije CO</w:t>
        </w:r>
        <w:r w:rsidR="00402663" w:rsidRPr="00402663">
          <w:rPr>
            <w:rStyle w:val="Hyperlink"/>
            <w:noProof/>
            <w:sz w:val="22"/>
            <w:szCs w:val="22"/>
            <w:vertAlign w:val="subscript"/>
          </w:rPr>
          <w:t>2</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_Toc4156050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53</w:t>
        </w:r>
        <w:r w:rsidR="00402663" w:rsidRPr="00402663">
          <w:rPr>
            <w:noProof/>
            <w:webHidden/>
            <w:sz w:val="22"/>
            <w:szCs w:val="22"/>
          </w:rPr>
          <w:fldChar w:fldCharType="end"/>
        </w:r>
      </w:hyperlink>
    </w:p>
    <w:p w14:paraId="657F1F28" w14:textId="038A8B7A"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51" w:history="1">
        <w:r w:rsidR="00402663" w:rsidRPr="00402663">
          <w:rPr>
            <w:rStyle w:val="Hyperlink"/>
            <w:noProof/>
            <w:sz w:val="22"/>
            <w:szCs w:val="22"/>
          </w:rPr>
          <w:t>Slika 6.11 - Udio ostvarenog smanjenja emisije CO</w:t>
        </w:r>
        <w:r w:rsidR="00402663" w:rsidRPr="00402663">
          <w:rPr>
            <w:rStyle w:val="Hyperlink"/>
            <w:noProof/>
            <w:sz w:val="22"/>
            <w:szCs w:val="22"/>
            <w:vertAlign w:val="subscript"/>
          </w:rPr>
          <w:t>2</w:t>
        </w:r>
        <w:r w:rsidR="00402663" w:rsidRPr="00402663">
          <w:rPr>
            <w:rStyle w:val="Hyperlink"/>
            <w:noProof/>
            <w:sz w:val="22"/>
            <w:szCs w:val="22"/>
          </w:rPr>
          <w:t xml:space="preserve"> u ukupno postavljenom cilju smanjenja emisije CO</w:t>
        </w:r>
        <w:r w:rsidR="00402663" w:rsidRPr="00402663">
          <w:rPr>
            <w:rStyle w:val="Hyperlink"/>
            <w:noProof/>
            <w:sz w:val="22"/>
            <w:szCs w:val="22"/>
            <w:vertAlign w:val="subscript"/>
          </w:rPr>
          <w:t>2</w:t>
        </w:r>
        <w:r w:rsidR="00402663" w:rsidRPr="00402663">
          <w:rPr>
            <w:rStyle w:val="Hyperlink"/>
            <w:noProof/>
            <w:sz w:val="22"/>
            <w:szCs w:val="22"/>
          </w:rPr>
          <w:t xml:space="preserve"> do 2020. godine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_Toc4156051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53</w:t>
        </w:r>
        <w:r w:rsidR="00402663" w:rsidRPr="00402663">
          <w:rPr>
            <w:noProof/>
            <w:webHidden/>
            <w:sz w:val="22"/>
            <w:szCs w:val="22"/>
          </w:rPr>
          <w:fldChar w:fldCharType="end"/>
        </w:r>
      </w:hyperlink>
    </w:p>
    <w:p w14:paraId="58DB2DA7" w14:textId="2F47221D"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52" w:history="1">
        <w:r w:rsidR="00402663" w:rsidRPr="00402663">
          <w:rPr>
            <w:rStyle w:val="Hyperlink"/>
            <w:noProof/>
            <w:sz w:val="22"/>
            <w:szCs w:val="22"/>
          </w:rPr>
          <w:t>Slika 6.12 Usporedba ostvarenog i ciljanog smanjenja emisije CO</w:t>
        </w:r>
        <w:r w:rsidR="00402663" w:rsidRPr="00402663">
          <w:rPr>
            <w:rStyle w:val="Hyperlink"/>
            <w:noProof/>
            <w:sz w:val="22"/>
            <w:szCs w:val="22"/>
            <w:vertAlign w:val="subscript"/>
          </w:rPr>
          <w:t xml:space="preserve">2 </w:t>
        </w:r>
        <w:r w:rsidR="00402663" w:rsidRPr="00402663">
          <w:rPr>
            <w:rStyle w:val="Hyperlink"/>
            <w:noProof/>
            <w:sz w:val="22"/>
            <w:szCs w:val="22"/>
          </w:rPr>
          <w:t>do 2020. godine</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_Toc4156052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54</w:t>
        </w:r>
        <w:r w:rsidR="00402663" w:rsidRPr="00402663">
          <w:rPr>
            <w:noProof/>
            <w:webHidden/>
            <w:sz w:val="22"/>
            <w:szCs w:val="22"/>
          </w:rPr>
          <w:fldChar w:fldCharType="end"/>
        </w:r>
      </w:hyperlink>
    </w:p>
    <w:p w14:paraId="6B733DA0" w14:textId="1DC7DF60"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53" w:history="1">
        <w:r w:rsidR="00402663" w:rsidRPr="00402663">
          <w:rPr>
            <w:rStyle w:val="Hyperlink"/>
            <w:bCs/>
            <w:i/>
            <w:noProof/>
            <w:sz w:val="22"/>
            <w:szCs w:val="22"/>
          </w:rPr>
          <w:t>Slika 10.1 - Raspodjela potencijala smanjenja emisije CO</w:t>
        </w:r>
        <w:r w:rsidR="00402663" w:rsidRPr="00402663">
          <w:rPr>
            <w:rStyle w:val="Hyperlink"/>
            <w:bCs/>
            <w:i/>
            <w:noProof/>
            <w:sz w:val="22"/>
            <w:szCs w:val="22"/>
            <w:vertAlign w:val="subscript"/>
          </w:rPr>
          <w:t>2</w:t>
        </w:r>
        <w:r w:rsidR="00402663" w:rsidRPr="00402663">
          <w:rPr>
            <w:rStyle w:val="Hyperlink"/>
            <w:bCs/>
            <w:i/>
            <w:noProof/>
            <w:sz w:val="22"/>
            <w:szCs w:val="22"/>
          </w:rPr>
          <w:t xml:space="preserve"> (%) Inventara po sektorima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_Toc4156053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130</w:t>
        </w:r>
        <w:r w:rsidR="00402663" w:rsidRPr="00402663">
          <w:rPr>
            <w:noProof/>
            <w:webHidden/>
            <w:sz w:val="22"/>
            <w:szCs w:val="22"/>
          </w:rPr>
          <w:fldChar w:fldCharType="end"/>
        </w:r>
      </w:hyperlink>
    </w:p>
    <w:p w14:paraId="3F101AC9" w14:textId="76EC63CB" w:rsidR="00402663" w:rsidRPr="00402663" w:rsidRDefault="00DF5A17">
      <w:pPr>
        <w:pStyle w:val="TableofFigures"/>
        <w:tabs>
          <w:tab w:val="right" w:pos="9016"/>
        </w:tabs>
        <w:rPr>
          <w:rFonts w:asciiTheme="minorHAnsi" w:eastAsiaTheme="minorEastAsia" w:hAnsiTheme="minorHAnsi" w:cstheme="minorBidi"/>
          <w:noProof/>
          <w:sz w:val="22"/>
          <w:szCs w:val="22"/>
          <w:lang w:eastAsia="hr-HR"/>
        </w:rPr>
      </w:pPr>
      <w:hyperlink w:anchor="_Toc4156054" w:history="1">
        <w:r w:rsidR="00402663" w:rsidRPr="00402663">
          <w:rPr>
            <w:rStyle w:val="Hyperlink"/>
            <w:noProof/>
            <w:sz w:val="22"/>
            <w:szCs w:val="22"/>
            <w:lang w:val="it-IT"/>
          </w:rPr>
          <w:t>Slika 10.2 - Ukupne projekcije emisije CO</w:t>
        </w:r>
        <w:r w:rsidR="00402663" w:rsidRPr="00402663">
          <w:rPr>
            <w:rStyle w:val="Hyperlink"/>
            <w:noProof/>
            <w:sz w:val="22"/>
            <w:szCs w:val="22"/>
            <w:vertAlign w:val="subscript"/>
            <w:lang w:val="it-IT"/>
          </w:rPr>
          <w:t>2</w:t>
        </w:r>
        <w:r w:rsidR="00402663" w:rsidRPr="00402663">
          <w:rPr>
            <w:rStyle w:val="Hyperlink"/>
            <w:noProof/>
            <w:sz w:val="22"/>
            <w:szCs w:val="22"/>
            <w:lang w:val="it-IT"/>
          </w:rPr>
          <w:t xml:space="preserve"> po scenarijima</w:t>
        </w:r>
        <w:r w:rsidR="00402663" w:rsidRPr="00402663">
          <w:rPr>
            <w:noProof/>
            <w:webHidden/>
            <w:sz w:val="22"/>
            <w:szCs w:val="22"/>
          </w:rPr>
          <w:tab/>
        </w:r>
        <w:r w:rsidR="00402663" w:rsidRPr="00402663">
          <w:rPr>
            <w:noProof/>
            <w:webHidden/>
            <w:sz w:val="22"/>
            <w:szCs w:val="22"/>
          </w:rPr>
          <w:fldChar w:fldCharType="begin"/>
        </w:r>
        <w:r w:rsidR="00402663" w:rsidRPr="00402663">
          <w:rPr>
            <w:noProof/>
            <w:webHidden/>
            <w:sz w:val="22"/>
            <w:szCs w:val="22"/>
          </w:rPr>
          <w:instrText xml:space="preserve"> PAGEREF _Toc4156054 \h </w:instrText>
        </w:r>
        <w:r w:rsidR="00402663" w:rsidRPr="00402663">
          <w:rPr>
            <w:noProof/>
            <w:webHidden/>
            <w:sz w:val="22"/>
            <w:szCs w:val="22"/>
          </w:rPr>
        </w:r>
        <w:r w:rsidR="00402663" w:rsidRPr="00402663">
          <w:rPr>
            <w:noProof/>
            <w:webHidden/>
            <w:sz w:val="22"/>
            <w:szCs w:val="22"/>
          </w:rPr>
          <w:fldChar w:fldCharType="separate"/>
        </w:r>
        <w:r w:rsidR="00402663" w:rsidRPr="00402663">
          <w:rPr>
            <w:noProof/>
            <w:webHidden/>
            <w:sz w:val="22"/>
            <w:szCs w:val="22"/>
          </w:rPr>
          <w:t>131</w:t>
        </w:r>
        <w:r w:rsidR="00402663" w:rsidRPr="00402663">
          <w:rPr>
            <w:noProof/>
            <w:webHidden/>
            <w:sz w:val="22"/>
            <w:szCs w:val="22"/>
          </w:rPr>
          <w:fldChar w:fldCharType="end"/>
        </w:r>
      </w:hyperlink>
    </w:p>
    <w:p w14:paraId="5D07B7BE" w14:textId="5B2E90C6" w:rsidR="006D77A6" w:rsidRPr="005808FC" w:rsidRDefault="006D77A6" w:rsidP="006D77A6">
      <w:pPr>
        <w:rPr>
          <w:i/>
        </w:rPr>
      </w:pPr>
      <w:r w:rsidRPr="00402663">
        <w:rPr>
          <w:i/>
        </w:rPr>
        <w:fldChar w:fldCharType="end"/>
      </w:r>
    </w:p>
    <w:p w14:paraId="02EFC00E" w14:textId="7A844927" w:rsidR="006D77A6" w:rsidRDefault="006D77A6" w:rsidP="006D77A6">
      <w:pPr>
        <w:pStyle w:val="Heading1"/>
      </w:pPr>
      <w:r>
        <w:br w:type="page"/>
      </w:r>
    </w:p>
    <w:p w14:paraId="13C03C34" w14:textId="7E0D6A20" w:rsidR="00F15730" w:rsidRPr="00922031" w:rsidRDefault="00023FD6" w:rsidP="00DA7734">
      <w:pPr>
        <w:pStyle w:val="Heading1"/>
      </w:pPr>
      <w:bookmarkStart w:id="398" w:name="_Toc4156140"/>
      <w:r w:rsidRPr="00922031">
        <w:lastRenderedPageBreak/>
        <w:t>POPIS PRILOGA</w:t>
      </w:r>
      <w:bookmarkEnd w:id="398"/>
    </w:p>
    <w:p w14:paraId="2EB6DDC0" w14:textId="3865CC91" w:rsidR="00023FD6" w:rsidRPr="00922031" w:rsidRDefault="00023FD6" w:rsidP="00023FD6">
      <w:pPr>
        <w:rPr>
          <w:rFonts w:cstheme="minorHAnsi"/>
        </w:rPr>
      </w:pPr>
    </w:p>
    <w:p w14:paraId="3465AAE5" w14:textId="1D6EA697" w:rsidR="00023FD6" w:rsidRPr="005808FC" w:rsidRDefault="00A348F0">
      <w:pPr>
        <w:rPr>
          <w:i/>
        </w:rPr>
      </w:pPr>
      <w:r w:rsidRPr="005808FC">
        <w:rPr>
          <w:i/>
        </w:rPr>
        <w:t>Prilog 1 - Zakonodavni okvir</w:t>
      </w:r>
    </w:p>
    <w:p w14:paraId="38F9AC39" w14:textId="6C8115CC" w:rsidR="00A348F0" w:rsidRPr="005808FC" w:rsidRDefault="00A348F0">
      <w:pPr>
        <w:rPr>
          <w:i/>
        </w:rPr>
      </w:pPr>
      <w:r w:rsidRPr="005808FC">
        <w:rPr>
          <w:i/>
        </w:rPr>
        <w:t>Prilog 2 - Ključni dionici</w:t>
      </w:r>
    </w:p>
    <w:p w14:paraId="2F2E34F6" w14:textId="62919769" w:rsidR="00A348F0" w:rsidRPr="005808FC" w:rsidRDefault="00A348F0">
      <w:pPr>
        <w:rPr>
          <w:i/>
        </w:rPr>
      </w:pPr>
      <w:r w:rsidRPr="005808FC">
        <w:rPr>
          <w:i/>
        </w:rPr>
        <w:t>Prilog 3 - Pretpostavke korištene kod modeliranja scenarija za SECAP grada Zagreba do 2030</w:t>
      </w:r>
      <w:r w:rsidR="00982332" w:rsidRPr="005808FC">
        <w:rPr>
          <w:i/>
        </w:rPr>
        <w:t>. godine</w:t>
      </w:r>
    </w:p>
    <w:p w14:paraId="689ACD60" w14:textId="53D55AFF" w:rsidR="00A348F0" w:rsidRPr="005808FC" w:rsidRDefault="00A348F0" w:rsidP="00023FD6">
      <w:pPr>
        <w:rPr>
          <w:rFonts w:cstheme="minorHAnsi"/>
          <w:i/>
        </w:rPr>
      </w:pPr>
      <w:r w:rsidRPr="005808FC">
        <w:rPr>
          <w:rFonts w:cstheme="minorHAnsi"/>
          <w:i/>
        </w:rPr>
        <w:t>Prilog 4 – Izvori podataka</w:t>
      </w:r>
    </w:p>
    <w:p w14:paraId="3B10B956" w14:textId="679F3334" w:rsidR="00A348F0" w:rsidRPr="005808FC" w:rsidRDefault="00A348F0" w:rsidP="00023FD6">
      <w:pPr>
        <w:rPr>
          <w:rFonts w:cstheme="minorHAnsi"/>
          <w:i/>
        </w:rPr>
      </w:pPr>
      <w:r w:rsidRPr="005808FC">
        <w:rPr>
          <w:rFonts w:cstheme="minorHAnsi"/>
          <w:i/>
        </w:rPr>
        <w:t>Prilog 5 - Analize energetske potrošnje</w:t>
      </w:r>
      <w:r w:rsidR="000509A0" w:rsidRPr="005808FC">
        <w:rPr>
          <w:rFonts w:cstheme="minorHAnsi"/>
          <w:i/>
        </w:rPr>
        <w:t xml:space="preserve"> i </w:t>
      </w:r>
      <w:r w:rsidRPr="005808FC">
        <w:rPr>
          <w:rFonts w:cstheme="minorHAnsi"/>
          <w:i/>
        </w:rPr>
        <w:t>Referentni inventar emisija</w:t>
      </w:r>
    </w:p>
    <w:p w14:paraId="02E1CC5D" w14:textId="65A284F3" w:rsidR="00A348F0" w:rsidRPr="005808FC" w:rsidRDefault="00A348F0" w:rsidP="00023FD6">
      <w:pPr>
        <w:rPr>
          <w:rFonts w:cstheme="minorHAnsi"/>
          <w:i/>
        </w:rPr>
      </w:pPr>
      <w:r w:rsidRPr="005808FC">
        <w:rPr>
          <w:rFonts w:cstheme="minorHAnsi"/>
          <w:i/>
        </w:rPr>
        <w:t>Prilog 6 - Revizija Akcijskog plana energetski održivog razvoja Grada Zagreba</w:t>
      </w:r>
      <w:r w:rsidR="00EE0E04">
        <w:rPr>
          <w:rFonts w:cstheme="minorHAnsi"/>
          <w:i/>
        </w:rPr>
        <w:t xml:space="preserve"> (SEAP)</w:t>
      </w:r>
    </w:p>
    <w:p w14:paraId="4B3F6914" w14:textId="617C4D39" w:rsidR="00A348F0" w:rsidRPr="005808FC" w:rsidRDefault="00A348F0" w:rsidP="00023FD6">
      <w:pPr>
        <w:rPr>
          <w:rFonts w:cstheme="minorHAnsi"/>
          <w:i/>
        </w:rPr>
      </w:pPr>
      <w:r w:rsidRPr="005808FC">
        <w:rPr>
          <w:rFonts w:cstheme="minorHAnsi"/>
          <w:i/>
        </w:rPr>
        <w:t>Prilog 7 - Osnovne odrednice</w:t>
      </w:r>
      <w:r w:rsidR="000509A0" w:rsidRPr="005808FC">
        <w:rPr>
          <w:rFonts w:cstheme="minorHAnsi"/>
          <w:i/>
        </w:rPr>
        <w:t xml:space="preserve"> i </w:t>
      </w:r>
      <w:r w:rsidRPr="005808FC">
        <w:rPr>
          <w:rFonts w:cstheme="minorHAnsi"/>
          <w:i/>
        </w:rPr>
        <w:t>podloge za praćenje emisija CO</w:t>
      </w:r>
      <w:r w:rsidRPr="005808FC">
        <w:rPr>
          <w:rFonts w:cstheme="minorHAnsi"/>
          <w:i/>
          <w:vertAlign w:val="subscript"/>
        </w:rPr>
        <w:t>2</w:t>
      </w:r>
      <w:r w:rsidRPr="005808FC">
        <w:rPr>
          <w:rFonts w:cstheme="minorHAnsi"/>
          <w:i/>
        </w:rPr>
        <w:t xml:space="preserve"> za izradu SEAP-a Grada Zagreba</w:t>
      </w:r>
    </w:p>
    <w:p w14:paraId="69FA5769" w14:textId="5319C131" w:rsidR="00DA7734" w:rsidRPr="005808FC" w:rsidRDefault="00DA7734">
      <w:pPr>
        <w:rPr>
          <w:i/>
        </w:rPr>
      </w:pPr>
      <w:r w:rsidRPr="005808FC">
        <w:rPr>
          <w:i/>
        </w:rPr>
        <w:t>Prilog 8</w:t>
      </w:r>
      <w:r w:rsidR="00982332" w:rsidRPr="005808FC">
        <w:rPr>
          <w:i/>
        </w:rPr>
        <w:t xml:space="preserve"> - Analiza klimatskih promjena, rizika</w:t>
      </w:r>
      <w:r w:rsidR="000509A0" w:rsidRPr="005808FC">
        <w:rPr>
          <w:i/>
        </w:rPr>
        <w:t xml:space="preserve"> i </w:t>
      </w:r>
      <w:r w:rsidR="00982332" w:rsidRPr="005808FC">
        <w:rPr>
          <w:i/>
        </w:rPr>
        <w:t>ranjivosti</w:t>
      </w:r>
    </w:p>
    <w:p w14:paraId="50D25096" w14:textId="22B3F239" w:rsidR="002D10B4" w:rsidRPr="0045560E" w:rsidRDefault="00DA7734" w:rsidP="00975CD4">
      <w:pPr>
        <w:rPr>
          <w:i/>
        </w:rPr>
      </w:pPr>
      <w:r w:rsidRPr="005808FC">
        <w:rPr>
          <w:i/>
        </w:rPr>
        <w:t>Prilog 9</w:t>
      </w:r>
      <w:r w:rsidR="00982332" w:rsidRPr="005808FC">
        <w:rPr>
          <w:i/>
        </w:rPr>
        <w:t xml:space="preserve"> - Procjena smanjenja emisija CO</w:t>
      </w:r>
      <w:r w:rsidR="00982332" w:rsidRPr="005808FC">
        <w:rPr>
          <w:i/>
          <w:vertAlign w:val="subscript"/>
        </w:rPr>
        <w:t>2</w:t>
      </w:r>
      <w:r w:rsidR="00982332" w:rsidRPr="005808FC">
        <w:rPr>
          <w:i/>
        </w:rPr>
        <w:t xml:space="preserve"> za identificirane mjere do 2030. godine</w:t>
      </w:r>
      <w:bookmarkStart w:id="399" w:name="_GoBack"/>
      <w:bookmarkEnd w:id="399"/>
    </w:p>
    <w:sectPr w:rsidR="002D10B4" w:rsidRPr="0045560E" w:rsidSect="005808FC">
      <w:headerReference w:type="default" r:id="rId49"/>
      <w:footerReference w:type="default" r:id="rId50"/>
      <w:pgSz w:w="11906" w:h="16838"/>
      <w:pgMar w:top="1560" w:right="1440" w:bottom="1440" w:left="1440" w:header="720" w:footer="46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A6E70" w16cid:durableId="203E3F4C"/>
  <w16cid:commentId w16cid:paraId="3F1896D7" w16cid:durableId="203E3F89"/>
  <w16cid:commentId w16cid:paraId="308D3B81" w16cid:durableId="203E4059"/>
  <w16cid:commentId w16cid:paraId="75D9B873" w16cid:durableId="203E3F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78EF2" w14:textId="77777777" w:rsidR="00DF5A17" w:rsidRDefault="00DF5A17" w:rsidP="00D43D20">
      <w:pPr>
        <w:spacing w:after="0" w:line="240" w:lineRule="auto"/>
      </w:pPr>
      <w:r>
        <w:separator/>
      </w:r>
    </w:p>
  </w:endnote>
  <w:endnote w:type="continuationSeparator" w:id="0">
    <w:p w14:paraId="0F07780F" w14:textId="77777777" w:rsidR="00DF5A17" w:rsidRDefault="00DF5A17" w:rsidP="00D43D20">
      <w:pPr>
        <w:spacing w:after="0" w:line="240" w:lineRule="auto"/>
      </w:pPr>
      <w:r>
        <w:continuationSeparator/>
      </w:r>
    </w:p>
  </w:endnote>
  <w:endnote w:type="continuationNotice" w:id="1">
    <w:p w14:paraId="7FF6D827" w14:textId="77777777" w:rsidR="00DF5A17" w:rsidRDefault="00DF5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79621"/>
      <w:docPartObj>
        <w:docPartGallery w:val="Page Numbers (Bottom of Page)"/>
        <w:docPartUnique/>
      </w:docPartObj>
    </w:sdtPr>
    <w:sdtEndPr/>
    <w:sdtContent>
      <w:p w14:paraId="088FBBF7" w14:textId="645317E3" w:rsidR="00EE0E04" w:rsidRDefault="00EE0E04">
        <w:pPr>
          <w:pStyle w:val="Footer"/>
          <w:jc w:val="right"/>
        </w:pPr>
        <w:r>
          <w:fldChar w:fldCharType="begin"/>
        </w:r>
        <w:r>
          <w:instrText xml:space="preserve"> PAGE   \* MERGEFORMAT </w:instrText>
        </w:r>
        <w:r>
          <w:fldChar w:fldCharType="separate"/>
        </w:r>
        <w:r w:rsidR="0045560E">
          <w:rPr>
            <w:noProof/>
          </w:rPr>
          <w:t>2</w:t>
        </w:r>
        <w:r>
          <w:rPr>
            <w:noProof/>
          </w:rPr>
          <w:fldChar w:fldCharType="end"/>
        </w:r>
      </w:p>
    </w:sdtContent>
  </w:sdt>
  <w:p w14:paraId="0D2AA7B5" w14:textId="77777777" w:rsidR="00EE0E04" w:rsidRDefault="00EE0E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72550" w14:textId="77777777" w:rsidR="00DF5A17" w:rsidRDefault="00DF5A17" w:rsidP="00D43D20">
      <w:pPr>
        <w:spacing w:after="0" w:line="240" w:lineRule="auto"/>
      </w:pPr>
      <w:r>
        <w:separator/>
      </w:r>
    </w:p>
  </w:footnote>
  <w:footnote w:type="continuationSeparator" w:id="0">
    <w:p w14:paraId="521276C4" w14:textId="77777777" w:rsidR="00DF5A17" w:rsidRDefault="00DF5A17" w:rsidP="00D43D20">
      <w:pPr>
        <w:spacing w:after="0" w:line="240" w:lineRule="auto"/>
      </w:pPr>
      <w:r>
        <w:continuationSeparator/>
      </w:r>
    </w:p>
  </w:footnote>
  <w:footnote w:type="continuationNotice" w:id="1">
    <w:p w14:paraId="5ACDE347" w14:textId="77777777" w:rsidR="00DF5A17" w:rsidRDefault="00DF5A17">
      <w:pPr>
        <w:spacing w:after="0" w:line="240" w:lineRule="auto"/>
      </w:pPr>
    </w:p>
  </w:footnote>
  <w:footnote w:id="2">
    <w:p w14:paraId="5D61A9B9" w14:textId="77777777" w:rsidR="00EE0E04" w:rsidRPr="005808FC" w:rsidRDefault="00EE0E04" w:rsidP="008B5153">
      <w:pPr>
        <w:pStyle w:val="FootnoteText"/>
      </w:pPr>
      <w:r>
        <w:rPr>
          <w:rStyle w:val="FootnoteReference"/>
        </w:rPr>
        <w:footnoteRef/>
      </w:r>
      <w:r>
        <w:t xml:space="preserve"> </w:t>
      </w:r>
      <w:r w:rsidRPr="00544C30">
        <w:rPr>
          <w:rFonts w:asciiTheme="minorHAnsi" w:eastAsiaTheme="minorHAnsi" w:hAnsiTheme="minorHAnsi" w:cstheme="minorBidi"/>
          <w:sz w:val="18"/>
          <w:szCs w:val="22"/>
        </w:rPr>
        <w:t>Heaps, C.G., 2016. Long-range Energy Alternatives Planning (LEAP) system. [Software version: 2018.1.8] Stockholm Environment Institute. Somerville, MA, USA. https://www.energycommunity.org</w:t>
      </w:r>
    </w:p>
  </w:footnote>
  <w:footnote w:id="3">
    <w:p w14:paraId="6AE3161B" w14:textId="77777777" w:rsidR="00EE0E04" w:rsidRDefault="00EE0E04" w:rsidP="00494D06">
      <w:pPr>
        <w:pStyle w:val="FootnoteText"/>
      </w:pPr>
      <w:r>
        <w:rPr>
          <w:rStyle w:val="FootnoteReference"/>
        </w:rPr>
        <w:footnoteRef/>
      </w:r>
      <w:r>
        <w:t xml:space="preserve"> </w:t>
      </w:r>
      <w:r w:rsidRPr="00560D82">
        <w:rPr>
          <w:rFonts w:asciiTheme="minorHAnsi" w:hAnsiTheme="minorHAnsi"/>
          <w:sz w:val="18"/>
          <w:szCs w:val="18"/>
        </w:rPr>
        <w:t>Biomasa se odnosi na ogrjevno drvo, drvenu sječku, drvene pelete, drvene brikete, drveni ugljen.</w:t>
      </w:r>
      <w:r>
        <w:rPr>
          <w:rFonts w:asciiTheme="minorHAnsi" w:hAnsiTheme="minorHAnsi"/>
          <w:sz w:val="18"/>
          <w:szCs w:val="18"/>
        </w:rPr>
        <w:t xml:space="preserve"> Emisije CO</w:t>
      </w:r>
      <w:r w:rsidRPr="00A74BCA">
        <w:rPr>
          <w:rFonts w:asciiTheme="minorHAnsi" w:hAnsiTheme="minorHAnsi"/>
          <w:sz w:val="18"/>
          <w:szCs w:val="18"/>
          <w:vertAlign w:val="subscript"/>
        </w:rPr>
        <w:t>2</w:t>
      </w:r>
      <w:r>
        <w:rPr>
          <w:rFonts w:asciiTheme="minorHAnsi" w:hAnsiTheme="minorHAnsi"/>
          <w:sz w:val="18"/>
          <w:szCs w:val="18"/>
        </w:rPr>
        <w:t xml:space="preserve"> pojavljuju se i kod spaljivanja biomase, ali se prema IPCC preporukama one ne računaju jer se smatra da se radi o CO</w:t>
      </w:r>
      <w:r w:rsidRPr="00A74BCA">
        <w:rPr>
          <w:rFonts w:asciiTheme="minorHAnsi" w:hAnsiTheme="minorHAnsi"/>
          <w:sz w:val="18"/>
          <w:szCs w:val="18"/>
          <w:vertAlign w:val="subscript"/>
        </w:rPr>
        <w:t>2</w:t>
      </w:r>
      <w:r>
        <w:rPr>
          <w:rFonts w:asciiTheme="minorHAnsi" w:hAnsiTheme="minorHAnsi"/>
          <w:sz w:val="18"/>
          <w:szCs w:val="18"/>
        </w:rPr>
        <w:t xml:space="preserve"> koje su biljke tijekom rasta apsorbirale iz atmosfere.</w:t>
      </w:r>
    </w:p>
  </w:footnote>
  <w:footnote w:id="4">
    <w:p w14:paraId="6ABBE7E2" w14:textId="77777777" w:rsidR="00EE0E04" w:rsidRDefault="00EE0E04" w:rsidP="009245B1">
      <w:pPr>
        <w:pStyle w:val="FootnoteText"/>
      </w:pPr>
      <w:r>
        <w:rPr>
          <w:rStyle w:val="FootnoteReference"/>
        </w:rPr>
        <w:footnoteRef/>
      </w:r>
      <w:r>
        <w:t xml:space="preserve"> </w:t>
      </w:r>
      <w:r w:rsidRPr="00061B04">
        <w:rPr>
          <w:rFonts w:asciiTheme="minorHAnsi" w:hAnsiTheme="minorHAnsi" w:cstheme="minorHAnsi"/>
        </w:rPr>
        <w:t>Energija u Hrvatskoj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F19F" w14:textId="512538E3" w:rsidR="00EE0E04" w:rsidRPr="005808FC" w:rsidRDefault="00EE0E04" w:rsidP="005808FC">
    <w:pPr>
      <w:pStyle w:val="HeaderRight"/>
      <w:tabs>
        <w:tab w:val="clear" w:pos="4320"/>
        <w:tab w:val="clear" w:pos="8640"/>
        <w:tab w:val="left" w:pos="6675"/>
      </w:tabs>
      <w:jc w:val="left"/>
      <w:rPr>
        <w:color w:val="auto"/>
        <w:sz w:val="18"/>
        <w:szCs w:val="18"/>
      </w:rPr>
    </w:pPr>
    <w:r>
      <w:rPr>
        <w:noProof/>
        <w:color w:val="auto"/>
        <w:sz w:val="18"/>
        <w:lang w:eastAsia="hr-HR"/>
      </w:rPr>
      <mc:AlternateContent>
        <mc:Choice Requires="wpg">
          <w:drawing>
            <wp:anchor distT="0" distB="0" distL="114300" distR="114300" simplePos="0" relativeHeight="251658240" behindDoc="0" locked="0" layoutInCell="1" allowOverlap="1" wp14:anchorId="48D60060" wp14:editId="65C4D353">
              <wp:simplePos x="0" y="0"/>
              <wp:positionH relativeFrom="margin">
                <wp:align>left</wp:align>
              </wp:positionH>
              <wp:positionV relativeFrom="paragraph">
                <wp:posOffset>-104775</wp:posOffset>
              </wp:positionV>
              <wp:extent cx="5838825" cy="474345"/>
              <wp:effectExtent l="0" t="0" r="9525" b="1905"/>
              <wp:wrapNone/>
              <wp:docPr id="17" name="Group 17"/>
              <wp:cNvGraphicFramePr/>
              <a:graphic xmlns:a="http://schemas.openxmlformats.org/drawingml/2006/main">
                <a:graphicData uri="http://schemas.microsoft.com/office/word/2010/wordprocessingGroup">
                  <wpg:wgp>
                    <wpg:cNvGrpSpPr/>
                    <wpg:grpSpPr>
                      <a:xfrm>
                        <a:off x="0" y="0"/>
                        <a:ext cx="5838825" cy="474345"/>
                        <a:chOff x="391577" y="0"/>
                        <a:chExt cx="5482173" cy="474345"/>
                      </a:xfrm>
                    </wpg:grpSpPr>
                    <wps:wsp>
                      <wps:cNvPr id="307" name="Tekstni okvir 2"/>
                      <wps:cNvSpPr txBox="1">
                        <a:spLocks noChangeArrowheads="1"/>
                      </wps:cNvSpPr>
                      <wps:spPr bwMode="auto">
                        <a:xfrm>
                          <a:off x="819150" y="9525"/>
                          <a:ext cx="3346450" cy="387985"/>
                        </a:xfrm>
                        <a:prstGeom prst="rect">
                          <a:avLst/>
                        </a:prstGeom>
                        <a:noFill/>
                        <a:ln w="9525">
                          <a:noFill/>
                          <a:miter lim="800000"/>
                          <a:headEnd/>
                          <a:tailEnd/>
                        </a:ln>
                      </wps:spPr>
                      <wps:txbx>
                        <w:txbxContent>
                          <w:p w14:paraId="2FACD7BD" w14:textId="77777777" w:rsidR="00EE0E04" w:rsidRDefault="00EE0E04" w:rsidP="002A30CD">
                            <w:pPr>
                              <w:pStyle w:val="HeaderRight"/>
                              <w:spacing w:after="0" w:line="240" w:lineRule="auto"/>
                              <w:jc w:val="both"/>
                              <w:rPr>
                                <w:rFonts w:eastAsia="Times New Roman"/>
                                <w:color w:val="auto"/>
                                <w:sz w:val="18"/>
                              </w:rPr>
                            </w:pPr>
                            <w:r>
                              <w:rPr>
                                <w:rFonts w:eastAsia="Times New Roman"/>
                                <w:color w:val="auto"/>
                                <w:sz w:val="18"/>
                              </w:rPr>
                              <w:t>A</w:t>
                            </w:r>
                            <w:r w:rsidRPr="00AD773C">
                              <w:rPr>
                                <w:rFonts w:eastAsia="Times New Roman"/>
                                <w:color w:val="auto"/>
                                <w:sz w:val="18"/>
                              </w:rPr>
                              <w:t xml:space="preserve">kcijski plan energetski održivog razvitka </w:t>
                            </w:r>
                          </w:p>
                          <w:p w14:paraId="14DD2B67" w14:textId="38F4FE90" w:rsidR="00EE0E04" w:rsidRPr="00AD773C" w:rsidRDefault="00EE0E04" w:rsidP="002A30CD">
                            <w:pPr>
                              <w:pStyle w:val="HeaderRight"/>
                              <w:jc w:val="both"/>
                              <w:rPr>
                                <w:color w:val="auto"/>
                                <w:sz w:val="18"/>
                              </w:rPr>
                            </w:pPr>
                            <w:r w:rsidRPr="00AD773C">
                              <w:rPr>
                                <w:rFonts w:eastAsia="Times New Roman"/>
                                <w:color w:val="auto"/>
                                <w:sz w:val="18"/>
                              </w:rPr>
                              <w:t>i prilagodbe klimatskim promjenama Grada Zagreba</w:t>
                            </w:r>
                          </w:p>
                          <w:p w14:paraId="03D6DBAC" w14:textId="77777777" w:rsidR="00EE0E04" w:rsidRDefault="00EE0E04"/>
                        </w:txbxContent>
                      </wps:txbx>
                      <wps:bodyPr rot="0" vert="horz" wrap="square" lIns="91440" tIns="45720" rIns="91440" bIns="45720" anchor="t" anchorCtr="0">
                        <a:noAutofit/>
                      </wps:bodyPr>
                    </wps:wsp>
                    <wpg:grpSp>
                      <wpg:cNvPr id="26" name="Group 14"/>
                      <wpg:cNvGrpSpPr/>
                      <wpg:grpSpPr>
                        <a:xfrm>
                          <a:off x="391577" y="0"/>
                          <a:ext cx="5482173" cy="474345"/>
                          <a:chOff x="391577" y="0"/>
                          <a:chExt cx="5482173" cy="474345"/>
                        </a:xfrm>
                      </wpg:grpSpPr>
                      <pic:pic xmlns:pic="http://schemas.openxmlformats.org/drawingml/2006/picture">
                        <pic:nvPicPr>
                          <pic:cNvPr id="30"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162550" y="0"/>
                            <a:ext cx="711200" cy="474345"/>
                          </a:xfrm>
                          <a:prstGeom prst="rect">
                            <a:avLst/>
                          </a:prstGeom>
                          <a:noFill/>
                          <a:ln>
                            <a:noFill/>
                          </a:ln>
                        </pic:spPr>
                      </pic:pic>
                      <pic:pic xmlns:pic="http://schemas.openxmlformats.org/drawingml/2006/picture">
                        <pic:nvPicPr>
                          <pic:cNvPr id="32" name="Picture 2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1577" y="40"/>
                            <a:ext cx="371475" cy="438150"/>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48D60060" id="Group 17" o:spid="_x0000_s1027" style="position:absolute;margin-left:0;margin-top:-8.25pt;width:459.75pt;height:37.35pt;z-index:251658240;mso-position-horizontal:left;mso-position-horizontal-relative:margin;mso-position-vertical-relative:text;mso-width-relative:margin;mso-height-relative:margin" coordorigin="3915" coordsize="54821,4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">
              <v:shapetype id="_x0000_t202" coordsize="21600,21600" o:spt="202" path="m,l,21600r21600,l21600,xe">
                <v:stroke joinstyle="miter"/>
                <v:path gradientshapeok="t" o:connecttype="rect"/>
              </v:shapetype>
              <v:shape id="Tekstni okvir 2" o:spid="_x0000_s1028" type="#_x0000_t202" style="position:absolute;left:8191;top:95;width:33465;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2FACD7BD" w14:textId="77777777" w:rsidR="00402663" w:rsidRDefault="00402663" w:rsidP="002A30CD">
                      <w:pPr>
                        <w:pStyle w:val="HeaderRight"/>
                        <w:spacing w:after="0" w:line="240" w:lineRule="auto"/>
                        <w:jc w:val="both"/>
                        <w:rPr>
                          <w:rFonts w:eastAsia="Times New Roman"/>
                          <w:color w:val="auto"/>
                          <w:sz w:val="18"/>
                        </w:rPr>
                      </w:pPr>
                      <w:r>
                        <w:rPr>
                          <w:rFonts w:eastAsia="Times New Roman"/>
                          <w:color w:val="auto"/>
                          <w:sz w:val="18"/>
                        </w:rPr>
                        <w:t>A</w:t>
                      </w:r>
                      <w:r w:rsidRPr="00AD773C">
                        <w:rPr>
                          <w:rFonts w:eastAsia="Times New Roman"/>
                          <w:color w:val="auto"/>
                          <w:sz w:val="18"/>
                        </w:rPr>
                        <w:t xml:space="preserve">kcijski plan energetski održivog razvitka </w:t>
                      </w:r>
                    </w:p>
                    <w:p w14:paraId="14DD2B67" w14:textId="38F4FE90" w:rsidR="00402663" w:rsidRPr="00AD773C" w:rsidRDefault="00402663" w:rsidP="002A30CD">
                      <w:pPr>
                        <w:pStyle w:val="HeaderRight"/>
                        <w:jc w:val="both"/>
                        <w:rPr>
                          <w:color w:val="auto"/>
                          <w:sz w:val="18"/>
                        </w:rPr>
                      </w:pPr>
                      <w:r w:rsidRPr="00AD773C">
                        <w:rPr>
                          <w:rFonts w:eastAsia="Times New Roman"/>
                          <w:color w:val="auto"/>
                          <w:sz w:val="18"/>
                        </w:rPr>
                        <w:t>i prilagodbe klimatskim promjenama Grada Zagreba</w:t>
                      </w:r>
                    </w:p>
                    <w:p w14:paraId="03D6DBAC" w14:textId="77777777" w:rsidR="00402663" w:rsidRDefault="00402663"/>
                  </w:txbxContent>
                </v:textbox>
              </v:shape>
              <v:group id="Group 14" o:spid="_x0000_s1029" style="position:absolute;left:3915;width:54822;height:4743" coordorigin="3915" coordsize="54821,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51625;width:7112;height:4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">
                  <v:imagedata r:id="rId3" o:title=""/>
                  <v:path arrowok="t"/>
                </v:shape>
                <v:shape id="Picture 29" o:spid="_x0000_s1031" type="#_x0000_t75" style="position:absolute;left:3915;width:3715;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">
                  <v:imagedata r:id="rId4" o:title=""/>
                  <v:path arrowok="t"/>
                </v:shape>
              </v:group>
              <w10:wrap anchorx="margin"/>
            </v:group>
          </w:pict>
        </mc:Fallback>
      </mc:AlternateContent>
    </w:r>
    <w:r>
      <w:rPr>
        <w:color w:val="auto"/>
        <w:sz w:val="18"/>
      </w:rPr>
      <w:tab/>
    </w:r>
  </w:p>
  <w:p w14:paraId="182B3D3A" w14:textId="77777777" w:rsidR="00EE0E04" w:rsidRPr="00AD773C" w:rsidRDefault="00EE0E04">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0B8"/>
    <w:multiLevelType w:val="hybridMultilevel"/>
    <w:tmpl w:val="08BA2FF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 w15:restartNumberingAfterBreak="0">
    <w:nsid w:val="0881004A"/>
    <w:multiLevelType w:val="hybridMultilevel"/>
    <w:tmpl w:val="91C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40AA"/>
    <w:multiLevelType w:val="hybridMultilevel"/>
    <w:tmpl w:val="5F0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72"/>
    <w:multiLevelType w:val="hybridMultilevel"/>
    <w:tmpl w:val="75EA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7536E"/>
    <w:multiLevelType w:val="hybridMultilevel"/>
    <w:tmpl w:val="F2C870F0"/>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5" w15:restartNumberingAfterBreak="0">
    <w:nsid w:val="0EC41B8E"/>
    <w:multiLevelType w:val="hybridMultilevel"/>
    <w:tmpl w:val="7CA40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1D7C07"/>
    <w:multiLevelType w:val="hybridMultilevel"/>
    <w:tmpl w:val="EFB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97E6B"/>
    <w:multiLevelType w:val="hybridMultilevel"/>
    <w:tmpl w:val="8EF83E6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57D21DD"/>
    <w:multiLevelType w:val="hybridMultilevel"/>
    <w:tmpl w:val="8BA22AEA"/>
    <w:lvl w:ilvl="0" w:tplc="041A0001">
      <w:start w:val="1"/>
      <w:numFmt w:val="bullet"/>
      <w:lvlText w:val=""/>
      <w:lvlJc w:val="left"/>
      <w:pPr>
        <w:ind w:left="766" w:hanging="360"/>
      </w:pPr>
      <w:rPr>
        <w:rFonts w:ascii="Symbol" w:hAnsi="Symbol" w:hint="default"/>
      </w:rPr>
    </w:lvl>
    <w:lvl w:ilvl="1" w:tplc="041A0003">
      <w:start w:val="1"/>
      <w:numFmt w:val="bullet"/>
      <w:lvlText w:val="o"/>
      <w:lvlJc w:val="left"/>
      <w:pPr>
        <w:ind w:left="1486" w:hanging="360"/>
      </w:pPr>
      <w:rPr>
        <w:rFonts w:ascii="Courier New" w:hAnsi="Courier New" w:cs="Courier New" w:hint="default"/>
      </w:rPr>
    </w:lvl>
    <w:lvl w:ilvl="2" w:tplc="041A0005">
      <w:start w:val="1"/>
      <w:numFmt w:val="bullet"/>
      <w:lvlText w:val=""/>
      <w:lvlJc w:val="left"/>
      <w:pPr>
        <w:ind w:left="2206" w:hanging="360"/>
      </w:pPr>
      <w:rPr>
        <w:rFonts w:ascii="Wingdings" w:hAnsi="Wingdings" w:hint="default"/>
      </w:rPr>
    </w:lvl>
    <w:lvl w:ilvl="3" w:tplc="041A0001">
      <w:start w:val="1"/>
      <w:numFmt w:val="bullet"/>
      <w:lvlText w:val=""/>
      <w:lvlJc w:val="left"/>
      <w:pPr>
        <w:ind w:left="2926" w:hanging="360"/>
      </w:pPr>
      <w:rPr>
        <w:rFonts w:ascii="Symbol" w:hAnsi="Symbol" w:hint="default"/>
      </w:rPr>
    </w:lvl>
    <w:lvl w:ilvl="4" w:tplc="041A0003">
      <w:start w:val="1"/>
      <w:numFmt w:val="bullet"/>
      <w:lvlText w:val="o"/>
      <w:lvlJc w:val="left"/>
      <w:pPr>
        <w:ind w:left="3646" w:hanging="360"/>
      </w:pPr>
      <w:rPr>
        <w:rFonts w:ascii="Courier New" w:hAnsi="Courier New" w:cs="Courier New" w:hint="default"/>
      </w:rPr>
    </w:lvl>
    <w:lvl w:ilvl="5" w:tplc="041A0005">
      <w:start w:val="1"/>
      <w:numFmt w:val="bullet"/>
      <w:lvlText w:val=""/>
      <w:lvlJc w:val="left"/>
      <w:pPr>
        <w:ind w:left="4366" w:hanging="360"/>
      </w:pPr>
      <w:rPr>
        <w:rFonts w:ascii="Wingdings" w:hAnsi="Wingdings" w:hint="default"/>
      </w:rPr>
    </w:lvl>
    <w:lvl w:ilvl="6" w:tplc="041A0001">
      <w:start w:val="1"/>
      <w:numFmt w:val="bullet"/>
      <w:lvlText w:val=""/>
      <w:lvlJc w:val="left"/>
      <w:pPr>
        <w:ind w:left="5086" w:hanging="360"/>
      </w:pPr>
      <w:rPr>
        <w:rFonts w:ascii="Symbol" w:hAnsi="Symbol" w:hint="default"/>
      </w:rPr>
    </w:lvl>
    <w:lvl w:ilvl="7" w:tplc="041A0003">
      <w:start w:val="1"/>
      <w:numFmt w:val="bullet"/>
      <w:lvlText w:val="o"/>
      <w:lvlJc w:val="left"/>
      <w:pPr>
        <w:ind w:left="5806" w:hanging="360"/>
      </w:pPr>
      <w:rPr>
        <w:rFonts w:ascii="Courier New" w:hAnsi="Courier New" w:cs="Courier New" w:hint="default"/>
      </w:rPr>
    </w:lvl>
    <w:lvl w:ilvl="8" w:tplc="041A0005">
      <w:start w:val="1"/>
      <w:numFmt w:val="bullet"/>
      <w:lvlText w:val=""/>
      <w:lvlJc w:val="left"/>
      <w:pPr>
        <w:ind w:left="6526" w:hanging="360"/>
      </w:pPr>
      <w:rPr>
        <w:rFonts w:ascii="Wingdings" w:hAnsi="Wingdings" w:hint="default"/>
      </w:rPr>
    </w:lvl>
  </w:abstractNum>
  <w:abstractNum w:abstractNumId="9" w15:restartNumberingAfterBreak="0">
    <w:nsid w:val="15B91F75"/>
    <w:multiLevelType w:val="hybridMultilevel"/>
    <w:tmpl w:val="EF30C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E14F4A"/>
    <w:multiLevelType w:val="hybridMultilevel"/>
    <w:tmpl w:val="03841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842B78"/>
    <w:multiLevelType w:val="hybridMultilevel"/>
    <w:tmpl w:val="13921538"/>
    <w:lvl w:ilvl="0" w:tplc="85CC6D9A">
      <w:start w:val="1"/>
      <w:numFmt w:val="ordinal"/>
      <w:pStyle w:val="Subtitle"/>
      <w:lvlText w:val="1.%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D21DE3"/>
    <w:multiLevelType w:val="hybridMultilevel"/>
    <w:tmpl w:val="A7CCD398"/>
    <w:lvl w:ilvl="0" w:tplc="0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6D4B98"/>
    <w:multiLevelType w:val="hybridMultilevel"/>
    <w:tmpl w:val="B8C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11B03"/>
    <w:multiLevelType w:val="hybridMultilevel"/>
    <w:tmpl w:val="0730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955540"/>
    <w:multiLevelType w:val="hybridMultilevel"/>
    <w:tmpl w:val="5CC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22ED3"/>
    <w:multiLevelType w:val="hybridMultilevel"/>
    <w:tmpl w:val="1758F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28A535C"/>
    <w:multiLevelType w:val="hybridMultilevel"/>
    <w:tmpl w:val="6E94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925E4"/>
    <w:multiLevelType w:val="hybridMultilevel"/>
    <w:tmpl w:val="90AA48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7C1599F"/>
    <w:multiLevelType w:val="hybridMultilevel"/>
    <w:tmpl w:val="D0CA8CFE"/>
    <w:lvl w:ilvl="0" w:tplc="041A0001">
      <w:start w:val="1"/>
      <w:numFmt w:val="bullet"/>
      <w:lvlText w:val=""/>
      <w:lvlJc w:val="left"/>
      <w:pPr>
        <w:ind w:left="784" w:hanging="360"/>
      </w:pPr>
      <w:rPr>
        <w:rFonts w:ascii="Symbol" w:hAnsi="Symbol"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20" w15:restartNumberingAfterBreak="0">
    <w:nsid w:val="2B7845E5"/>
    <w:multiLevelType w:val="hybridMultilevel"/>
    <w:tmpl w:val="AD2C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177C0"/>
    <w:multiLevelType w:val="hybridMultilevel"/>
    <w:tmpl w:val="B26A3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6511FD"/>
    <w:multiLevelType w:val="hybridMultilevel"/>
    <w:tmpl w:val="7E7A7CE6"/>
    <w:lvl w:ilvl="0" w:tplc="3B6AAD60">
      <w:start w:val="1"/>
      <w:numFmt w:val="decimal"/>
      <w:lvlText w:val="%1."/>
      <w:lvlJc w:val="left"/>
      <w:pPr>
        <w:ind w:left="720" w:hanging="360"/>
      </w:pPr>
      <w:rPr>
        <w:rFonts w:hint="default"/>
        <w: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F3119F3"/>
    <w:multiLevelType w:val="hybridMultilevel"/>
    <w:tmpl w:val="799CE71E"/>
    <w:lvl w:ilvl="0" w:tplc="79B23C2E">
      <w:start w:val="1"/>
      <w:numFmt w:val="bullet"/>
      <w:lvlText w:val=""/>
      <w:lvlJc w:val="left"/>
      <w:pPr>
        <w:ind w:left="720" w:hanging="360"/>
      </w:pPr>
      <w:rPr>
        <w:rFonts w:ascii="Symbol" w:hAnsi="Symbol" w:hint="default"/>
      </w:rPr>
    </w:lvl>
    <w:lvl w:ilvl="1" w:tplc="33A48D6A" w:tentative="1">
      <w:start w:val="1"/>
      <w:numFmt w:val="bullet"/>
      <w:lvlText w:val="o"/>
      <w:lvlJc w:val="left"/>
      <w:pPr>
        <w:ind w:left="1440" w:hanging="360"/>
      </w:pPr>
      <w:rPr>
        <w:rFonts w:ascii="Courier New" w:hAnsi="Courier New" w:cs="Courier New" w:hint="default"/>
      </w:rPr>
    </w:lvl>
    <w:lvl w:ilvl="2" w:tplc="A2D2C3B6" w:tentative="1">
      <w:start w:val="1"/>
      <w:numFmt w:val="bullet"/>
      <w:lvlText w:val=""/>
      <w:lvlJc w:val="left"/>
      <w:pPr>
        <w:ind w:left="2160" w:hanging="360"/>
      </w:pPr>
      <w:rPr>
        <w:rFonts w:ascii="Wingdings" w:hAnsi="Wingdings" w:hint="default"/>
      </w:rPr>
    </w:lvl>
    <w:lvl w:ilvl="3" w:tplc="CAAA63D2" w:tentative="1">
      <w:start w:val="1"/>
      <w:numFmt w:val="bullet"/>
      <w:lvlText w:val=""/>
      <w:lvlJc w:val="left"/>
      <w:pPr>
        <w:ind w:left="2880" w:hanging="360"/>
      </w:pPr>
      <w:rPr>
        <w:rFonts w:ascii="Symbol" w:hAnsi="Symbol" w:hint="default"/>
      </w:rPr>
    </w:lvl>
    <w:lvl w:ilvl="4" w:tplc="E0F81E9C" w:tentative="1">
      <w:start w:val="1"/>
      <w:numFmt w:val="bullet"/>
      <w:lvlText w:val="o"/>
      <w:lvlJc w:val="left"/>
      <w:pPr>
        <w:ind w:left="3600" w:hanging="360"/>
      </w:pPr>
      <w:rPr>
        <w:rFonts w:ascii="Courier New" w:hAnsi="Courier New" w:cs="Courier New" w:hint="default"/>
      </w:rPr>
    </w:lvl>
    <w:lvl w:ilvl="5" w:tplc="A6DCD356" w:tentative="1">
      <w:start w:val="1"/>
      <w:numFmt w:val="bullet"/>
      <w:lvlText w:val=""/>
      <w:lvlJc w:val="left"/>
      <w:pPr>
        <w:ind w:left="4320" w:hanging="360"/>
      </w:pPr>
      <w:rPr>
        <w:rFonts w:ascii="Wingdings" w:hAnsi="Wingdings" w:hint="default"/>
      </w:rPr>
    </w:lvl>
    <w:lvl w:ilvl="6" w:tplc="43AC7E88" w:tentative="1">
      <w:start w:val="1"/>
      <w:numFmt w:val="bullet"/>
      <w:lvlText w:val=""/>
      <w:lvlJc w:val="left"/>
      <w:pPr>
        <w:ind w:left="5040" w:hanging="360"/>
      </w:pPr>
      <w:rPr>
        <w:rFonts w:ascii="Symbol" w:hAnsi="Symbol" w:hint="default"/>
      </w:rPr>
    </w:lvl>
    <w:lvl w:ilvl="7" w:tplc="CA166A44" w:tentative="1">
      <w:start w:val="1"/>
      <w:numFmt w:val="bullet"/>
      <w:lvlText w:val="o"/>
      <w:lvlJc w:val="left"/>
      <w:pPr>
        <w:ind w:left="5760" w:hanging="360"/>
      </w:pPr>
      <w:rPr>
        <w:rFonts w:ascii="Courier New" w:hAnsi="Courier New" w:cs="Courier New" w:hint="default"/>
      </w:rPr>
    </w:lvl>
    <w:lvl w:ilvl="8" w:tplc="45C27882" w:tentative="1">
      <w:start w:val="1"/>
      <w:numFmt w:val="bullet"/>
      <w:lvlText w:val=""/>
      <w:lvlJc w:val="left"/>
      <w:pPr>
        <w:ind w:left="6480" w:hanging="360"/>
      </w:pPr>
      <w:rPr>
        <w:rFonts w:ascii="Wingdings" w:hAnsi="Wingdings" w:hint="default"/>
      </w:rPr>
    </w:lvl>
  </w:abstractNum>
  <w:abstractNum w:abstractNumId="24" w15:restartNumberingAfterBreak="0">
    <w:nsid w:val="31413D4B"/>
    <w:multiLevelType w:val="hybridMultilevel"/>
    <w:tmpl w:val="6BDEA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846BA3"/>
    <w:multiLevelType w:val="hybridMultilevel"/>
    <w:tmpl w:val="288035D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11D09"/>
    <w:multiLevelType w:val="hybridMultilevel"/>
    <w:tmpl w:val="164E1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55256E6"/>
    <w:multiLevelType w:val="hybridMultilevel"/>
    <w:tmpl w:val="72D00E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35A36E94"/>
    <w:multiLevelType w:val="hybridMultilevel"/>
    <w:tmpl w:val="E11C9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5A53FEC"/>
    <w:multiLevelType w:val="hybridMultilevel"/>
    <w:tmpl w:val="0330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F93C49"/>
    <w:multiLevelType w:val="hybridMultilevel"/>
    <w:tmpl w:val="C5FABDD6"/>
    <w:lvl w:ilvl="0" w:tplc="C36802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1E5B09"/>
    <w:multiLevelType w:val="hybridMultilevel"/>
    <w:tmpl w:val="4ED0F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B1E1BA9"/>
    <w:multiLevelType w:val="hybridMultilevel"/>
    <w:tmpl w:val="D4707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C554C55"/>
    <w:multiLevelType w:val="hybridMultilevel"/>
    <w:tmpl w:val="3ABA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DF"/>
    <w:multiLevelType w:val="hybridMultilevel"/>
    <w:tmpl w:val="00B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D8221A"/>
    <w:multiLevelType w:val="hybridMultilevel"/>
    <w:tmpl w:val="E09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430E1A"/>
    <w:multiLevelType w:val="hybridMultilevel"/>
    <w:tmpl w:val="631A49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412B5769"/>
    <w:multiLevelType w:val="hybridMultilevel"/>
    <w:tmpl w:val="631CC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3431F8B"/>
    <w:multiLevelType w:val="hybridMultilevel"/>
    <w:tmpl w:val="B3C28812"/>
    <w:lvl w:ilvl="0" w:tplc="2940F516">
      <w:numFmt w:val="bullet"/>
      <w:lvlText w:val="-"/>
      <w:lvlJc w:val="left"/>
      <w:pPr>
        <w:ind w:left="720" w:hanging="360"/>
      </w:pPr>
      <w:rPr>
        <w:rFonts w:ascii="Calibri" w:eastAsia="Times New Roman" w:hAnsi="Calibri" w:cs="Calibri" w:hint="default"/>
      </w:rPr>
    </w:lvl>
    <w:lvl w:ilvl="1" w:tplc="2940F51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4511A"/>
    <w:multiLevelType w:val="multilevel"/>
    <w:tmpl w:val="2A0A3B12"/>
    <w:lvl w:ilvl="0">
      <w:start w:val="1"/>
      <w:numFmt w:val="decimal"/>
      <w:pStyle w:val="Heading1"/>
      <w:lvlText w:val="%1."/>
      <w:lvlJc w:val="left"/>
      <w:pPr>
        <w:ind w:left="432" w:hanging="432"/>
      </w:pPr>
      <w:rPr>
        <w:rFonts w:ascii="Calibri" w:hAnsi="Calibri" w:hint="default"/>
        <w:b/>
        <w:i w:val="0"/>
        <w:sz w:val="32"/>
      </w:rPr>
    </w:lvl>
    <w:lvl w:ilvl="1">
      <w:start w:val="1"/>
      <w:numFmt w:val="decimal"/>
      <w:pStyle w:val="Heading2"/>
      <w:lvlText w:val="%1.%2"/>
      <w:lvlJc w:val="left"/>
      <w:pPr>
        <w:ind w:left="576" w:hanging="576"/>
      </w:pPr>
      <w:rPr>
        <w:sz w:val="28"/>
        <w:szCs w:val="24"/>
        <w:vertAlign w:val="baseline"/>
      </w:rPr>
    </w:lvl>
    <w:lvl w:ilvl="2">
      <w:start w:val="1"/>
      <w:numFmt w:val="decimal"/>
      <w:pStyle w:val="Heading3"/>
      <w:lvlText w:val="%1.%2.%3"/>
      <w:lvlJc w:val="left"/>
      <w:pPr>
        <w:ind w:left="2137"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sz w:val="22"/>
        <w:szCs w:val="22"/>
      </w:rPr>
    </w:lvl>
    <w:lvl w:ilvl="4">
      <w:start w:val="1"/>
      <w:numFmt w:val="decimal"/>
      <w:pStyle w:val="Heading5"/>
      <w:lvlText w:val="%1.%2.%3.%4.%5"/>
      <w:lvlJc w:val="left"/>
      <w:pPr>
        <w:ind w:left="1008" w:hanging="1008"/>
      </w:pPr>
    </w:lvl>
    <w:lvl w:ilvl="5">
      <w:start w:val="1"/>
      <w:numFmt w:val="decimal"/>
      <w:lvlText w:val="%1.%2.%3.%4.%5.%6"/>
      <w:lvlJc w:val="left"/>
      <w:pPr>
        <w:ind w:left="1152" w:hanging="11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43FE1731"/>
    <w:multiLevelType w:val="hybridMultilevel"/>
    <w:tmpl w:val="F2647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647443A"/>
    <w:multiLevelType w:val="hybridMultilevel"/>
    <w:tmpl w:val="3D789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08404A"/>
    <w:multiLevelType w:val="hybridMultilevel"/>
    <w:tmpl w:val="319A55BE"/>
    <w:lvl w:ilvl="0" w:tplc="EA30C776">
      <w:start w:val="1"/>
      <w:numFmt w:val="bullet"/>
      <w:lvlText w:val=""/>
      <w:lvlJc w:val="left"/>
      <w:pPr>
        <w:ind w:left="720" w:hanging="360"/>
      </w:pPr>
      <w:rPr>
        <w:rFonts w:ascii="Symbol" w:hAnsi="Symbol" w:hint="default"/>
      </w:rPr>
    </w:lvl>
    <w:lvl w:ilvl="1" w:tplc="AAC85ED2">
      <w:start w:val="1"/>
      <w:numFmt w:val="bullet"/>
      <w:lvlText w:val="o"/>
      <w:lvlJc w:val="left"/>
      <w:pPr>
        <w:ind w:left="1440" w:hanging="360"/>
      </w:pPr>
      <w:rPr>
        <w:rFonts w:ascii="Courier New" w:hAnsi="Courier New" w:hint="default"/>
      </w:rPr>
    </w:lvl>
    <w:lvl w:ilvl="2" w:tplc="FA0419F4">
      <w:start w:val="1"/>
      <w:numFmt w:val="bullet"/>
      <w:lvlText w:val=""/>
      <w:lvlJc w:val="left"/>
      <w:pPr>
        <w:ind w:left="2160" w:hanging="360"/>
      </w:pPr>
      <w:rPr>
        <w:rFonts w:ascii="Wingdings" w:hAnsi="Wingdings" w:hint="default"/>
      </w:rPr>
    </w:lvl>
    <w:lvl w:ilvl="3" w:tplc="EFC27974">
      <w:start w:val="1"/>
      <w:numFmt w:val="bullet"/>
      <w:lvlText w:val=""/>
      <w:lvlJc w:val="left"/>
      <w:pPr>
        <w:ind w:left="2880" w:hanging="360"/>
      </w:pPr>
      <w:rPr>
        <w:rFonts w:ascii="Symbol" w:hAnsi="Symbol" w:hint="default"/>
      </w:rPr>
    </w:lvl>
    <w:lvl w:ilvl="4" w:tplc="DA080A58">
      <w:start w:val="1"/>
      <w:numFmt w:val="bullet"/>
      <w:lvlText w:val="o"/>
      <w:lvlJc w:val="left"/>
      <w:pPr>
        <w:ind w:left="3600" w:hanging="360"/>
      </w:pPr>
      <w:rPr>
        <w:rFonts w:ascii="Courier New" w:hAnsi="Courier New" w:hint="default"/>
      </w:rPr>
    </w:lvl>
    <w:lvl w:ilvl="5" w:tplc="1F1CD64C">
      <w:start w:val="1"/>
      <w:numFmt w:val="bullet"/>
      <w:lvlText w:val=""/>
      <w:lvlJc w:val="left"/>
      <w:pPr>
        <w:ind w:left="4320" w:hanging="360"/>
      </w:pPr>
      <w:rPr>
        <w:rFonts w:ascii="Wingdings" w:hAnsi="Wingdings" w:hint="default"/>
      </w:rPr>
    </w:lvl>
    <w:lvl w:ilvl="6" w:tplc="B29824EA">
      <w:start w:val="1"/>
      <w:numFmt w:val="bullet"/>
      <w:lvlText w:val=""/>
      <w:lvlJc w:val="left"/>
      <w:pPr>
        <w:ind w:left="5040" w:hanging="360"/>
      </w:pPr>
      <w:rPr>
        <w:rFonts w:ascii="Symbol" w:hAnsi="Symbol" w:hint="default"/>
      </w:rPr>
    </w:lvl>
    <w:lvl w:ilvl="7" w:tplc="841829A0">
      <w:start w:val="1"/>
      <w:numFmt w:val="bullet"/>
      <w:lvlText w:val="o"/>
      <w:lvlJc w:val="left"/>
      <w:pPr>
        <w:ind w:left="5760" w:hanging="360"/>
      </w:pPr>
      <w:rPr>
        <w:rFonts w:ascii="Courier New" w:hAnsi="Courier New" w:hint="default"/>
      </w:rPr>
    </w:lvl>
    <w:lvl w:ilvl="8" w:tplc="69E612C4">
      <w:start w:val="1"/>
      <w:numFmt w:val="bullet"/>
      <w:lvlText w:val=""/>
      <w:lvlJc w:val="left"/>
      <w:pPr>
        <w:ind w:left="6480" w:hanging="360"/>
      </w:pPr>
      <w:rPr>
        <w:rFonts w:ascii="Wingdings" w:hAnsi="Wingdings" w:hint="default"/>
      </w:rPr>
    </w:lvl>
  </w:abstractNum>
  <w:abstractNum w:abstractNumId="43" w15:restartNumberingAfterBreak="0">
    <w:nsid w:val="47AA15CC"/>
    <w:multiLevelType w:val="hybridMultilevel"/>
    <w:tmpl w:val="E5C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E609E5"/>
    <w:multiLevelType w:val="hybridMultilevel"/>
    <w:tmpl w:val="48EE5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90D3D8C"/>
    <w:multiLevelType w:val="hybridMultilevel"/>
    <w:tmpl w:val="C06A3F7C"/>
    <w:lvl w:ilvl="0" w:tplc="041A0001">
      <w:start w:val="1"/>
      <w:numFmt w:val="bullet"/>
      <w:lvlText w:val=""/>
      <w:lvlJc w:val="left"/>
      <w:pPr>
        <w:ind w:left="929" w:hanging="360"/>
      </w:pPr>
      <w:rPr>
        <w:rFonts w:ascii="Symbol" w:hAnsi="Symbol" w:hint="default"/>
      </w:rPr>
    </w:lvl>
    <w:lvl w:ilvl="1" w:tplc="041A0003" w:tentative="1">
      <w:start w:val="1"/>
      <w:numFmt w:val="bullet"/>
      <w:lvlText w:val="o"/>
      <w:lvlJc w:val="left"/>
      <w:pPr>
        <w:ind w:left="1649" w:hanging="360"/>
      </w:pPr>
      <w:rPr>
        <w:rFonts w:ascii="Courier New" w:hAnsi="Courier New" w:cs="Courier New" w:hint="default"/>
      </w:rPr>
    </w:lvl>
    <w:lvl w:ilvl="2" w:tplc="041A0005" w:tentative="1">
      <w:start w:val="1"/>
      <w:numFmt w:val="bullet"/>
      <w:lvlText w:val=""/>
      <w:lvlJc w:val="left"/>
      <w:pPr>
        <w:ind w:left="2369" w:hanging="360"/>
      </w:pPr>
      <w:rPr>
        <w:rFonts w:ascii="Wingdings" w:hAnsi="Wingdings" w:hint="default"/>
      </w:rPr>
    </w:lvl>
    <w:lvl w:ilvl="3" w:tplc="041A0001" w:tentative="1">
      <w:start w:val="1"/>
      <w:numFmt w:val="bullet"/>
      <w:lvlText w:val=""/>
      <w:lvlJc w:val="left"/>
      <w:pPr>
        <w:ind w:left="3089" w:hanging="360"/>
      </w:pPr>
      <w:rPr>
        <w:rFonts w:ascii="Symbol" w:hAnsi="Symbol" w:hint="default"/>
      </w:rPr>
    </w:lvl>
    <w:lvl w:ilvl="4" w:tplc="041A0003" w:tentative="1">
      <w:start w:val="1"/>
      <w:numFmt w:val="bullet"/>
      <w:lvlText w:val="o"/>
      <w:lvlJc w:val="left"/>
      <w:pPr>
        <w:ind w:left="3809" w:hanging="360"/>
      </w:pPr>
      <w:rPr>
        <w:rFonts w:ascii="Courier New" w:hAnsi="Courier New" w:cs="Courier New" w:hint="default"/>
      </w:rPr>
    </w:lvl>
    <w:lvl w:ilvl="5" w:tplc="041A0005" w:tentative="1">
      <w:start w:val="1"/>
      <w:numFmt w:val="bullet"/>
      <w:lvlText w:val=""/>
      <w:lvlJc w:val="left"/>
      <w:pPr>
        <w:ind w:left="4529" w:hanging="360"/>
      </w:pPr>
      <w:rPr>
        <w:rFonts w:ascii="Wingdings" w:hAnsi="Wingdings" w:hint="default"/>
      </w:rPr>
    </w:lvl>
    <w:lvl w:ilvl="6" w:tplc="041A0001" w:tentative="1">
      <w:start w:val="1"/>
      <w:numFmt w:val="bullet"/>
      <w:lvlText w:val=""/>
      <w:lvlJc w:val="left"/>
      <w:pPr>
        <w:ind w:left="5249" w:hanging="360"/>
      </w:pPr>
      <w:rPr>
        <w:rFonts w:ascii="Symbol" w:hAnsi="Symbol" w:hint="default"/>
      </w:rPr>
    </w:lvl>
    <w:lvl w:ilvl="7" w:tplc="041A0003" w:tentative="1">
      <w:start w:val="1"/>
      <w:numFmt w:val="bullet"/>
      <w:lvlText w:val="o"/>
      <w:lvlJc w:val="left"/>
      <w:pPr>
        <w:ind w:left="5969" w:hanging="360"/>
      </w:pPr>
      <w:rPr>
        <w:rFonts w:ascii="Courier New" w:hAnsi="Courier New" w:cs="Courier New" w:hint="default"/>
      </w:rPr>
    </w:lvl>
    <w:lvl w:ilvl="8" w:tplc="041A0005" w:tentative="1">
      <w:start w:val="1"/>
      <w:numFmt w:val="bullet"/>
      <w:lvlText w:val=""/>
      <w:lvlJc w:val="left"/>
      <w:pPr>
        <w:ind w:left="6689" w:hanging="360"/>
      </w:pPr>
      <w:rPr>
        <w:rFonts w:ascii="Wingdings" w:hAnsi="Wingdings" w:hint="default"/>
      </w:rPr>
    </w:lvl>
  </w:abstractNum>
  <w:abstractNum w:abstractNumId="46" w15:restartNumberingAfterBreak="0">
    <w:nsid w:val="498E0574"/>
    <w:multiLevelType w:val="hybridMultilevel"/>
    <w:tmpl w:val="ECCA9124"/>
    <w:lvl w:ilvl="0" w:tplc="A54030E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9B038D6"/>
    <w:multiLevelType w:val="hybridMultilevel"/>
    <w:tmpl w:val="04382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B0C59BA"/>
    <w:multiLevelType w:val="hybridMultilevel"/>
    <w:tmpl w:val="F42E5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B7B697C"/>
    <w:multiLevelType w:val="hybridMultilevel"/>
    <w:tmpl w:val="F02AF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E107331"/>
    <w:multiLevelType w:val="hybridMultilevel"/>
    <w:tmpl w:val="C358BB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F7465C3"/>
    <w:multiLevelType w:val="hybridMultilevel"/>
    <w:tmpl w:val="72C681D2"/>
    <w:lvl w:ilvl="0" w:tplc="041A0001">
      <w:start w:val="1"/>
      <w:numFmt w:val="bullet"/>
      <w:lvlText w:val=""/>
      <w:lvlJc w:val="left"/>
      <w:pPr>
        <w:ind w:left="1150" w:hanging="360"/>
      </w:pPr>
      <w:rPr>
        <w:rFonts w:ascii="Symbol" w:hAnsi="Symbol" w:hint="default"/>
      </w:rPr>
    </w:lvl>
    <w:lvl w:ilvl="1" w:tplc="041A0003" w:tentative="1">
      <w:start w:val="1"/>
      <w:numFmt w:val="bullet"/>
      <w:lvlText w:val="o"/>
      <w:lvlJc w:val="left"/>
      <w:pPr>
        <w:ind w:left="1870" w:hanging="360"/>
      </w:pPr>
      <w:rPr>
        <w:rFonts w:ascii="Courier New" w:hAnsi="Courier New" w:cs="Courier New" w:hint="default"/>
      </w:rPr>
    </w:lvl>
    <w:lvl w:ilvl="2" w:tplc="041A0005" w:tentative="1">
      <w:start w:val="1"/>
      <w:numFmt w:val="bullet"/>
      <w:lvlText w:val=""/>
      <w:lvlJc w:val="left"/>
      <w:pPr>
        <w:ind w:left="2590" w:hanging="360"/>
      </w:pPr>
      <w:rPr>
        <w:rFonts w:ascii="Wingdings" w:hAnsi="Wingdings" w:hint="default"/>
      </w:rPr>
    </w:lvl>
    <w:lvl w:ilvl="3" w:tplc="041A0001" w:tentative="1">
      <w:start w:val="1"/>
      <w:numFmt w:val="bullet"/>
      <w:lvlText w:val=""/>
      <w:lvlJc w:val="left"/>
      <w:pPr>
        <w:ind w:left="3310" w:hanging="360"/>
      </w:pPr>
      <w:rPr>
        <w:rFonts w:ascii="Symbol" w:hAnsi="Symbol" w:hint="default"/>
      </w:rPr>
    </w:lvl>
    <w:lvl w:ilvl="4" w:tplc="041A0003" w:tentative="1">
      <w:start w:val="1"/>
      <w:numFmt w:val="bullet"/>
      <w:lvlText w:val="o"/>
      <w:lvlJc w:val="left"/>
      <w:pPr>
        <w:ind w:left="4030" w:hanging="360"/>
      </w:pPr>
      <w:rPr>
        <w:rFonts w:ascii="Courier New" w:hAnsi="Courier New" w:cs="Courier New" w:hint="default"/>
      </w:rPr>
    </w:lvl>
    <w:lvl w:ilvl="5" w:tplc="041A0005" w:tentative="1">
      <w:start w:val="1"/>
      <w:numFmt w:val="bullet"/>
      <w:lvlText w:val=""/>
      <w:lvlJc w:val="left"/>
      <w:pPr>
        <w:ind w:left="4750" w:hanging="360"/>
      </w:pPr>
      <w:rPr>
        <w:rFonts w:ascii="Wingdings" w:hAnsi="Wingdings" w:hint="default"/>
      </w:rPr>
    </w:lvl>
    <w:lvl w:ilvl="6" w:tplc="041A0001" w:tentative="1">
      <w:start w:val="1"/>
      <w:numFmt w:val="bullet"/>
      <w:lvlText w:val=""/>
      <w:lvlJc w:val="left"/>
      <w:pPr>
        <w:ind w:left="5470" w:hanging="360"/>
      </w:pPr>
      <w:rPr>
        <w:rFonts w:ascii="Symbol" w:hAnsi="Symbol" w:hint="default"/>
      </w:rPr>
    </w:lvl>
    <w:lvl w:ilvl="7" w:tplc="041A0003" w:tentative="1">
      <w:start w:val="1"/>
      <w:numFmt w:val="bullet"/>
      <w:lvlText w:val="o"/>
      <w:lvlJc w:val="left"/>
      <w:pPr>
        <w:ind w:left="6190" w:hanging="360"/>
      </w:pPr>
      <w:rPr>
        <w:rFonts w:ascii="Courier New" w:hAnsi="Courier New" w:cs="Courier New" w:hint="default"/>
      </w:rPr>
    </w:lvl>
    <w:lvl w:ilvl="8" w:tplc="041A0005" w:tentative="1">
      <w:start w:val="1"/>
      <w:numFmt w:val="bullet"/>
      <w:lvlText w:val=""/>
      <w:lvlJc w:val="left"/>
      <w:pPr>
        <w:ind w:left="6910" w:hanging="360"/>
      </w:pPr>
      <w:rPr>
        <w:rFonts w:ascii="Wingdings" w:hAnsi="Wingdings" w:hint="default"/>
      </w:rPr>
    </w:lvl>
  </w:abstractNum>
  <w:abstractNum w:abstractNumId="52" w15:restartNumberingAfterBreak="0">
    <w:nsid w:val="4FEC539C"/>
    <w:multiLevelType w:val="hybridMultilevel"/>
    <w:tmpl w:val="A594A5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0CD00DD"/>
    <w:multiLevelType w:val="hybridMultilevel"/>
    <w:tmpl w:val="83EC6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1E86F4C"/>
    <w:multiLevelType w:val="hybridMultilevel"/>
    <w:tmpl w:val="4D12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5A13"/>
    <w:multiLevelType w:val="hybridMultilevel"/>
    <w:tmpl w:val="B04E1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3C61DFE"/>
    <w:multiLevelType w:val="hybridMultilevel"/>
    <w:tmpl w:val="0DB2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702292"/>
    <w:multiLevelType w:val="hybridMultilevel"/>
    <w:tmpl w:val="CD00F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52C4483"/>
    <w:multiLevelType w:val="hybridMultilevel"/>
    <w:tmpl w:val="2C729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559045D"/>
    <w:multiLevelType w:val="hybridMultilevel"/>
    <w:tmpl w:val="0D0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6C094B"/>
    <w:multiLevelType w:val="hybridMultilevel"/>
    <w:tmpl w:val="5DCAA22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77C6EEF"/>
    <w:multiLevelType w:val="hybridMultilevel"/>
    <w:tmpl w:val="4D066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8515671"/>
    <w:multiLevelType w:val="hybridMultilevel"/>
    <w:tmpl w:val="DF4A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8D5381"/>
    <w:multiLevelType w:val="hybridMultilevel"/>
    <w:tmpl w:val="97DC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922529"/>
    <w:multiLevelType w:val="hybridMultilevel"/>
    <w:tmpl w:val="AEDE01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9625F66"/>
    <w:multiLevelType w:val="hybridMultilevel"/>
    <w:tmpl w:val="F014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8718DA"/>
    <w:multiLevelType w:val="hybridMultilevel"/>
    <w:tmpl w:val="4A309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BFC1077"/>
    <w:multiLevelType w:val="hybridMultilevel"/>
    <w:tmpl w:val="89785E9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8" w15:restartNumberingAfterBreak="0">
    <w:nsid w:val="5C363B99"/>
    <w:multiLevelType w:val="multilevel"/>
    <w:tmpl w:val="041A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69" w15:restartNumberingAfterBreak="0">
    <w:nsid w:val="5C796383"/>
    <w:multiLevelType w:val="hybridMultilevel"/>
    <w:tmpl w:val="EE722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0FE4A59"/>
    <w:multiLevelType w:val="hybridMultilevel"/>
    <w:tmpl w:val="072441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1217D44"/>
    <w:multiLevelType w:val="hybridMultilevel"/>
    <w:tmpl w:val="DC6224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64557043"/>
    <w:multiLevelType w:val="hybridMultilevel"/>
    <w:tmpl w:val="02F23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5443CB1"/>
    <w:multiLevelType w:val="hybridMultilevel"/>
    <w:tmpl w:val="1D049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6D13F21"/>
    <w:multiLevelType w:val="hybridMultilevel"/>
    <w:tmpl w:val="2A86E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6FC1567"/>
    <w:multiLevelType w:val="hybridMultilevel"/>
    <w:tmpl w:val="68CCB3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8D91D84"/>
    <w:multiLevelType w:val="hybridMultilevel"/>
    <w:tmpl w:val="22160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95813CF"/>
    <w:multiLevelType w:val="hybridMultilevel"/>
    <w:tmpl w:val="10BA2AEC"/>
    <w:lvl w:ilvl="0" w:tplc="48987744">
      <w:start w:val="1"/>
      <w:numFmt w:val="lowerLetter"/>
      <w:pStyle w:val="Heading4"/>
      <w:lvlText w:val="%1."/>
      <w:lvlJc w:val="righ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2C6C3B"/>
    <w:multiLevelType w:val="hybridMultilevel"/>
    <w:tmpl w:val="DDF0F4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15:restartNumberingAfterBreak="0">
    <w:nsid w:val="700E2591"/>
    <w:multiLevelType w:val="multilevel"/>
    <w:tmpl w:val="EA36A47A"/>
    <w:styleLink w:val="WWOutlineListStyle4"/>
    <w:lvl w:ilvl="0">
      <w:start w:val="1"/>
      <w:numFmt w:val="decimal"/>
      <w:lvlText w:val="%1."/>
      <w:lvlJc w:val="left"/>
      <w:pPr>
        <w:ind w:left="284" w:hanging="284"/>
      </w:pPr>
      <w:rPr>
        <w:rFonts w:cs="Times New Roman"/>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84" w:hanging="284"/>
      </w:pPr>
      <w:rPr>
        <w:rFonts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none"/>
      <w:lvlText w:val="%6"/>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80" w15:restartNumberingAfterBreak="0">
    <w:nsid w:val="70A130C0"/>
    <w:multiLevelType w:val="hybridMultilevel"/>
    <w:tmpl w:val="82DCCA18"/>
    <w:lvl w:ilvl="0" w:tplc="037638C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4A62C4"/>
    <w:multiLevelType w:val="hybridMultilevel"/>
    <w:tmpl w:val="317237C0"/>
    <w:lvl w:ilvl="0" w:tplc="098EE6BA">
      <w:start w:val="1"/>
      <w:numFmt w:val="bullet"/>
      <w:lvlText w:val=""/>
      <w:lvlJc w:val="left"/>
      <w:pPr>
        <w:ind w:left="493" w:hanging="360"/>
      </w:pPr>
      <w:rPr>
        <w:rFonts w:ascii="Wingdings" w:eastAsia="Calibri" w:hAnsi="Wingdings" w:cstheme="minorHAnsi"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82" w15:restartNumberingAfterBreak="0">
    <w:nsid w:val="73026E3A"/>
    <w:multiLevelType w:val="hybridMultilevel"/>
    <w:tmpl w:val="CD50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1534B1"/>
    <w:multiLevelType w:val="hybridMultilevel"/>
    <w:tmpl w:val="4896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BA666C"/>
    <w:multiLevelType w:val="hybridMultilevel"/>
    <w:tmpl w:val="28AA4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4A0780D"/>
    <w:multiLevelType w:val="hybridMultilevel"/>
    <w:tmpl w:val="C6EE0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4A65F95"/>
    <w:multiLevelType w:val="hybridMultilevel"/>
    <w:tmpl w:val="347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7E5309"/>
    <w:multiLevelType w:val="hybridMultilevel"/>
    <w:tmpl w:val="A1C46CCC"/>
    <w:lvl w:ilvl="0" w:tplc="0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98532C8"/>
    <w:multiLevelType w:val="multilevel"/>
    <w:tmpl w:val="07FCAAC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ascii="Calibri" w:hAnsi="Calibri"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A91913"/>
    <w:multiLevelType w:val="hybridMultilevel"/>
    <w:tmpl w:val="3400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4B60A7"/>
    <w:multiLevelType w:val="hybridMultilevel"/>
    <w:tmpl w:val="88BAF1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1" w15:restartNumberingAfterBreak="0">
    <w:nsid w:val="7B2A479C"/>
    <w:multiLevelType w:val="hybridMultilevel"/>
    <w:tmpl w:val="D586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A00C66"/>
    <w:multiLevelType w:val="hybridMultilevel"/>
    <w:tmpl w:val="A4609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3" w15:restartNumberingAfterBreak="0">
    <w:nsid w:val="7C924DA6"/>
    <w:multiLevelType w:val="hybridMultilevel"/>
    <w:tmpl w:val="23FA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9959CA"/>
    <w:multiLevelType w:val="hybridMultilevel"/>
    <w:tmpl w:val="DE66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18"/>
  </w:num>
  <w:num w:numId="3">
    <w:abstractNumId w:val="74"/>
  </w:num>
  <w:num w:numId="4">
    <w:abstractNumId w:val="50"/>
  </w:num>
  <w:num w:numId="5">
    <w:abstractNumId w:val="19"/>
  </w:num>
  <w:num w:numId="6">
    <w:abstractNumId w:val="5"/>
  </w:num>
  <w:num w:numId="7">
    <w:abstractNumId w:val="37"/>
  </w:num>
  <w:num w:numId="8">
    <w:abstractNumId w:val="85"/>
  </w:num>
  <w:num w:numId="9">
    <w:abstractNumId w:val="58"/>
  </w:num>
  <w:num w:numId="10">
    <w:abstractNumId w:val="76"/>
  </w:num>
  <w:num w:numId="11">
    <w:abstractNumId w:val="48"/>
  </w:num>
  <w:num w:numId="12">
    <w:abstractNumId w:val="55"/>
  </w:num>
  <w:num w:numId="13">
    <w:abstractNumId w:val="94"/>
  </w:num>
  <w:num w:numId="14">
    <w:abstractNumId w:val="7"/>
  </w:num>
  <w:num w:numId="15">
    <w:abstractNumId w:val="83"/>
  </w:num>
  <w:num w:numId="16">
    <w:abstractNumId w:val="35"/>
  </w:num>
  <w:num w:numId="17">
    <w:abstractNumId w:val="13"/>
  </w:num>
  <w:num w:numId="18">
    <w:abstractNumId w:val="82"/>
  </w:num>
  <w:num w:numId="19">
    <w:abstractNumId w:val="44"/>
  </w:num>
  <w:num w:numId="20">
    <w:abstractNumId w:val="54"/>
  </w:num>
  <w:num w:numId="21">
    <w:abstractNumId w:val="41"/>
  </w:num>
  <w:num w:numId="22">
    <w:abstractNumId w:val="27"/>
  </w:num>
  <w:num w:numId="23">
    <w:abstractNumId w:val="16"/>
  </w:num>
  <w:num w:numId="24">
    <w:abstractNumId w:val="72"/>
  </w:num>
  <w:num w:numId="25">
    <w:abstractNumId w:val="49"/>
  </w:num>
  <w:num w:numId="26">
    <w:abstractNumId w:val="69"/>
  </w:num>
  <w:num w:numId="27">
    <w:abstractNumId w:val="28"/>
  </w:num>
  <w:num w:numId="28">
    <w:abstractNumId w:val="32"/>
  </w:num>
  <w:num w:numId="29">
    <w:abstractNumId w:val="64"/>
  </w:num>
  <w:num w:numId="30">
    <w:abstractNumId w:val="4"/>
  </w:num>
  <w:num w:numId="31">
    <w:abstractNumId w:val="22"/>
  </w:num>
  <w:num w:numId="32">
    <w:abstractNumId w:val="11"/>
  </w:num>
  <w:num w:numId="33">
    <w:abstractNumId w:val="45"/>
  </w:num>
  <w:num w:numId="34">
    <w:abstractNumId w:val="51"/>
  </w:num>
  <w:num w:numId="35">
    <w:abstractNumId w:val="30"/>
  </w:num>
  <w:num w:numId="36">
    <w:abstractNumId w:val="12"/>
  </w:num>
  <w:num w:numId="37">
    <w:abstractNumId w:val="80"/>
  </w:num>
  <w:num w:numId="38">
    <w:abstractNumId w:val="93"/>
  </w:num>
  <w:num w:numId="39">
    <w:abstractNumId w:val="66"/>
  </w:num>
  <w:num w:numId="40">
    <w:abstractNumId w:val="61"/>
  </w:num>
  <w:num w:numId="41">
    <w:abstractNumId w:val="79"/>
  </w:num>
  <w:num w:numId="42">
    <w:abstractNumId w:val="65"/>
  </w:num>
  <w:num w:numId="43">
    <w:abstractNumId w:val="86"/>
  </w:num>
  <w:num w:numId="44">
    <w:abstractNumId w:val="20"/>
  </w:num>
  <w:num w:numId="45">
    <w:abstractNumId w:val="15"/>
  </w:num>
  <w:num w:numId="46">
    <w:abstractNumId w:val="92"/>
  </w:num>
  <w:num w:numId="47">
    <w:abstractNumId w:val="1"/>
  </w:num>
  <w:num w:numId="48">
    <w:abstractNumId w:val="60"/>
  </w:num>
  <w:num w:numId="49">
    <w:abstractNumId w:val="43"/>
  </w:num>
  <w:num w:numId="50">
    <w:abstractNumId w:val="67"/>
  </w:num>
  <w:num w:numId="51">
    <w:abstractNumId w:val="29"/>
  </w:num>
  <w:num w:numId="52">
    <w:abstractNumId w:val="91"/>
  </w:num>
  <w:num w:numId="53">
    <w:abstractNumId w:val="56"/>
  </w:num>
  <w:num w:numId="54">
    <w:abstractNumId w:val="3"/>
  </w:num>
  <w:num w:numId="55">
    <w:abstractNumId w:val="9"/>
  </w:num>
  <w:num w:numId="56">
    <w:abstractNumId w:val="34"/>
  </w:num>
  <w:num w:numId="57">
    <w:abstractNumId w:val="78"/>
  </w:num>
  <w:num w:numId="58">
    <w:abstractNumId w:val="71"/>
  </w:num>
  <w:num w:numId="59">
    <w:abstractNumId w:val="38"/>
  </w:num>
  <w:num w:numId="60">
    <w:abstractNumId w:val="70"/>
  </w:num>
  <w:num w:numId="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 w:numId="63">
    <w:abstractNumId w:val="47"/>
  </w:num>
  <w:num w:numId="64">
    <w:abstractNumId w:val="88"/>
    <w:lvlOverride w:ilvl="0"/>
    <w:lvlOverride w:ilvl="1">
      <w:startOverride w:val="5"/>
    </w:lvlOverride>
    <w:lvlOverride w:ilvl="2"/>
    <w:lvlOverride w:ilvl="3"/>
    <w:lvlOverride w:ilvl="4"/>
    <w:lvlOverride w:ilvl="5"/>
    <w:lvlOverride w:ilvl="6"/>
    <w:lvlOverride w:ilvl="7"/>
    <w:lvlOverride w:ilvl="8"/>
  </w:num>
  <w:num w:numId="65">
    <w:abstractNumId w:val="84"/>
  </w:num>
  <w:num w:numId="66">
    <w:abstractNumId w:val="26"/>
  </w:num>
  <w:num w:numId="67">
    <w:abstractNumId w:val="23"/>
  </w:num>
  <w:num w:numId="68">
    <w:abstractNumId w:val="75"/>
  </w:num>
  <w:num w:numId="69">
    <w:abstractNumId w:val="57"/>
  </w:num>
  <w:num w:numId="70">
    <w:abstractNumId w:val="73"/>
  </w:num>
  <w:num w:numId="71">
    <w:abstractNumId w:val="10"/>
  </w:num>
  <w:num w:numId="72">
    <w:abstractNumId w:val="36"/>
  </w:num>
  <w:num w:numId="73">
    <w:abstractNumId w:val="24"/>
  </w:num>
  <w:num w:numId="74">
    <w:abstractNumId w:val="68"/>
  </w:num>
  <w:num w:numId="75">
    <w:abstractNumId w:val="39"/>
  </w:num>
  <w:num w:numId="76">
    <w:abstractNumId w:val="6"/>
  </w:num>
  <w:num w:numId="77">
    <w:abstractNumId w:val="17"/>
  </w:num>
  <w:num w:numId="78">
    <w:abstractNumId w:val="21"/>
  </w:num>
  <w:num w:numId="79">
    <w:abstractNumId w:val="33"/>
  </w:num>
  <w:num w:numId="80">
    <w:abstractNumId w:val="59"/>
  </w:num>
  <w:num w:numId="81">
    <w:abstractNumId w:val="14"/>
  </w:num>
  <w:num w:numId="82">
    <w:abstractNumId w:val="89"/>
  </w:num>
  <w:num w:numId="83">
    <w:abstractNumId w:val="2"/>
  </w:num>
  <w:num w:numId="84">
    <w:abstractNumId w:val="25"/>
  </w:num>
  <w:num w:numId="85">
    <w:abstractNumId w:val="77"/>
  </w:num>
  <w:num w:numId="86">
    <w:abstractNumId w:val="77"/>
    <w:lvlOverride w:ilvl="0">
      <w:startOverride w:val="1"/>
    </w:lvlOverride>
  </w:num>
  <w:num w:numId="87">
    <w:abstractNumId w:val="63"/>
  </w:num>
  <w:num w:numId="88">
    <w:abstractNumId w:val="81"/>
  </w:num>
  <w:num w:numId="89">
    <w:abstractNumId w:val="62"/>
  </w:num>
  <w:num w:numId="90">
    <w:abstractNumId w:val="0"/>
  </w:num>
  <w:num w:numId="91">
    <w:abstractNumId w:val="39"/>
  </w:num>
  <w:num w:numId="92">
    <w:abstractNumId w:val="77"/>
    <w:lvlOverride w:ilvl="0">
      <w:startOverride w:val="1"/>
    </w:lvlOverride>
  </w:num>
  <w:num w:numId="93">
    <w:abstractNumId w:val="42"/>
  </w:num>
  <w:num w:numId="94">
    <w:abstractNumId w:val="87"/>
  </w:num>
  <w:num w:numId="95">
    <w:abstractNumId w:val="31"/>
  </w:num>
  <w:num w:numId="96">
    <w:abstractNumId w:val="53"/>
  </w:num>
  <w:num w:numId="97">
    <w:abstractNumId w:val="46"/>
  </w:num>
  <w:num w:numId="98">
    <w:abstractNumId w:val="9"/>
  </w:num>
  <w:num w:numId="99">
    <w:abstractNumId w:va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2sTQzN7A0tTQ3tTBS0lEKTi0uzszPAykwrAUAu8X0/SwAAAA="/>
  </w:docVars>
  <w:rsids>
    <w:rsidRoot w:val="00F5048A"/>
    <w:rsid w:val="00010637"/>
    <w:rsid w:val="00020FF9"/>
    <w:rsid w:val="00021A2B"/>
    <w:rsid w:val="00022605"/>
    <w:rsid w:val="00023777"/>
    <w:rsid w:val="00023FD6"/>
    <w:rsid w:val="00035704"/>
    <w:rsid w:val="00036175"/>
    <w:rsid w:val="00036FA7"/>
    <w:rsid w:val="00037AA6"/>
    <w:rsid w:val="000430FE"/>
    <w:rsid w:val="000443DF"/>
    <w:rsid w:val="00045442"/>
    <w:rsid w:val="000509A0"/>
    <w:rsid w:val="00052164"/>
    <w:rsid w:val="00053E51"/>
    <w:rsid w:val="0006181C"/>
    <w:rsid w:val="000623D7"/>
    <w:rsid w:val="00062F46"/>
    <w:rsid w:val="000634C4"/>
    <w:rsid w:val="00067E6B"/>
    <w:rsid w:val="00067F29"/>
    <w:rsid w:val="000753C5"/>
    <w:rsid w:val="000778B0"/>
    <w:rsid w:val="00080D1B"/>
    <w:rsid w:val="00083688"/>
    <w:rsid w:val="000945EF"/>
    <w:rsid w:val="000A1B42"/>
    <w:rsid w:val="000A1B7A"/>
    <w:rsid w:val="000A33A6"/>
    <w:rsid w:val="000A6BDA"/>
    <w:rsid w:val="000A75A1"/>
    <w:rsid w:val="000B08E3"/>
    <w:rsid w:val="000B33C1"/>
    <w:rsid w:val="000B599B"/>
    <w:rsid w:val="000C2396"/>
    <w:rsid w:val="000C264C"/>
    <w:rsid w:val="000C2BBB"/>
    <w:rsid w:val="000C4B6A"/>
    <w:rsid w:val="000C5BD7"/>
    <w:rsid w:val="000D0BFD"/>
    <w:rsid w:val="000D3DE0"/>
    <w:rsid w:val="000D58DB"/>
    <w:rsid w:val="000E1C0B"/>
    <w:rsid w:val="000E28D5"/>
    <w:rsid w:val="000E58E2"/>
    <w:rsid w:val="000E70E0"/>
    <w:rsid w:val="000E7303"/>
    <w:rsid w:val="000F19B4"/>
    <w:rsid w:val="000F60B7"/>
    <w:rsid w:val="000F7E06"/>
    <w:rsid w:val="00101113"/>
    <w:rsid w:val="00103342"/>
    <w:rsid w:val="001054EB"/>
    <w:rsid w:val="00107C18"/>
    <w:rsid w:val="00110B39"/>
    <w:rsid w:val="001125C4"/>
    <w:rsid w:val="00112DE3"/>
    <w:rsid w:val="0011454E"/>
    <w:rsid w:val="001153B7"/>
    <w:rsid w:val="00117511"/>
    <w:rsid w:val="00120783"/>
    <w:rsid w:val="00120EAA"/>
    <w:rsid w:val="00122E13"/>
    <w:rsid w:val="0012408D"/>
    <w:rsid w:val="0012492C"/>
    <w:rsid w:val="0013457F"/>
    <w:rsid w:val="00134738"/>
    <w:rsid w:val="0013716F"/>
    <w:rsid w:val="0014082E"/>
    <w:rsid w:val="0014294F"/>
    <w:rsid w:val="00146A79"/>
    <w:rsid w:val="001511CD"/>
    <w:rsid w:val="0015160C"/>
    <w:rsid w:val="00153C0D"/>
    <w:rsid w:val="00161D82"/>
    <w:rsid w:val="0016227F"/>
    <w:rsid w:val="00163F0F"/>
    <w:rsid w:val="001770D7"/>
    <w:rsid w:val="0018120D"/>
    <w:rsid w:val="001837FE"/>
    <w:rsid w:val="00183DC0"/>
    <w:rsid w:val="0018428C"/>
    <w:rsid w:val="0018765E"/>
    <w:rsid w:val="001933B0"/>
    <w:rsid w:val="0019556A"/>
    <w:rsid w:val="001A38F5"/>
    <w:rsid w:val="001B06A5"/>
    <w:rsid w:val="001B75A1"/>
    <w:rsid w:val="001C2298"/>
    <w:rsid w:val="001C4DCD"/>
    <w:rsid w:val="001C766B"/>
    <w:rsid w:val="001D03F0"/>
    <w:rsid w:val="001D5B6A"/>
    <w:rsid w:val="001D7233"/>
    <w:rsid w:val="001D779A"/>
    <w:rsid w:val="001E1DB2"/>
    <w:rsid w:val="001E4217"/>
    <w:rsid w:val="001E5860"/>
    <w:rsid w:val="001E5C0A"/>
    <w:rsid w:val="001F5FD2"/>
    <w:rsid w:val="001F73E5"/>
    <w:rsid w:val="00200B9A"/>
    <w:rsid w:val="002030A3"/>
    <w:rsid w:val="00211039"/>
    <w:rsid w:val="00212487"/>
    <w:rsid w:val="00212EA7"/>
    <w:rsid w:val="002132C9"/>
    <w:rsid w:val="0021475D"/>
    <w:rsid w:val="002221D7"/>
    <w:rsid w:val="002262A8"/>
    <w:rsid w:val="00226741"/>
    <w:rsid w:val="00226E74"/>
    <w:rsid w:val="00230E36"/>
    <w:rsid w:val="00232FF0"/>
    <w:rsid w:val="00233428"/>
    <w:rsid w:val="00244D74"/>
    <w:rsid w:val="00247B86"/>
    <w:rsid w:val="002500C9"/>
    <w:rsid w:val="00250413"/>
    <w:rsid w:val="002517C7"/>
    <w:rsid w:val="00254589"/>
    <w:rsid w:val="00254F59"/>
    <w:rsid w:val="00256FE9"/>
    <w:rsid w:val="00264A3C"/>
    <w:rsid w:val="00267844"/>
    <w:rsid w:val="00267D1B"/>
    <w:rsid w:val="00271FE8"/>
    <w:rsid w:val="00272584"/>
    <w:rsid w:val="00274E8B"/>
    <w:rsid w:val="00276E3E"/>
    <w:rsid w:val="002779D4"/>
    <w:rsid w:val="0028740E"/>
    <w:rsid w:val="0029010A"/>
    <w:rsid w:val="002907A0"/>
    <w:rsid w:val="00291324"/>
    <w:rsid w:val="00291846"/>
    <w:rsid w:val="00291DF5"/>
    <w:rsid w:val="002949D8"/>
    <w:rsid w:val="00294B77"/>
    <w:rsid w:val="002A001A"/>
    <w:rsid w:val="002A30CD"/>
    <w:rsid w:val="002A34E4"/>
    <w:rsid w:val="002A5362"/>
    <w:rsid w:val="002A5FC3"/>
    <w:rsid w:val="002B0636"/>
    <w:rsid w:val="002B06B8"/>
    <w:rsid w:val="002B1678"/>
    <w:rsid w:val="002B40F2"/>
    <w:rsid w:val="002B456B"/>
    <w:rsid w:val="002B5FF4"/>
    <w:rsid w:val="002C080F"/>
    <w:rsid w:val="002C0D90"/>
    <w:rsid w:val="002C1838"/>
    <w:rsid w:val="002C18F8"/>
    <w:rsid w:val="002C284C"/>
    <w:rsid w:val="002C432C"/>
    <w:rsid w:val="002C4475"/>
    <w:rsid w:val="002C4EFA"/>
    <w:rsid w:val="002C6305"/>
    <w:rsid w:val="002C6B48"/>
    <w:rsid w:val="002C746F"/>
    <w:rsid w:val="002D098F"/>
    <w:rsid w:val="002D10B4"/>
    <w:rsid w:val="002D11E5"/>
    <w:rsid w:val="002D1807"/>
    <w:rsid w:val="002D20B5"/>
    <w:rsid w:val="002D2509"/>
    <w:rsid w:val="002D9915"/>
    <w:rsid w:val="002E3C28"/>
    <w:rsid w:val="002E5F19"/>
    <w:rsid w:val="002F0512"/>
    <w:rsid w:val="002F5C94"/>
    <w:rsid w:val="002F6682"/>
    <w:rsid w:val="00301C46"/>
    <w:rsid w:val="003028D1"/>
    <w:rsid w:val="003032E1"/>
    <w:rsid w:val="00304EAE"/>
    <w:rsid w:val="003058EE"/>
    <w:rsid w:val="00306F99"/>
    <w:rsid w:val="00307A39"/>
    <w:rsid w:val="00310AA0"/>
    <w:rsid w:val="00312C0F"/>
    <w:rsid w:val="003143A4"/>
    <w:rsid w:val="00315275"/>
    <w:rsid w:val="00316500"/>
    <w:rsid w:val="00322ACF"/>
    <w:rsid w:val="00322C65"/>
    <w:rsid w:val="003259A2"/>
    <w:rsid w:val="00327CB2"/>
    <w:rsid w:val="003325DD"/>
    <w:rsid w:val="003328B4"/>
    <w:rsid w:val="00333D7D"/>
    <w:rsid w:val="00333EAA"/>
    <w:rsid w:val="0033680B"/>
    <w:rsid w:val="003404B4"/>
    <w:rsid w:val="00341303"/>
    <w:rsid w:val="00343A48"/>
    <w:rsid w:val="00351144"/>
    <w:rsid w:val="00356F20"/>
    <w:rsid w:val="003607E0"/>
    <w:rsid w:val="0036178A"/>
    <w:rsid w:val="0037035E"/>
    <w:rsid w:val="00372485"/>
    <w:rsid w:val="00372C26"/>
    <w:rsid w:val="00375732"/>
    <w:rsid w:val="003758FA"/>
    <w:rsid w:val="003777EC"/>
    <w:rsid w:val="00382F79"/>
    <w:rsid w:val="003847C4"/>
    <w:rsid w:val="00386A47"/>
    <w:rsid w:val="00386F0D"/>
    <w:rsid w:val="00390876"/>
    <w:rsid w:val="00395BD4"/>
    <w:rsid w:val="003A1644"/>
    <w:rsid w:val="003A3AFF"/>
    <w:rsid w:val="003A57C2"/>
    <w:rsid w:val="003A62BF"/>
    <w:rsid w:val="003A6CC3"/>
    <w:rsid w:val="003B1B86"/>
    <w:rsid w:val="003B2149"/>
    <w:rsid w:val="003B2938"/>
    <w:rsid w:val="003B2CAC"/>
    <w:rsid w:val="003C038D"/>
    <w:rsid w:val="003C12C5"/>
    <w:rsid w:val="003C22D7"/>
    <w:rsid w:val="003D2B09"/>
    <w:rsid w:val="003D2CE8"/>
    <w:rsid w:val="003D2F73"/>
    <w:rsid w:val="003D533C"/>
    <w:rsid w:val="003E0AEA"/>
    <w:rsid w:val="003E4C64"/>
    <w:rsid w:val="003E50D1"/>
    <w:rsid w:val="003E68A6"/>
    <w:rsid w:val="003F0783"/>
    <w:rsid w:val="003F4F07"/>
    <w:rsid w:val="003F62E7"/>
    <w:rsid w:val="003F6FAD"/>
    <w:rsid w:val="003F7413"/>
    <w:rsid w:val="00400308"/>
    <w:rsid w:val="00400884"/>
    <w:rsid w:val="00402663"/>
    <w:rsid w:val="004116DF"/>
    <w:rsid w:val="004123B8"/>
    <w:rsid w:val="00414E2A"/>
    <w:rsid w:val="004158CA"/>
    <w:rsid w:val="0041643E"/>
    <w:rsid w:val="00417E90"/>
    <w:rsid w:val="00425A8B"/>
    <w:rsid w:val="00427429"/>
    <w:rsid w:val="00427D89"/>
    <w:rsid w:val="004320F6"/>
    <w:rsid w:val="00432971"/>
    <w:rsid w:val="00433244"/>
    <w:rsid w:val="00437711"/>
    <w:rsid w:val="00437DDE"/>
    <w:rsid w:val="004445B6"/>
    <w:rsid w:val="00444762"/>
    <w:rsid w:val="00445D1F"/>
    <w:rsid w:val="00446A7D"/>
    <w:rsid w:val="00453874"/>
    <w:rsid w:val="00454044"/>
    <w:rsid w:val="00455211"/>
    <w:rsid w:val="0045560E"/>
    <w:rsid w:val="004562E3"/>
    <w:rsid w:val="004613F1"/>
    <w:rsid w:val="00461774"/>
    <w:rsid w:val="00462231"/>
    <w:rsid w:val="00463D9D"/>
    <w:rsid w:val="004643AC"/>
    <w:rsid w:val="00465921"/>
    <w:rsid w:val="00471872"/>
    <w:rsid w:val="00482C0D"/>
    <w:rsid w:val="00483585"/>
    <w:rsid w:val="00486F21"/>
    <w:rsid w:val="00491AE0"/>
    <w:rsid w:val="004942A7"/>
    <w:rsid w:val="00494D06"/>
    <w:rsid w:val="00497C5E"/>
    <w:rsid w:val="004A44F6"/>
    <w:rsid w:val="004A5A1A"/>
    <w:rsid w:val="004A7E57"/>
    <w:rsid w:val="004B0F9A"/>
    <w:rsid w:val="004B3086"/>
    <w:rsid w:val="004B46B9"/>
    <w:rsid w:val="004C08E6"/>
    <w:rsid w:val="004C35A4"/>
    <w:rsid w:val="004C36BE"/>
    <w:rsid w:val="004D4288"/>
    <w:rsid w:val="004D67FA"/>
    <w:rsid w:val="004D70E6"/>
    <w:rsid w:val="004D7716"/>
    <w:rsid w:val="004D773A"/>
    <w:rsid w:val="004E3846"/>
    <w:rsid w:val="004F29EA"/>
    <w:rsid w:val="004F52CF"/>
    <w:rsid w:val="004F6D18"/>
    <w:rsid w:val="004F7AFB"/>
    <w:rsid w:val="00500B43"/>
    <w:rsid w:val="00501944"/>
    <w:rsid w:val="005032EF"/>
    <w:rsid w:val="00503C38"/>
    <w:rsid w:val="005063CE"/>
    <w:rsid w:val="00507B8A"/>
    <w:rsid w:val="00513B12"/>
    <w:rsid w:val="0051709B"/>
    <w:rsid w:val="00522500"/>
    <w:rsid w:val="00523A61"/>
    <w:rsid w:val="00525AE9"/>
    <w:rsid w:val="00530DCA"/>
    <w:rsid w:val="00532678"/>
    <w:rsid w:val="0053512D"/>
    <w:rsid w:val="00543180"/>
    <w:rsid w:val="00544C30"/>
    <w:rsid w:val="00547CC4"/>
    <w:rsid w:val="00554AA8"/>
    <w:rsid w:val="005550EA"/>
    <w:rsid w:val="00565424"/>
    <w:rsid w:val="00572505"/>
    <w:rsid w:val="00574699"/>
    <w:rsid w:val="00575A6C"/>
    <w:rsid w:val="0058071B"/>
    <w:rsid w:val="005808FC"/>
    <w:rsid w:val="00584371"/>
    <w:rsid w:val="00586AB1"/>
    <w:rsid w:val="00594529"/>
    <w:rsid w:val="005A2F2B"/>
    <w:rsid w:val="005B1C4F"/>
    <w:rsid w:val="005B27F8"/>
    <w:rsid w:val="005B442A"/>
    <w:rsid w:val="005B653C"/>
    <w:rsid w:val="005C1A61"/>
    <w:rsid w:val="005C1D72"/>
    <w:rsid w:val="005D1E18"/>
    <w:rsid w:val="005D2907"/>
    <w:rsid w:val="005E21BF"/>
    <w:rsid w:val="005E2236"/>
    <w:rsid w:val="005E2CFE"/>
    <w:rsid w:val="005E3E96"/>
    <w:rsid w:val="005E51BD"/>
    <w:rsid w:val="005E5C9B"/>
    <w:rsid w:val="005F141F"/>
    <w:rsid w:val="005F44CC"/>
    <w:rsid w:val="005F4C9A"/>
    <w:rsid w:val="005F5283"/>
    <w:rsid w:val="00601D46"/>
    <w:rsid w:val="006041E3"/>
    <w:rsid w:val="00612797"/>
    <w:rsid w:val="00612F5E"/>
    <w:rsid w:val="0061313F"/>
    <w:rsid w:val="00613A2B"/>
    <w:rsid w:val="00622850"/>
    <w:rsid w:val="00623574"/>
    <w:rsid w:val="00625F4C"/>
    <w:rsid w:val="0062783C"/>
    <w:rsid w:val="00636990"/>
    <w:rsid w:val="00640545"/>
    <w:rsid w:val="006409AE"/>
    <w:rsid w:val="0064403C"/>
    <w:rsid w:val="0064466A"/>
    <w:rsid w:val="006452CA"/>
    <w:rsid w:val="00650E53"/>
    <w:rsid w:val="0065176E"/>
    <w:rsid w:val="00653ECA"/>
    <w:rsid w:val="0065450E"/>
    <w:rsid w:val="00654F4E"/>
    <w:rsid w:val="00655C65"/>
    <w:rsid w:val="006623D6"/>
    <w:rsid w:val="00663AFE"/>
    <w:rsid w:val="006655F9"/>
    <w:rsid w:val="00675AA7"/>
    <w:rsid w:val="00684A51"/>
    <w:rsid w:val="006851CB"/>
    <w:rsid w:val="0068595C"/>
    <w:rsid w:val="00691A69"/>
    <w:rsid w:val="00691C48"/>
    <w:rsid w:val="00693B4B"/>
    <w:rsid w:val="00694BF1"/>
    <w:rsid w:val="006A1F98"/>
    <w:rsid w:val="006A3F4A"/>
    <w:rsid w:val="006A4557"/>
    <w:rsid w:val="006B354D"/>
    <w:rsid w:val="006B6AC0"/>
    <w:rsid w:val="006C1D11"/>
    <w:rsid w:val="006C2F48"/>
    <w:rsid w:val="006C373F"/>
    <w:rsid w:val="006C43AD"/>
    <w:rsid w:val="006D11F4"/>
    <w:rsid w:val="006D4399"/>
    <w:rsid w:val="006D6646"/>
    <w:rsid w:val="006D77A6"/>
    <w:rsid w:val="006E0D9D"/>
    <w:rsid w:val="006E3FA2"/>
    <w:rsid w:val="006E5470"/>
    <w:rsid w:val="006E5D2E"/>
    <w:rsid w:val="006F376D"/>
    <w:rsid w:val="006F39EA"/>
    <w:rsid w:val="00700549"/>
    <w:rsid w:val="00700586"/>
    <w:rsid w:val="00702459"/>
    <w:rsid w:val="00703AA3"/>
    <w:rsid w:val="00703E34"/>
    <w:rsid w:val="007053EB"/>
    <w:rsid w:val="0070565A"/>
    <w:rsid w:val="00707D6C"/>
    <w:rsid w:val="007144E2"/>
    <w:rsid w:val="00721D00"/>
    <w:rsid w:val="00723278"/>
    <w:rsid w:val="007237FB"/>
    <w:rsid w:val="00726EB4"/>
    <w:rsid w:val="00727FD1"/>
    <w:rsid w:val="00732FEF"/>
    <w:rsid w:val="00733D09"/>
    <w:rsid w:val="007342AE"/>
    <w:rsid w:val="00734386"/>
    <w:rsid w:val="00734AC6"/>
    <w:rsid w:val="0074074B"/>
    <w:rsid w:val="007427C3"/>
    <w:rsid w:val="007477FE"/>
    <w:rsid w:val="00765F07"/>
    <w:rsid w:val="007702DE"/>
    <w:rsid w:val="00774C72"/>
    <w:rsid w:val="0077518B"/>
    <w:rsid w:val="007757A3"/>
    <w:rsid w:val="00786EA6"/>
    <w:rsid w:val="00792344"/>
    <w:rsid w:val="007944F2"/>
    <w:rsid w:val="0079477F"/>
    <w:rsid w:val="007A217F"/>
    <w:rsid w:val="007B2038"/>
    <w:rsid w:val="007B4625"/>
    <w:rsid w:val="007B642E"/>
    <w:rsid w:val="007C2CA5"/>
    <w:rsid w:val="007C3954"/>
    <w:rsid w:val="007D4533"/>
    <w:rsid w:val="007D5E3F"/>
    <w:rsid w:val="007E039E"/>
    <w:rsid w:val="007E0458"/>
    <w:rsid w:val="007E614C"/>
    <w:rsid w:val="007E7C47"/>
    <w:rsid w:val="007F2798"/>
    <w:rsid w:val="0080002F"/>
    <w:rsid w:val="00801856"/>
    <w:rsid w:val="0080326C"/>
    <w:rsid w:val="008072DF"/>
    <w:rsid w:val="00807C8F"/>
    <w:rsid w:val="00813897"/>
    <w:rsid w:val="008173A9"/>
    <w:rsid w:val="0082211F"/>
    <w:rsid w:val="00822DA8"/>
    <w:rsid w:val="008346F7"/>
    <w:rsid w:val="00837335"/>
    <w:rsid w:val="008379EC"/>
    <w:rsid w:val="008451FA"/>
    <w:rsid w:val="00847056"/>
    <w:rsid w:val="008505F5"/>
    <w:rsid w:val="008514FE"/>
    <w:rsid w:val="00851AFD"/>
    <w:rsid w:val="00853569"/>
    <w:rsid w:val="00864BE6"/>
    <w:rsid w:val="00866681"/>
    <w:rsid w:val="00882447"/>
    <w:rsid w:val="008828E2"/>
    <w:rsid w:val="00886940"/>
    <w:rsid w:val="00886BD0"/>
    <w:rsid w:val="00887BFC"/>
    <w:rsid w:val="0089101B"/>
    <w:rsid w:val="00892F6F"/>
    <w:rsid w:val="00895AD3"/>
    <w:rsid w:val="0089727F"/>
    <w:rsid w:val="008A5AB5"/>
    <w:rsid w:val="008A6983"/>
    <w:rsid w:val="008B0B06"/>
    <w:rsid w:val="008B0DE0"/>
    <w:rsid w:val="008B10C5"/>
    <w:rsid w:val="008B5153"/>
    <w:rsid w:val="008B51BA"/>
    <w:rsid w:val="008B5626"/>
    <w:rsid w:val="008C05F3"/>
    <w:rsid w:val="008C1BF1"/>
    <w:rsid w:val="008C6172"/>
    <w:rsid w:val="008D14E6"/>
    <w:rsid w:val="008D1ED6"/>
    <w:rsid w:val="008D217A"/>
    <w:rsid w:val="008D2FF8"/>
    <w:rsid w:val="008D3A56"/>
    <w:rsid w:val="008D6A6F"/>
    <w:rsid w:val="008D7712"/>
    <w:rsid w:val="008E14C6"/>
    <w:rsid w:val="008F1799"/>
    <w:rsid w:val="008F4D89"/>
    <w:rsid w:val="008F737B"/>
    <w:rsid w:val="008F7DC3"/>
    <w:rsid w:val="00900CA3"/>
    <w:rsid w:val="00900F36"/>
    <w:rsid w:val="00901A16"/>
    <w:rsid w:val="0090778A"/>
    <w:rsid w:val="00915D15"/>
    <w:rsid w:val="009211AD"/>
    <w:rsid w:val="00921FC0"/>
    <w:rsid w:val="00922031"/>
    <w:rsid w:val="00923DA2"/>
    <w:rsid w:val="0092412C"/>
    <w:rsid w:val="009245B1"/>
    <w:rsid w:val="00925238"/>
    <w:rsid w:val="0092661D"/>
    <w:rsid w:val="00934C90"/>
    <w:rsid w:val="00937EC4"/>
    <w:rsid w:val="00937FDA"/>
    <w:rsid w:val="00943072"/>
    <w:rsid w:val="00947586"/>
    <w:rsid w:val="009602F7"/>
    <w:rsid w:val="00961327"/>
    <w:rsid w:val="009645EF"/>
    <w:rsid w:val="00970B2B"/>
    <w:rsid w:val="00975CD4"/>
    <w:rsid w:val="0097791C"/>
    <w:rsid w:val="00977D5E"/>
    <w:rsid w:val="00982332"/>
    <w:rsid w:val="00984E60"/>
    <w:rsid w:val="00985065"/>
    <w:rsid w:val="00987C87"/>
    <w:rsid w:val="0099341F"/>
    <w:rsid w:val="0099487F"/>
    <w:rsid w:val="00996E2A"/>
    <w:rsid w:val="009A1DD4"/>
    <w:rsid w:val="009A473D"/>
    <w:rsid w:val="009B3458"/>
    <w:rsid w:val="009B5059"/>
    <w:rsid w:val="009C1ED7"/>
    <w:rsid w:val="009C3329"/>
    <w:rsid w:val="009C78CB"/>
    <w:rsid w:val="009D050A"/>
    <w:rsid w:val="009D0602"/>
    <w:rsid w:val="009D06E7"/>
    <w:rsid w:val="009D3F80"/>
    <w:rsid w:val="009D7FE1"/>
    <w:rsid w:val="009E23A7"/>
    <w:rsid w:val="009E635B"/>
    <w:rsid w:val="009E70C0"/>
    <w:rsid w:val="009F02D0"/>
    <w:rsid w:val="009F3ED1"/>
    <w:rsid w:val="009F4A95"/>
    <w:rsid w:val="00A012DE"/>
    <w:rsid w:val="00A04ACE"/>
    <w:rsid w:val="00A16FD7"/>
    <w:rsid w:val="00A21AB1"/>
    <w:rsid w:val="00A27331"/>
    <w:rsid w:val="00A3035B"/>
    <w:rsid w:val="00A30383"/>
    <w:rsid w:val="00A348F0"/>
    <w:rsid w:val="00A3506F"/>
    <w:rsid w:val="00A35C91"/>
    <w:rsid w:val="00A35C9E"/>
    <w:rsid w:val="00A371A4"/>
    <w:rsid w:val="00A37796"/>
    <w:rsid w:val="00A41EEF"/>
    <w:rsid w:val="00A47F71"/>
    <w:rsid w:val="00A50346"/>
    <w:rsid w:val="00A5055D"/>
    <w:rsid w:val="00A5359D"/>
    <w:rsid w:val="00A621CC"/>
    <w:rsid w:val="00A670F4"/>
    <w:rsid w:val="00A70704"/>
    <w:rsid w:val="00A70A9F"/>
    <w:rsid w:val="00A7388C"/>
    <w:rsid w:val="00A82C65"/>
    <w:rsid w:val="00A8747F"/>
    <w:rsid w:val="00A92735"/>
    <w:rsid w:val="00A93651"/>
    <w:rsid w:val="00A93E4F"/>
    <w:rsid w:val="00A94E06"/>
    <w:rsid w:val="00A96825"/>
    <w:rsid w:val="00AA3F2C"/>
    <w:rsid w:val="00AA4E0B"/>
    <w:rsid w:val="00AA56DD"/>
    <w:rsid w:val="00AA6D1C"/>
    <w:rsid w:val="00AA7BA3"/>
    <w:rsid w:val="00AB0685"/>
    <w:rsid w:val="00AB14C6"/>
    <w:rsid w:val="00AB1AAA"/>
    <w:rsid w:val="00AB2731"/>
    <w:rsid w:val="00AB684D"/>
    <w:rsid w:val="00AC057A"/>
    <w:rsid w:val="00AC4509"/>
    <w:rsid w:val="00AD14B4"/>
    <w:rsid w:val="00AD3393"/>
    <w:rsid w:val="00AD50CA"/>
    <w:rsid w:val="00AD5A4E"/>
    <w:rsid w:val="00AD773C"/>
    <w:rsid w:val="00AE074A"/>
    <w:rsid w:val="00AE1594"/>
    <w:rsid w:val="00AE5E1A"/>
    <w:rsid w:val="00AF0916"/>
    <w:rsid w:val="00AF18F9"/>
    <w:rsid w:val="00B01680"/>
    <w:rsid w:val="00B041B1"/>
    <w:rsid w:val="00B05473"/>
    <w:rsid w:val="00B055DF"/>
    <w:rsid w:val="00B06268"/>
    <w:rsid w:val="00B06748"/>
    <w:rsid w:val="00B11331"/>
    <w:rsid w:val="00B16275"/>
    <w:rsid w:val="00B17E67"/>
    <w:rsid w:val="00B227CC"/>
    <w:rsid w:val="00B25B9E"/>
    <w:rsid w:val="00B26936"/>
    <w:rsid w:val="00B2701B"/>
    <w:rsid w:val="00B27FC4"/>
    <w:rsid w:val="00B310D2"/>
    <w:rsid w:val="00B3188F"/>
    <w:rsid w:val="00B31F90"/>
    <w:rsid w:val="00B33B79"/>
    <w:rsid w:val="00B4185A"/>
    <w:rsid w:val="00B4445E"/>
    <w:rsid w:val="00B52D22"/>
    <w:rsid w:val="00B5622E"/>
    <w:rsid w:val="00B57ACE"/>
    <w:rsid w:val="00B63377"/>
    <w:rsid w:val="00B66278"/>
    <w:rsid w:val="00B730CD"/>
    <w:rsid w:val="00B73180"/>
    <w:rsid w:val="00B731C8"/>
    <w:rsid w:val="00B73360"/>
    <w:rsid w:val="00B77319"/>
    <w:rsid w:val="00B77F92"/>
    <w:rsid w:val="00B949E8"/>
    <w:rsid w:val="00B94D05"/>
    <w:rsid w:val="00B96183"/>
    <w:rsid w:val="00BA054A"/>
    <w:rsid w:val="00BA2D7C"/>
    <w:rsid w:val="00BA479D"/>
    <w:rsid w:val="00BA5125"/>
    <w:rsid w:val="00BB1E72"/>
    <w:rsid w:val="00BB69B2"/>
    <w:rsid w:val="00BC2F98"/>
    <w:rsid w:val="00BC4575"/>
    <w:rsid w:val="00BC531A"/>
    <w:rsid w:val="00BC6AE7"/>
    <w:rsid w:val="00BD027D"/>
    <w:rsid w:val="00BD36CD"/>
    <w:rsid w:val="00BF0308"/>
    <w:rsid w:val="00BF2C2E"/>
    <w:rsid w:val="00BF3627"/>
    <w:rsid w:val="00BF3C21"/>
    <w:rsid w:val="00BF405C"/>
    <w:rsid w:val="00BF5F1C"/>
    <w:rsid w:val="00C00AE4"/>
    <w:rsid w:val="00C02294"/>
    <w:rsid w:val="00C027C7"/>
    <w:rsid w:val="00C02966"/>
    <w:rsid w:val="00C04307"/>
    <w:rsid w:val="00C052D5"/>
    <w:rsid w:val="00C07E21"/>
    <w:rsid w:val="00C1157B"/>
    <w:rsid w:val="00C121DC"/>
    <w:rsid w:val="00C12DE0"/>
    <w:rsid w:val="00C15FCA"/>
    <w:rsid w:val="00C1611D"/>
    <w:rsid w:val="00C172A7"/>
    <w:rsid w:val="00C210D7"/>
    <w:rsid w:val="00C211FC"/>
    <w:rsid w:val="00C263F2"/>
    <w:rsid w:val="00C27CFE"/>
    <w:rsid w:val="00C30836"/>
    <w:rsid w:val="00C3386F"/>
    <w:rsid w:val="00C35E2D"/>
    <w:rsid w:val="00C4027F"/>
    <w:rsid w:val="00C4176C"/>
    <w:rsid w:val="00C41A36"/>
    <w:rsid w:val="00C42B1B"/>
    <w:rsid w:val="00C43F08"/>
    <w:rsid w:val="00C44370"/>
    <w:rsid w:val="00C45A62"/>
    <w:rsid w:val="00C50353"/>
    <w:rsid w:val="00C57BD0"/>
    <w:rsid w:val="00C61610"/>
    <w:rsid w:val="00C61843"/>
    <w:rsid w:val="00C62C28"/>
    <w:rsid w:val="00C671A8"/>
    <w:rsid w:val="00C678AC"/>
    <w:rsid w:val="00C7254F"/>
    <w:rsid w:val="00C7601E"/>
    <w:rsid w:val="00C762A1"/>
    <w:rsid w:val="00C77777"/>
    <w:rsid w:val="00C8105E"/>
    <w:rsid w:val="00C90DA5"/>
    <w:rsid w:val="00CA0D74"/>
    <w:rsid w:val="00CA5231"/>
    <w:rsid w:val="00CA6C6C"/>
    <w:rsid w:val="00CA715E"/>
    <w:rsid w:val="00CB2BF1"/>
    <w:rsid w:val="00CB3D7A"/>
    <w:rsid w:val="00CC1310"/>
    <w:rsid w:val="00CC1D6C"/>
    <w:rsid w:val="00CC39A5"/>
    <w:rsid w:val="00CC641E"/>
    <w:rsid w:val="00CD1960"/>
    <w:rsid w:val="00CD22EE"/>
    <w:rsid w:val="00CD3738"/>
    <w:rsid w:val="00CD74B0"/>
    <w:rsid w:val="00CE660E"/>
    <w:rsid w:val="00D05D04"/>
    <w:rsid w:val="00D061F3"/>
    <w:rsid w:val="00D065D7"/>
    <w:rsid w:val="00D06913"/>
    <w:rsid w:val="00D11759"/>
    <w:rsid w:val="00D13263"/>
    <w:rsid w:val="00D21957"/>
    <w:rsid w:val="00D21C4A"/>
    <w:rsid w:val="00D23648"/>
    <w:rsid w:val="00D26D86"/>
    <w:rsid w:val="00D316E9"/>
    <w:rsid w:val="00D33C3C"/>
    <w:rsid w:val="00D35AD5"/>
    <w:rsid w:val="00D366EB"/>
    <w:rsid w:val="00D37D03"/>
    <w:rsid w:val="00D4384A"/>
    <w:rsid w:val="00D43D20"/>
    <w:rsid w:val="00D50B68"/>
    <w:rsid w:val="00D51FD7"/>
    <w:rsid w:val="00D52AD4"/>
    <w:rsid w:val="00D548A4"/>
    <w:rsid w:val="00D563D8"/>
    <w:rsid w:val="00D63D48"/>
    <w:rsid w:val="00D653DF"/>
    <w:rsid w:val="00D67A7B"/>
    <w:rsid w:val="00D775D0"/>
    <w:rsid w:val="00D8103E"/>
    <w:rsid w:val="00D8211A"/>
    <w:rsid w:val="00D825B1"/>
    <w:rsid w:val="00D82D81"/>
    <w:rsid w:val="00D831B9"/>
    <w:rsid w:val="00D846B7"/>
    <w:rsid w:val="00D94C49"/>
    <w:rsid w:val="00D95226"/>
    <w:rsid w:val="00D95867"/>
    <w:rsid w:val="00D974C0"/>
    <w:rsid w:val="00DA01A7"/>
    <w:rsid w:val="00DA0219"/>
    <w:rsid w:val="00DA1DE3"/>
    <w:rsid w:val="00DA768B"/>
    <w:rsid w:val="00DA7734"/>
    <w:rsid w:val="00DB0FE4"/>
    <w:rsid w:val="00DB2BA8"/>
    <w:rsid w:val="00DB4630"/>
    <w:rsid w:val="00DB5F1C"/>
    <w:rsid w:val="00DB72A7"/>
    <w:rsid w:val="00DC297A"/>
    <w:rsid w:val="00DC5617"/>
    <w:rsid w:val="00DD1A43"/>
    <w:rsid w:val="00DD416E"/>
    <w:rsid w:val="00DD4AB6"/>
    <w:rsid w:val="00DD6A29"/>
    <w:rsid w:val="00DE0ABA"/>
    <w:rsid w:val="00DE5A01"/>
    <w:rsid w:val="00DE62D9"/>
    <w:rsid w:val="00DF59AD"/>
    <w:rsid w:val="00DF5A17"/>
    <w:rsid w:val="00E0575F"/>
    <w:rsid w:val="00E070A0"/>
    <w:rsid w:val="00E10D4C"/>
    <w:rsid w:val="00E10EA1"/>
    <w:rsid w:val="00E122FE"/>
    <w:rsid w:val="00E12AE6"/>
    <w:rsid w:val="00E12FE9"/>
    <w:rsid w:val="00E16448"/>
    <w:rsid w:val="00E16DFD"/>
    <w:rsid w:val="00E204F6"/>
    <w:rsid w:val="00E20858"/>
    <w:rsid w:val="00E23C97"/>
    <w:rsid w:val="00E31F83"/>
    <w:rsid w:val="00E34915"/>
    <w:rsid w:val="00E35782"/>
    <w:rsid w:val="00E40EF8"/>
    <w:rsid w:val="00E42B46"/>
    <w:rsid w:val="00E43B3D"/>
    <w:rsid w:val="00E5064E"/>
    <w:rsid w:val="00E527A4"/>
    <w:rsid w:val="00E52F96"/>
    <w:rsid w:val="00E57768"/>
    <w:rsid w:val="00E60331"/>
    <w:rsid w:val="00E648FB"/>
    <w:rsid w:val="00E67695"/>
    <w:rsid w:val="00E6798F"/>
    <w:rsid w:val="00E709FD"/>
    <w:rsid w:val="00E77B16"/>
    <w:rsid w:val="00E77C4D"/>
    <w:rsid w:val="00E81FBB"/>
    <w:rsid w:val="00E82E56"/>
    <w:rsid w:val="00E848F8"/>
    <w:rsid w:val="00E85325"/>
    <w:rsid w:val="00E86574"/>
    <w:rsid w:val="00E87057"/>
    <w:rsid w:val="00E8748B"/>
    <w:rsid w:val="00EA7864"/>
    <w:rsid w:val="00EB04CE"/>
    <w:rsid w:val="00EB3FDC"/>
    <w:rsid w:val="00EB42B8"/>
    <w:rsid w:val="00EB7193"/>
    <w:rsid w:val="00EC2297"/>
    <w:rsid w:val="00EC5352"/>
    <w:rsid w:val="00ED05AC"/>
    <w:rsid w:val="00ED362E"/>
    <w:rsid w:val="00ED4BDA"/>
    <w:rsid w:val="00ED7D32"/>
    <w:rsid w:val="00EE0E04"/>
    <w:rsid w:val="00EE1EEB"/>
    <w:rsid w:val="00EE49B2"/>
    <w:rsid w:val="00EF0306"/>
    <w:rsid w:val="00EF1183"/>
    <w:rsid w:val="00EF4975"/>
    <w:rsid w:val="00EF5DA2"/>
    <w:rsid w:val="00EF78EC"/>
    <w:rsid w:val="00F0017D"/>
    <w:rsid w:val="00F04826"/>
    <w:rsid w:val="00F07FCA"/>
    <w:rsid w:val="00F10292"/>
    <w:rsid w:val="00F12950"/>
    <w:rsid w:val="00F12AC8"/>
    <w:rsid w:val="00F12B79"/>
    <w:rsid w:val="00F1319B"/>
    <w:rsid w:val="00F131D7"/>
    <w:rsid w:val="00F1354B"/>
    <w:rsid w:val="00F1422F"/>
    <w:rsid w:val="00F15730"/>
    <w:rsid w:val="00F158D4"/>
    <w:rsid w:val="00F164DA"/>
    <w:rsid w:val="00F24F4B"/>
    <w:rsid w:val="00F264B1"/>
    <w:rsid w:val="00F27421"/>
    <w:rsid w:val="00F3353C"/>
    <w:rsid w:val="00F33D17"/>
    <w:rsid w:val="00F34BCC"/>
    <w:rsid w:val="00F35758"/>
    <w:rsid w:val="00F4082B"/>
    <w:rsid w:val="00F41291"/>
    <w:rsid w:val="00F4171C"/>
    <w:rsid w:val="00F43A41"/>
    <w:rsid w:val="00F501C2"/>
    <w:rsid w:val="00F5048A"/>
    <w:rsid w:val="00F50DC5"/>
    <w:rsid w:val="00F5131E"/>
    <w:rsid w:val="00F535BB"/>
    <w:rsid w:val="00F55ABC"/>
    <w:rsid w:val="00F5641B"/>
    <w:rsid w:val="00F62ABF"/>
    <w:rsid w:val="00F62CC9"/>
    <w:rsid w:val="00F70EFA"/>
    <w:rsid w:val="00F72B1B"/>
    <w:rsid w:val="00F7448E"/>
    <w:rsid w:val="00F75FC9"/>
    <w:rsid w:val="00F769F8"/>
    <w:rsid w:val="00F76B7A"/>
    <w:rsid w:val="00F840A3"/>
    <w:rsid w:val="00F86403"/>
    <w:rsid w:val="00F91582"/>
    <w:rsid w:val="00F952FC"/>
    <w:rsid w:val="00F96391"/>
    <w:rsid w:val="00FA01AB"/>
    <w:rsid w:val="00FA2E89"/>
    <w:rsid w:val="00FA46E5"/>
    <w:rsid w:val="00FA7738"/>
    <w:rsid w:val="00FB317D"/>
    <w:rsid w:val="00FB71C2"/>
    <w:rsid w:val="00FC1200"/>
    <w:rsid w:val="00FC154F"/>
    <w:rsid w:val="00FC75DC"/>
    <w:rsid w:val="00FC7E9A"/>
    <w:rsid w:val="00FD17E7"/>
    <w:rsid w:val="00FD5F07"/>
    <w:rsid w:val="00FE0F3D"/>
    <w:rsid w:val="00FE6A61"/>
    <w:rsid w:val="00FE7C0B"/>
    <w:rsid w:val="00FF55A5"/>
    <w:rsid w:val="00FF7698"/>
    <w:rsid w:val="0DFBE047"/>
    <w:rsid w:val="103845E2"/>
    <w:rsid w:val="16FDA97C"/>
    <w:rsid w:val="242C5011"/>
    <w:rsid w:val="25EBDC9E"/>
    <w:rsid w:val="2866E90D"/>
    <w:rsid w:val="2C71D356"/>
    <w:rsid w:val="2EFE3D37"/>
    <w:rsid w:val="2FBA967F"/>
    <w:rsid w:val="3116459D"/>
    <w:rsid w:val="316C16D9"/>
    <w:rsid w:val="32F07ECA"/>
    <w:rsid w:val="3319A51D"/>
    <w:rsid w:val="36BE23BD"/>
    <w:rsid w:val="3A91C215"/>
    <w:rsid w:val="3F9C34E3"/>
    <w:rsid w:val="444D10F8"/>
    <w:rsid w:val="45938216"/>
    <w:rsid w:val="4BD008B9"/>
    <w:rsid w:val="4BE8BCBF"/>
    <w:rsid w:val="4EAD1D7A"/>
    <w:rsid w:val="511326F4"/>
    <w:rsid w:val="52EA55DC"/>
    <w:rsid w:val="5886DDC2"/>
    <w:rsid w:val="5944A87B"/>
    <w:rsid w:val="60C73CF8"/>
    <w:rsid w:val="60D7B0DF"/>
    <w:rsid w:val="66A1FE32"/>
    <w:rsid w:val="69D14DC2"/>
    <w:rsid w:val="6C6A49D4"/>
    <w:rsid w:val="7D552B4B"/>
    <w:rsid w:val="7DFE27E2"/>
    <w:rsid w:val="7FF5128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DCC5C"/>
  <w15:docId w15:val="{3AFE2C33-A4C9-4E7F-A18E-EBDF305E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DE3"/>
    <w:pPr>
      <w:jc w:val="both"/>
    </w:pPr>
  </w:style>
  <w:style w:type="paragraph" w:styleId="Heading1">
    <w:name w:val="heading 1"/>
    <w:aliases w:val="1. Glavni Podnaslovi"/>
    <w:basedOn w:val="Normal"/>
    <w:next w:val="Normal"/>
    <w:link w:val="Heading1Char"/>
    <w:qFormat/>
    <w:rsid w:val="00B731C8"/>
    <w:pPr>
      <w:keepNext/>
      <w:keepLines/>
      <w:numPr>
        <w:numId w:val="75"/>
      </w:numPr>
      <w:spacing w:before="480" w:after="0"/>
      <w:jc w:val="left"/>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F5641B"/>
    <w:pPr>
      <w:keepNext/>
      <w:keepLines/>
      <w:numPr>
        <w:ilvl w:val="1"/>
        <w:numId w:val="75"/>
      </w:numPr>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DA1DE3"/>
    <w:pPr>
      <w:keepNext/>
      <w:keepLines/>
      <w:numPr>
        <w:ilvl w:val="2"/>
        <w:numId w:val="75"/>
      </w:numPr>
      <w:spacing w:before="200"/>
      <w:ind w:left="720"/>
      <w:outlineLvl w:val="2"/>
    </w:pPr>
    <w:rPr>
      <w:rFonts w:eastAsiaTheme="majorEastAsia" w:cstheme="majorBidi"/>
      <w:b/>
      <w:bCs/>
      <w:sz w:val="26"/>
    </w:rPr>
  </w:style>
  <w:style w:type="paragraph" w:styleId="Heading4">
    <w:name w:val="heading 4"/>
    <w:basedOn w:val="Normal"/>
    <w:next w:val="Normal"/>
    <w:link w:val="Heading4Char"/>
    <w:unhideWhenUsed/>
    <w:qFormat/>
    <w:rsid w:val="00AB2731"/>
    <w:pPr>
      <w:keepNext/>
      <w:keepLines/>
      <w:numPr>
        <w:numId w:val="85"/>
      </w:numPr>
      <w:spacing w:before="200" w:after="120"/>
      <w:outlineLvl w:val="3"/>
    </w:pPr>
    <w:rPr>
      <w:rFonts w:ascii="Calibri" w:eastAsia="Times New Roman" w:hAnsi="Calibri" w:cs="Times New Roman"/>
      <w:b/>
      <w:bCs/>
      <w:iCs/>
      <w:sz w:val="24"/>
    </w:rPr>
  </w:style>
  <w:style w:type="paragraph" w:styleId="Heading5">
    <w:name w:val="heading 5"/>
    <w:basedOn w:val="Normal"/>
    <w:next w:val="Normal"/>
    <w:link w:val="Heading5Char"/>
    <w:unhideWhenUsed/>
    <w:rsid w:val="0013457F"/>
    <w:pPr>
      <w:keepNext/>
      <w:keepLines/>
      <w:numPr>
        <w:ilvl w:val="4"/>
        <w:numId w:val="75"/>
      </w:numPr>
      <w:spacing w:before="200" w:after="0"/>
      <w:outlineLvl w:val="4"/>
    </w:pPr>
    <w:rPr>
      <w:rFonts w:ascii="Cambria" w:eastAsia="Times New Roman" w:hAnsi="Cambria" w:cs="Times New Roman"/>
      <w:color w:val="243F60"/>
    </w:rPr>
  </w:style>
  <w:style w:type="paragraph" w:styleId="Heading6">
    <w:name w:val="heading 6"/>
    <w:aliases w:val="slike"/>
    <w:basedOn w:val="Normal"/>
    <w:next w:val="Normal"/>
    <w:link w:val="Heading6Char"/>
    <w:unhideWhenUsed/>
    <w:qFormat/>
    <w:rsid w:val="006D77A6"/>
    <w:pPr>
      <w:keepNext/>
      <w:keepLines/>
      <w:spacing w:before="200"/>
      <w:jc w:val="center"/>
      <w:outlineLvl w:val="5"/>
    </w:pPr>
    <w:rPr>
      <w:rFonts w:eastAsiaTheme="majorEastAsia" w:cstheme="majorBidi"/>
      <w:i/>
      <w:iCs/>
    </w:rPr>
  </w:style>
  <w:style w:type="paragraph" w:styleId="Heading7">
    <w:name w:val="heading 7"/>
    <w:basedOn w:val="Normal"/>
    <w:next w:val="Normal"/>
    <w:link w:val="Heading7Char"/>
    <w:unhideWhenUsed/>
    <w:rsid w:val="0013457F"/>
    <w:pPr>
      <w:keepNext/>
      <w:keepLines/>
      <w:numPr>
        <w:ilvl w:val="6"/>
        <w:numId w:val="75"/>
      </w:numPr>
      <w:spacing w:after="0"/>
      <w:outlineLvl w:val="6"/>
    </w:pPr>
    <w:rPr>
      <w:rFonts w:ascii="Calibri" w:eastAsia="Times New Roman" w:hAnsi="Calibri" w:cs="Times New Roman"/>
      <w:i/>
      <w:iCs/>
    </w:rPr>
  </w:style>
  <w:style w:type="paragraph" w:styleId="Heading8">
    <w:name w:val="heading 8"/>
    <w:aliases w:val="tablice"/>
    <w:basedOn w:val="Normal"/>
    <w:next w:val="Normal"/>
    <w:link w:val="Heading8Char"/>
    <w:unhideWhenUsed/>
    <w:qFormat/>
    <w:rsid w:val="00AE1594"/>
    <w:pPr>
      <w:keepNext/>
      <w:keepLines/>
      <w:spacing w:after="0"/>
      <w:outlineLvl w:val="7"/>
    </w:pPr>
    <w:rPr>
      <w:rFonts w:ascii="Calibri" w:eastAsia="Times New Roman" w:hAnsi="Calibri" w:cs="Times New Roman"/>
      <w:i/>
    </w:rPr>
  </w:style>
  <w:style w:type="paragraph" w:styleId="Heading9">
    <w:name w:val="heading 9"/>
    <w:basedOn w:val="Normal"/>
    <w:next w:val="Normal"/>
    <w:link w:val="Heading9Char"/>
    <w:rsid w:val="0013457F"/>
    <w:pPr>
      <w:keepNext/>
      <w:numPr>
        <w:ilvl w:val="8"/>
        <w:numId w:val="75"/>
      </w:numPr>
      <w:spacing w:after="0" w:line="240" w:lineRule="auto"/>
      <w:outlineLvl w:val="8"/>
    </w:pPr>
    <w:rPr>
      <w:rFonts w:ascii="Arial" w:eastAsia="Times New Roman" w:hAnsi="Arial" w:cs="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50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048A"/>
    <w:rPr>
      <w:rFonts w:ascii="Tahoma" w:hAnsi="Tahoma" w:cs="Tahoma"/>
      <w:sz w:val="16"/>
      <w:szCs w:val="16"/>
    </w:rPr>
  </w:style>
  <w:style w:type="character" w:customStyle="1" w:styleId="Heading1Char">
    <w:name w:val="Heading 1 Char"/>
    <w:aliases w:val="1. Glavni Podnaslovi Char"/>
    <w:basedOn w:val="DefaultParagraphFont"/>
    <w:link w:val="Heading1"/>
    <w:rsid w:val="00B731C8"/>
    <w:rPr>
      <w:rFonts w:eastAsiaTheme="majorEastAsia" w:cstheme="majorBidi"/>
      <w:b/>
      <w:bCs/>
      <w:sz w:val="32"/>
      <w:szCs w:val="28"/>
    </w:rPr>
  </w:style>
  <w:style w:type="character" w:customStyle="1" w:styleId="Heading2Char">
    <w:name w:val="Heading 2 Char"/>
    <w:basedOn w:val="DefaultParagraphFont"/>
    <w:link w:val="Heading2"/>
    <w:rsid w:val="00F5641B"/>
    <w:rPr>
      <w:rFonts w:eastAsiaTheme="majorEastAsia" w:cstheme="majorBidi"/>
      <w:b/>
      <w:bCs/>
      <w:sz w:val="28"/>
      <w:szCs w:val="26"/>
    </w:rPr>
  </w:style>
  <w:style w:type="character" w:customStyle="1" w:styleId="Heading6Char">
    <w:name w:val="Heading 6 Char"/>
    <w:aliases w:val="slike Char"/>
    <w:basedOn w:val="DefaultParagraphFont"/>
    <w:link w:val="Heading6"/>
    <w:rsid w:val="006D77A6"/>
    <w:rPr>
      <w:rFonts w:eastAsiaTheme="majorEastAsia" w:cstheme="majorBidi"/>
      <w:i/>
      <w:iCs/>
    </w:rPr>
  </w:style>
  <w:style w:type="paragraph" w:customStyle="1" w:styleId="Obinitekst1">
    <w:name w:val="Obični tekst1"/>
    <w:basedOn w:val="Normal"/>
    <w:rsid w:val="00F5048A"/>
    <w:pPr>
      <w:spacing w:after="0" w:line="240" w:lineRule="auto"/>
      <w:jc w:val="center"/>
    </w:pPr>
    <w:rPr>
      <w:rFonts w:ascii="Arial" w:eastAsia="Times New Roman" w:hAnsi="Arial" w:cs="Times New Roman"/>
      <w:sz w:val="24"/>
      <w:szCs w:val="20"/>
      <w:lang w:val="en-GB"/>
    </w:rPr>
  </w:style>
  <w:style w:type="character" w:customStyle="1" w:styleId="plavitext1">
    <w:name w:val="plavitext1"/>
    <w:basedOn w:val="DefaultParagraphFont"/>
    <w:rsid w:val="00F5048A"/>
    <w:rPr>
      <w:color w:val="00519D"/>
    </w:rPr>
  </w:style>
  <w:style w:type="paragraph" w:styleId="Subtitle">
    <w:name w:val="Subtitle"/>
    <w:aliases w:val="2"/>
    <w:basedOn w:val="Normal"/>
    <w:next w:val="Normal"/>
    <w:link w:val="SubtitleChar"/>
    <w:uiPriority w:val="11"/>
    <w:rsid w:val="00EF78EC"/>
    <w:pPr>
      <w:numPr>
        <w:numId w:val="32"/>
      </w:numPr>
    </w:pPr>
    <w:rPr>
      <w:rFonts w:eastAsiaTheme="majorEastAsia" w:cstheme="majorBidi"/>
      <w:b/>
      <w:iCs/>
      <w:sz w:val="28"/>
      <w:szCs w:val="24"/>
    </w:rPr>
  </w:style>
  <w:style w:type="character" w:customStyle="1" w:styleId="SubtitleChar">
    <w:name w:val="Subtitle Char"/>
    <w:aliases w:val="2 Char"/>
    <w:basedOn w:val="DefaultParagraphFont"/>
    <w:link w:val="Subtitle"/>
    <w:uiPriority w:val="11"/>
    <w:rsid w:val="00EF78EC"/>
    <w:rPr>
      <w:rFonts w:eastAsiaTheme="majorEastAsia" w:cstheme="majorBidi"/>
      <w:b/>
      <w:iCs/>
      <w:sz w:val="28"/>
      <w:szCs w:val="24"/>
    </w:rPr>
  </w:style>
  <w:style w:type="character" w:styleId="CommentReference">
    <w:name w:val="annotation reference"/>
    <w:basedOn w:val="DefaultParagraphFont"/>
    <w:uiPriority w:val="99"/>
    <w:unhideWhenUsed/>
    <w:rsid w:val="00C07E21"/>
    <w:rPr>
      <w:sz w:val="16"/>
      <w:szCs w:val="16"/>
    </w:rPr>
  </w:style>
  <w:style w:type="paragraph" w:styleId="CommentText">
    <w:name w:val="annotation text"/>
    <w:basedOn w:val="Normal"/>
    <w:link w:val="CommentTextChar"/>
    <w:uiPriority w:val="99"/>
    <w:unhideWhenUsed/>
    <w:rsid w:val="00C07E21"/>
    <w:pPr>
      <w:spacing w:line="240" w:lineRule="auto"/>
    </w:pPr>
    <w:rPr>
      <w:sz w:val="20"/>
      <w:szCs w:val="20"/>
    </w:rPr>
  </w:style>
  <w:style w:type="character" w:customStyle="1" w:styleId="CommentTextChar">
    <w:name w:val="Comment Text Char"/>
    <w:basedOn w:val="DefaultParagraphFont"/>
    <w:link w:val="CommentText"/>
    <w:uiPriority w:val="99"/>
    <w:rsid w:val="00C07E21"/>
    <w:rPr>
      <w:sz w:val="20"/>
      <w:szCs w:val="20"/>
    </w:rPr>
  </w:style>
  <w:style w:type="paragraph" w:styleId="CommentSubject">
    <w:name w:val="annotation subject"/>
    <w:basedOn w:val="CommentText"/>
    <w:next w:val="CommentText"/>
    <w:link w:val="CommentSubjectChar"/>
    <w:uiPriority w:val="99"/>
    <w:semiHidden/>
    <w:unhideWhenUsed/>
    <w:rsid w:val="00C07E21"/>
    <w:rPr>
      <w:b/>
      <w:bCs/>
    </w:rPr>
  </w:style>
  <w:style w:type="character" w:customStyle="1" w:styleId="CommentSubjectChar">
    <w:name w:val="Comment Subject Char"/>
    <w:basedOn w:val="CommentTextChar"/>
    <w:link w:val="CommentSubject"/>
    <w:uiPriority w:val="99"/>
    <w:semiHidden/>
    <w:rsid w:val="00C07E21"/>
    <w:rPr>
      <w:b/>
      <w:bCs/>
      <w:sz w:val="20"/>
      <w:szCs w:val="20"/>
    </w:rPr>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C07E21"/>
    <w:pPr>
      <w:ind w:left="720"/>
      <w:contextualSpacing/>
    </w:pPr>
  </w:style>
  <w:style w:type="character" w:customStyle="1" w:styleId="Heading3Char">
    <w:name w:val="Heading 3 Char"/>
    <w:basedOn w:val="DefaultParagraphFont"/>
    <w:link w:val="Heading3"/>
    <w:rsid w:val="00DA1DE3"/>
    <w:rPr>
      <w:rFonts w:eastAsiaTheme="majorEastAsia" w:cstheme="majorBidi"/>
      <w:b/>
      <w:bCs/>
      <w:sz w:val="26"/>
    </w:rPr>
  </w:style>
  <w:style w:type="paragraph" w:styleId="NoSpacing">
    <w:name w:val="No Spacing"/>
    <w:rsid w:val="003B1B86"/>
    <w:pPr>
      <w:spacing w:after="0" w:line="240" w:lineRule="auto"/>
      <w:jc w:val="both"/>
    </w:pPr>
    <w:rPr>
      <w:rFonts w:ascii="Calibri" w:eastAsia="Calibri" w:hAnsi="Calibri" w:cs="Times New Roman"/>
    </w:rPr>
  </w:style>
  <w:style w:type="table" w:styleId="TableGrid">
    <w:name w:val="Table Grid"/>
    <w:basedOn w:val="TableNormal"/>
    <w:rsid w:val="00723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B2731"/>
    <w:rPr>
      <w:rFonts w:ascii="Calibri" w:eastAsia="Times New Roman" w:hAnsi="Calibri" w:cs="Times New Roman"/>
      <w:b/>
      <w:bCs/>
      <w:iCs/>
      <w:sz w:val="24"/>
    </w:rPr>
  </w:style>
  <w:style w:type="character" w:customStyle="1" w:styleId="Heading5Char">
    <w:name w:val="Heading 5 Char"/>
    <w:basedOn w:val="DefaultParagraphFont"/>
    <w:link w:val="Heading5"/>
    <w:rsid w:val="0013457F"/>
    <w:rPr>
      <w:rFonts w:ascii="Cambria" w:eastAsia="Times New Roman" w:hAnsi="Cambria" w:cs="Times New Roman"/>
      <w:color w:val="243F60"/>
    </w:rPr>
  </w:style>
  <w:style w:type="character" w:customStyle="1" w:styleId="Heading7Char">
    <w:name w:val="Heading 7 Char"/>
    <w:basedOn w:val="DefaultParagraphFont"/>
    <w:link w:val="Heading7"/>
    <w:rsid w:val="0013457F"/>
    <w:rPr>
      <w:rFonts w:ascii="Calibri" w:eastAsia="Times New Roman" w:hAnsi="Calibri" w:cs="Times New Roman"/>
      <w:i/>
      <w:iCs/>
    </w:rPr>
  </w:style>
  <w:style w:type="character" w:customStyle="1" w:styleId="Heading8Char">
    <w:name w:val="Heading 8 Char"/>
    <w:aliases w:val="tablice Char"/>
    <w:basedOn w:val="DefaultParagraphFont"/>
    <w:link w:val="Heading8"/>
    <w:rsid w:val="006C1D11"/>
    <w:rPr>
      <w:rFonts w:ascii="Calibri" w:eastAsia="Times New Roman" w:hAnsi="Calibri" w:cs="Times New Roman"/>
      <w:i/>
    </w:rPr>
  </w:style>
  <w:style w:type="character" w:customStyle="1" w:styleId="Heading9Char">
    <w:name w:val="Heading 9 Char"/>
    <w:basedOn w:val="DefaultParagraphFont"/>
    <w:link w:val="Heading9"/>
    <w:rsid w:val="0013457F"/>
    <w:rPr>
      <w:rFonts w:ascii="Arial" w:eastAsia="Times New Roman" w:hAnsi="Arial" w:cs="Times New Roman"/>
      <w:i/>
      <w:szCs w:val="20"/>
      <w:lang w:val="en-GB"/>
    </w:rPr>
  </w:style>
  <w:style w:type="character" w:styleId="Strong">
    <w:name w:val="Strong"/>
    <w:basedOn w:val="DefaultParagraphFont"/>
    <w:rsid w:val="0013457F"/>
    <w:rPr>
      <w:b/>
      <w:bCs/>
    </w:rPr>
  </w:style>
  <w:style w:type="character" w:styleId="Hyperlink">
    <w:name w:val="Hyperlink"/>
    <w:basedOn w:val="DefaultParagraphFont"/>
    <w:uiPriority w:val="99"/>
    <w:unhideWhenUsed/>
    <w:rsid w:val="0013457F"/>
    <w:rPr>
      <w:color w:val="0000FF"/>
      <w:u w:val="single"/>
    </w:rPr>
  </w:style>
  <w:style w:type="paragraph" w:styleId="Header">
    <w:name w:val="header"/>
    <w:basedOn w:val="Normal"/>
    <w:link w:val="HeaderChar"/>
    <w:uiPriority w:val="99"/>
    <w:unhideWhenUsed/>
    <w:rsid w:val="0013457F"/>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3457F"/>
    <w:rPr>
      <w:rFonts w:ascii="Calibri" w:eastAsia="Calibri" w:hAnsi="Calibri" w:cs="Times New Roman"/>
    </w:rPr>
  </w:style>
  <w:style w:type="paragraph" w:styleId="Footer">
    <w:name w:val="footer"/>
    <w:basedOn w:val="Normal"/>
    <w:link w:val="FooterChar"/>
    <w:uiPriority w:val="99"/>
    <w:unhideWhenUsed/>
    <w:rsid w:val="0013457F"/>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3457F"/>
    <w:rPr>
      <w:rFonts w:ascii="Calibri" w:eastAsia="Calibri" w:hAnsi="Calibri" w:cs="Times New Roman"/>
    </w:rPr>
  </w:style>
  <w:style w:type="paragraph" w:styleId="NormalWeb">
    <w:name w:val="Normal (Web)"/>
    <w:basedOn w:val="Normal"/>
    <w:link w:val="NormalWebChar"/>
    <w:uiPriority w:val="99"/>
    <w:unhideWhenUsed/>
    <w:rsid w:val="0013457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WebChar">
    <w:name w:val="Normal (Web) Char"/>
    <w:basedOn w:val="DefaultParagraphFont"/>
    <w:link w:val="NormalWeb"/>
    <w:rsid w:val="0013457F"/>
    <w:rPr>
      <w:rFonts w:ascii="Times New Roman" w:eastAsia="Times New Roman" w:hAnsi="Times New Roman" w:cs="Times New Roman"/>
      <w:sz w:val="24"/>
      <w:szCs w:val="24"/>
      <w:lang w:eastAsia="hr-HR"/>
    </w:rPr>
  </w:style>
  <w:style w:type="character" w:styleId="Emphasis">
    <w:name w:val="Emphasis"/>
    <w:basedOn w:val="DefaultParagraphFont"/>
    <w:rsid w:val="0013457F"/>
    <w:rPr>
      <w:i/>
      <w:iCs/>
    </w:rPr>
  </w:style>
  <w:style w:type="paragraph" w:styleId="BodyText3">
    <w:name w:val="Body Text 3"/>
    <w:basedOn w:val="Normal"/>
    <w:link w:val="BodyText3Char"/>
    <w:unhideWhenUsed/>
    <w:rsid w:val="0013457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3Char">
    <w:name w:val="Body Text 3 Char"/>
    <w:basedOn w:val="DefaultParagraphFont"/>
    <w:link w:val="BodyText3"/>
    <w:rsid w:val="0013457F"/>
    <w:rPr>
      <w:rFonts w:ascii="Times New Roman" w:eastAsia="Times New Roman" w:hAnsi="Times New Roman" w:cs="Times New Roman"/>
      <w:sz w:val="24"/>
      <w:szCs w:val="24"/>
      <w:lang w:eastAsia="hr-HR"/>
    </w:rPr>
  </w:style>
  <w:style w:type="paragraph" w:customStyle="1" w:styleId="Default">
    <w:name w:val="Default"/>
    <w:rsid w:val="0013457F"/>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italicen">
    <w:name w:val="italicen"/>
    <w:basedOn w:val="DefaultParagraphFont"/>
    <w:rsid w:val="0013457F"/>
  </w:style>
  <w:style w:type="paragraph" w:customStyle="1" w:styleId="text">
    <w:name w:val="text"/>
    <w:basedOn w:val="Normal"/>
    <w:rsid w:val="0013457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
    <w:name w:val="Body Text"/>
    <w:basedOn w:val="Normal"/>
    <w:link w:val="BodyTextChar"/>
    <w:unhideWhenUsed/>
    <w:rsid w:val="0013457F"/>
    <w:pPr>
      <w:spacing w:after="120"/>
    </w:pPr>
    <w:rPr>
      <w:rFonts w:ascii="Calibri" w:eastAsia="Calibri" w:hAnsi="Calibri" w:cs="Times New Roman"/>
    </w:rPr>
  </w:style>
  <w:style w:type="character" w:customStyle="1" w:styleId="BodyTextChar">
    <w:name w:val="Body Text Char"/>
    <w:basedOn w:val="DefaultParagraphFont"/>
    <w:link w:val="BodyText"/>
    <w:rsid w:val="0013457F"/>
    <w:rPr>
      <w:rFonts w:ascii="Calibri" w:eastAsia="Calibri" w:hAnsi="Calibri" w:cs="Times New Roman"/>
    </w:rPr>
  </w:style>
  <w:style w:type="paragraph" w:customStyle="1" w:styleId="Tekststudije">
    <w:name w:val="Tekst studije"/>
    <w:basedOn w:val="Normal"/>
    <w:link w:val="TekststudijeChar"/>
    <w:rsid w:val="0013457F"/>
    <w:pPr>
      <w:spacing w:after="0" w:line="240" w:lineRule="auto"/>
    </w:pPr>
    <w:rPr>
      <w:rFonts w:ascii="Arial" w:eastAsia="Times New Roman" w:hAnsi="Arial" w:cs="Arial"/>
      <w:color w:val="000000"/>
      <w:szCs w:val="24"/>
      <w:lang w:eastAsia="hr-HR"/>
    </w:rPr>
  </w:style>
  <w:style w:type="character" w:customStyle="1" w:styleId="TekststudijeChar">
    <w:name w:val="Tekst studije Char"/>
    <w:basedOn w:val="DefaultParagraphFont"/>
    <w:link w:val="Tekststudije"/>
    <w:rsid w:val="0013457F"/>
    <w:rPr>
      <w:rFonts w:ascii="Arial" w:eastAsia="Times New Roman" w:hAnsi="Arial" w:cs="Arial"/>
      <w:color w:val="000000"/>
      <w:szCs w:val="24"/>
      <w:lang w:eastAsia="hr-HR"/>
    </w:rPr>
  </w:style>
  <w:style w:type="paragraph" w:customStyle="1" w:styleId="TEKST">
    <w:name w:val="TEKST"/>
    <w:rsid w:val="0013457F"/>
    <w:pPr>
      <w:spacing w:after="120"/>
      <w:jc w:val="both"/>
    </w:pPr>
    <w:rPr>
      <w:rFonts w:ascii="Tahoma" w:eastAsia="Times New Roman" w:hAnsi="Tahoma" w:cs="Times New Roman"/>
      <w:snapToGrid w:val="0"/>
    </w:rPr>
  </w:style>
  <w:style w:type="paragraph" w:customStyle="1" w:styleId="CM54">
    <w:name w:val="CM54"/>
    <w:basedOn w:val="Normal"/>
    <w:next w:val="Normal"/>
    <w:rsid w:val="00AE1594"/>
    <w:pPr>
      <w:spacing w:after="0"/>
    </w:pPr>
    <w:rPr>
      <w:rFonts w:cstheme="minorHAnsi"/>
      <w:color w:val="000000"/>
      <w:lang w:eastAsia="hr-HR"/>
    </w:rPr>
  </w:style>
  <w:style w:type="paragraph" w:customStyle="1" w:styleId="t-9-8">
    <w:name w:val="t-9-8"/>
    <w:basedOn w:val="Normal"/>
    <w:rsid w:val="0013457F"/>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character" w:styleId="PageNumber">
    <w:name w:val="page number"/>
    <w:basedOn w:val="DefaultParagraphFont"/>
    <w:rsid w:val="0013457F"/>
  </w:style>
  <w:style w:type="character" w:styleId="EndnoteReference">
    <w:name w:val="endnote reference"/>
    <w:basedOn w:val="DefaultParagraphFont"/>
    <w:rsid w:val="0013457F"/>
    <w:rPr>
      <w:vertAlign w:val="superscript"/>
    </w:rPr>
  </w:style>
  <w:style w:type="paragraph" w:styleId="Caption">
    <w:name w:val="caption"/>
    <w:aliases w:val="tablice prave"/>
    <w:basedOn w:val="Normal"/>
    <w:next w:val="Normal"/>
    <w:link w:val="CaptionChar"/>
    <w:qFormat/>
    <w:rsid w:val="00AE1594"/>
    <w:pPr>
      <w:spacing w:before="120" w:after="120" w:line="240" w:lineRule="auto"/>
    </w:pPr>
    <w:rPr>
      <w:rFonts w:ascii="Calibri" w:eastAsia="Times New Roman" w:hAnsi="Calibri" w:cs="Times New Roman"/>
      <w:i/>
      <w:szCs w:val="20"/>
      <w:lang w:val="en-GB" w:eastAsia="hr-HR"/>
    </w:rPr>
  </w:style>
  <w:style w:type="paragraph" w:styleId="FootnoteText">
    <w:name w:val="footnote text"/>
    <w:basedOn w:val="Normal"/>
    <w:link w:val="FootnoteTextChar"/>
    <w:rsid w:val="0013457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13457F"/>
    <w:rPr>
      <w:rFonts w:ascii="Arial" w:eastAsia="Times New Roman" w:hAnsi="Arial" w:cs="Times New Roman"/>
      <w:sz w:val="20"/>
      <w:szCs w:val="20"/>
    </w:rPr>
  </w:style>
  <w:style w:type="character" w:styleId="FootnoteReference">
    <w:name w:val="footnote reference"/>
    <w:basedOn w:val="DefaultParagraphFont"/>
    <w:rsid w:val="0013457F"/>
    <w:rPr>
      <w:rFonts w:cs="Times New Roman"/>
      <w:vertAlign w:val="superscript"/>
    </w:rPr>
  </w:style>
  <w:style w:type="paragraph" w:customStyle="1" w:styleId="HEADERFOOTER">
    <w:name w:val="HEADER/FOOTER"/>
    <w:basedOn w:val="Normal"/>
    <w:rsid w:val="0013457F"/>
    <w:pPr>
      <w:spacing w:after="0" w:line="240" w:lineRule="auto"/>
    </w:pPr>
    <w:rPr>
      <w:rFonts w:ascii="Arial" w:eastAsia="MS Mincho" w:hAnsi="Arial" w:cs="Times New Roman"/>
      <w:sz w:val="16"/>
      <w:szCs w:val="24"/>
      <w:lang w:eastAsia="ja-JP"/>
    </w:rPr>
  </w:style>
  <w:style w:type="paragraph" w:customStyle="1" w:styleId="NASLOVSTUDIJE">
    <w:name w:val="NASLOV STUDIJE"/>
    <w:basedOn w:val="Normal"/>
    <w:rsid w:val="0013457F"/>
    <w:pPr>
      <w:spacing w:after="0" w:line="240" w:lineRule="auto"/>
      <w:jc w:val="right"/>
    </w:pPr>
    <w:rPr>
      <w:rFonts w:ascii="Arial" w:eastAsia="MS Mincho" w:hAnsi="Arial" w:cs="Times New Roman"/>
      <w:b/>
      <w:bCs/>
      <w:sz w:val="32"/>
      <w:szCs w:val="20"/>
      <w:lang w:eastAsia="ja-JP"/>
    </w:rPr>
  </w:style>
  <w:style w:type="paragraph" w:customStyle="1" w:styleId="ZANASLOVNU">
    <w:name w:val="ZA NASLOVNU"/>
    <w:basedOn w:val="Normal"/>
    <w:rsid w:val="0013457F"/>
    <w:pPr>
      <w:spacing w:after="0" w:line="240" w:lineRule="auto"/>
      <w:jc w:val="right"/>
    </w:pPr>
    <w:rPr>
      <w:rFonts w:ascii="Arial" w:eastAsia="MS Mincho" w:hAnsi="Arial" w:cs="Times New Roman"/>
      <w:b/>
      <w:bCs/>
      <w:sz w:val="24"/>
      <w:szCs w:val="20"/>
      <w:lang w:eastAsia="ja-JP"/>
    </w:rPr>
  </w:style>
  <w:style w:type="paragraph" w:styleId="EndnoteText">
    <w:name w:val="endnote text"/>
    <w:basedOn w:val="Normal"/>
    <w:link w:val="EndnoteTextChar"/>
    <w:rsid w:val="0013457F"/>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13457F"/>
    <w:rPr>
      <w:rFonts w:ascii="Arial" w:eastAsia="Times New Roman" w:hAnsi="Arial" w:cs="Times New Roman"/>
      <w:sz w:val="20"/>
      <w:szCs w:val="20"/>
    </w:rPr>
  </w:style>
  <w:style w:type="paragraph" w:styleId="TOC1">
    <w:name w:val="toc 1"/>
    <w:basedOn w:val="Normal"/>
    <w:next w:val="Normal"/>
    <w:autoRedefine/>
    <w:uiPriority w:val="39"/>
    <w:rsid w:val="0013457F"/>
    <w:pPr>
      <w:tabs>
        <w:tab w:val="left" w:pos="440"/>
        <w:tab w:val="right" w:leader="dot" w:pos="9344"/>
      </w:tabs>
      <w:spacing w:before="120" w:after="240" w:line="300" w:lineRule="exact"/>
    </w:pPr>
    <w:rPr>
      <w:rFonts w:ascii="Calibri" w:eastAsia="Times New Roman" w:hAnsi="Calibri" w:cs="Arial"/>
      <w:b/>
      <w:bCs/>
      <w:caps/>
      <w:noProof/>
      <w:szCs w:val="24"/>
    </w:rPr>
  </w:style>
  <w:style w:type="paragraph" w:styleId="TOC2">
    <w:name w:val="toc 2"/>
    <w:basedOn w:val="Normal"/>
    <w:next w:val="Normal"/>
    <w:autoRedefine/>
    <w:uiPriority w:val="39"/>
    <w:rsid w:val="0013457F"/>
    <w:pPr>
      <w:tabs>
        <w:tab w:val="left" w:pos="880"/>
        <w:tab w:val="right" w:leader="dot" w:pos="9356"/>
      </w:tabs>
      <w:spacing w:before="120" w:after="120" w:line="240" w:lineRule="auto"/>
      <w:ind w:left="221"/>
    </w:pPr>
    <w:rPr>
      <w:rFonts w:ascii="Calibri" w:eastAsia="Times New Roman" w:hAnsi="Calibri" w:cs="Times New Roman"/>
      <w:smallCaps/>
      <w:sz w:val="20"/>
      <w:szCs w:val="20"/>
    </w:rPr>
  </w:style>
  <w:style w:type="paragraph" w:styleId="TOC3">
    <w:name w:val="toc 3"/>
    <w:basedOn w:val="Normal"/>
    <w:next w:val="Normal"/>
    <w:autoRedefine/>
    <w:uiPriority w:val="39"/>
    <w:rsid w:val="0013457F"/>
    <w:pPr>
      <w:tabs>
        <w:tab w:val="left" w:pos="1320"/>
        <w:tab w:val="right" w:leader="dot" w:pos="9356"/>
      </w:tabs>
      <w:spacing w:before="120" w:after="120" w:line="240" w:lineRule="auto"/>
      <w:ind w:left="442"/>
    </w:pPr>
    <w:rPr>
      <w:rFonts w:ascii="Calibri" w:eastAsia="Times New Roman" w:hAnsi="Calibri" w:cs="Times New Roman"/>
      <w:i/>
      <w:iCs/>
      <w:sz w:val="20"/>
      <w:szCs w:val="20"/>
    </w:rPr>
  </w:style>
  <w:style w:type="paragraph" w:styleId="TOC4">
    <w:name w:val="toc 4"/>
    <w:basedOn w:val="Normal"/>
    <w:next w:val="Normal"/>
    <w:autoRedefine/>
    <w:uiPriority w:val="39"/>
    <w:rsid w:val="0013457F"/>
    <w:pPr>
      <w:spacing w:after="0" w:line="240" w:lineRule="auto"/>
      <w:ind w:left="660"/>
    </w:pPr>
    <w:rPr>
      <w:rFonts w:ascii="Calibri" w:eastAsia="Times New Roman" w:hAnsi="Calibri" w:cs="Times New Roman"/>
      <w:sz w:val="20"/>
      <w:szCs w:val="18"/>
    </w:rPr>
  </w:style>
  <w:style w:type="paragraph" w:styleId="TOC5">
    <w:name w:val="toc 5"/>
    <w:basedOn w:val="Normal"/>
    <w:next w:val="Normal"/>
    <w:autoRedefine/>
    <w:uiPriority w:val="39"/>
    <w:rsid w:val="0013457F"/>
    <w:pPr>
      <w:spacing w:after="0" w:line="240" w:lineRule="auto"/>
      <w:ind w:left="880"/>
    </w:pPr>
    <w:rPr>
      <w:rFonts w:ascii="Calibri" w:eastAsia="Times New Roman" w:hAnsi="Calibri" w:cs="Times New Roman"/>
      <w:sz w:val="18"/>
      <w:szCs w:val="18"/>
    </w:rPr>
  </w:style>
  <w:style w:type="paragraph" w:styleId="TOC6">
    <w:name w:val="toc 6"/>
    <w:basedOn w:val="Normal"/>
    <w:next w:val="Normal"/>
    <w:autoRedefine/>
    <w:uiPriority w:val="39"/>
    <w:rsid w:val="0013457F"/>
    <w:pPr>
      <w:spacing w:after="0" w:line="240" w:lineRule="auto"/>
      <w:ind w:left="1100"/>
    </w:pPr>
    <w:rPr>
      <w:rFonts w:ascii="Calibri" w:eastAsia="Times New Roman" w:hAnsi="Calibri" w:cs="Times New Roman"/>
      <w:sz w:val="18"/>
      <w:szCs w:val="18"/>
    </w:rPr>
  </w:style>
  <w:style w:type="paragraph" w:styleId="TOC7">
    <w:name w:val="toc 7"/>
    <w:basedOn w:val="Normal"/>
    <w:next w:val="Normal"/>
    <w:autoRedefine/>
    <w:uiPriority w:val="39"/>
    <w:rsid w:val="0013457F"/>
    <w:pPr>
      <w:spacing w:after="0" w:line="240" w:lineRule="auto"/>
      <w:ind w:left="1320"/>
    </w:pPr>
    <w:rPr>
      <w:rFonts w:ascii="Calibri" w:eastAsia="Times New Roman" w:hAnsi="Calibri" w:cs="Times New Roman"/>
      <w:sz w:val="18"/>
      <w:szCs w:val="18"/>
    </w:rPr>
  </w:style>
  <w:style w:type="paragraph" w:styleId="TOC8">
    <w:name w:val="toc 8"/>
    <w:basedOn w:val="Normal"/>
    <w:next w:val="Normal"/>
    <w:autoRedefine/>
    <w:uiPriority w:val="39"/>
    <w:rsid w:val="0013457F"/>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uiPriority w:val="39"/>
    <w:rsid w:val="0013457F"/>
    <w:pPr>
      <w:spacing w:after="0" w:line="240" w:lineRule="auto"/>
      <w:ind w:left="1760"/>
    </w:pPr>
    <w:rPr>
      <w:rFonts w:ascii="Calibri" w:eastAsia="Times New Roman" w:hAnsi="Calibri" w:cs="Times New Roman"/>
      <w:sz w:val="18"/>
      <w:szCs w:val="18"/>
    </w:rPr>
  </w:style>
  <w:style w:type="paragraph" w:styleId="TableofFigures">
    <w:name w:val="table of figures"/>
    <w:basedOn w:val="Normal"/>
    <w:next w:val="Normal"/>
    <w:uiPriority w:val="99"/>
    <w:rsid w:val="0013457F"/>
    <w:pPr>
      <w:spacing w:after="0" w:line="240" w:lineRule="auto"/>
    </w:pPr>
    <w:rPr>
      <w:rFonts w:ascii="Calibri" w:eastAsia="Times New Roman" w:hAnsi="Calibri" w:cs="Times New Roman"/>
      <w:sz w:val="20"/>
      <w:szCs w:val="20"/>
    </w:rPr>
  </w:style>
  <w:style w:type="paragraph" w:styleId="Title">
    <w:name w:val="Title"/>
    <w:basedOn w:val="Normal"/>
    <w:link w:val="TitleChar"/>
    <w:rsid w:val="0013457F"/>
    <w:pPr>
      <w:spacing w:before="240" w:after="60" w:line="280" w:lineRule="exact"/>
      <w:jc w:val="center"/>
      <w:outlineLvl w:val="0"/>
    </w:pPr>
    <w:rPr>
      <w:rFonts w:ascii="Arial" w:eastAsia="Calibri" w:hAnsi="Arial" w:cs="Arial"/>
      <w:b/>
      <w:bCs/>
      <w:kern w:val="28"/>
      <w:sz w:val="32"/>
      <w:szCs w:val="32"/>
      <w:lang w:eastAsia="ja-JP"/>
    </w:rPr>
  </w:style>
  <w:style w:type="character" w:customStyle="1" w:styleId="TitleChar">
    <w:name w:val="Title Char"/>
    <w:basedOn w:val="DefaultParagraphFont"/>
    <w:link w:val="Title"/>
    <w:rsid w:val="0013457F"/>
    <w:rPr>
      <w:rFonts w:ascii="Arial" w:eastAsia="Calibri" w:hAnsi="Arial" w:cs="Arial"/>
      <w:b/>
      <w:bCs/>
      <w:kern w:val="28"/>
      <w:sz w:val="32"/>
      <w:szCs w:val="32"/>
      <w:lang w:eastAsia="ja-JP"/>
    </w:rPr>
  </w:style>
  <w:style w:type="paragraph" w:customStyle="1" w:styleId="SlikaChar">
    <w:name w:val="Slika Char"/>
    <w:basedOn w:val="Normal"/>
    <w:link w:val="SlikaCharChar"/>
    <w:rsid w:val="0013457F"/>
    <w:pPr>
      <w:spacing w:after="0" w:line="280" w:lineRule="exact"/>
      <w:jc w:val="center"/>
    </w:pPr>
    <w:rPr>
      <w:rFonts w:ascii="Arial" w:eastAsia="MS Mincho" w:hAnsi="Arial" w:cs="Arial"/>
      <w:i/>
      <w:iCs/>
      <w:lang w:eastAsia="ja-JP"/>
    </w:rPr>
  </w:style>
  <w:style w:type="character" w:customStyle="1" w:styleId="SlikaCharChar">
    <w:name w:val="Slika Char Char"/>
    <w:basedOn w:val="DefaultParagraphFont"/>
    <w:link w:val="SlikaChar"/>
    <w:rsid w:val="0013457F"/>
    <w:rPr>
      <w:rFonts w:ascii="Arial" w:eastAsia="MS Mincho" w:hAnsi="Arial" w:cs="Arial"/>
      <w:i/>
      <w:iCs/>
      <w:lang w:eastAsia="ja-JP"/>
    </w:r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basedOn w:val="DefaultParagraphFont"/>
    <w:link w:val="ListParagraph"/>
    <w:uiPriority w:val="34"/>
    <w:qFormat/>
    <w:rsid w:val="00C4176C"/>
  </w:style>
  <w:style w:type="paragraph" w:styleId="TOCHeading">
    <w:name w:val="TOC Heading"/>
    <w:basedOn w:val="Heading1"/>
    <w:next w:val="Normal"/>
    <w:uiPriority w:val="39"/>
    <w:unhideWhenUsed/>
    <w:qFormat/>
    <w:rsid w:val="00D43D20"/>
    <w:pPr>
      <w:spacing w:before="240" w:line="259" w:lineRule="auto"/>
      <w:outlineLvl w:val="9"/>
    </w:pPr>
    <w:rPr>
      <w:rFonts w:asciiTheme="majorHAnsi" w:hAnsiTheme="majorHAnsi"/>
      <w:b w:val="0"/>
      <w:bCs w:val="0"/>
      <w:color w:val="365F91" w:themeColor="accent1" w:themeShade="BF"/>
      <w:szCs w:val="32"/>
      <w:lang w:val="en-US"/>
    </w:rPr>
  </w:style>
  <w:style w:type="character" w:customStyle="1" w:styleId="UnresolvedMention1">
    <w:name w:val="Unresolved Mention1"/>
    <w:basedOn w:val="DefaultParagraphFont"/>
    <w:uiPriority w:val="99"/>
    <w:semiHidden/>
    <w:unhideWhenUsed/>
    <w:rsid w:val="00DB0FE4"/>
    <w:rPr>
      <w:color w:val="808080"/>
      <w:shd w:val="clear" w:color="auto" w:fill="E6E6E6"/>
    </w:rPr>
  </w:style>
  <w:style w:type="paragraph" w:styleId="HTMLPreformatted">
    <w:name w:val="HTML Preformatted"/>
    <w:basedOn w:val="Normal"/>
    <w:link w:val="HTMLPreformattedChar"/>
    <w:uiPriority w:val="99"/>
    <w:semiHidden/>
    <w:unhideWhenUsed/>
    <w:rsid w:val="00DB0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B0FE4"/>
    <w:rPr>
      <w:rFonts w:ascii="Courier New" w:eastAsia="Times New Roman" w:hAnsi="Courier New" w:cs="Courier New"/>
      <w:sz w:val="20"/>
      <w:szCs w:val="20"/>
      <w:lang w:val="en-US"/>
    </w:rPr>
  </w:style>
  <w:style w:type="table" w:customStyle="1" w:styleId="Reetkatablice1">
    <w:name w:val="Rešetka tablice1"/>
    <w:basedOn w:val="TableNormal"/>
    <w:next w:val="TableGrid"/>
    <w:rsid w:val="0037035E"/>
    <w:pPr>
      <w:spacing w:after="0" w:line="240" w:lineRule="auto"/>
      <w:jc w:val="both"/>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tablice prave Char"/>
    <w:link w:val="Caption"/>
    <w:locked/>
    <w:rsid w:val="00AE1594"/>
    <w:rPr>
      <w:rFonts w:ascii="Calibri" w:eastAsia="Times New Roman" w:hAnsi="Calibri" w:cs="Times New Roman"/>
      <w:i/>
      <w:szCs w:val="20"/>
      <w:lang w:val="en-GB" w:eastAsia="hr-HR"/>
    </w:rPr>
  </w:style>
  <w:style w:type="paragraph" w:customStyle="1" w:styleId="HeaderRight">
    <w:name w:val="Header Right"/>
    <w:basedOn w:val="Header"/>
    <w:uiPriority w:val="35"/>
    <w:rsid w:val="00AD773C"/>
    <w:pPr>
      <w:pBdr>
        <w:bottom w:val="dashed" w:sz="4" w:space="18" w:color="7F7F7F"/>
      </w:pBdr>
      <w:tabs>
        <w:tab w:val="clear" w:pos="4536"/>
        <w:tab w:val="clear" w:pos="9072"/>
        <w:tab w:val="center" w:pos="4320"/>
        <w:tab w:val="right" w:pos="8640"/>
      </w:tabs>
      <w:spacing w:after="200" w:line="276" w:lineRule="auto"/>
      <w:jc w:val="right"/>
    </w:pPr>
    <w:rPr>
      <w:rFonts w:asciiTheme="minorHAnsi" w:eastAsiaTheme="minorEastAsia" w:hAnsiTheme="minorHAnsi" w:cstheme="minorBidi"/>
      <w:color w:val="7F7F7F" w:themeColor="text1" w:themeTint="80"/>
      <w:sz w:val="20"/>
      <w:szCs w:val="20"/>
      <w:lang w:eastAsia="ja-JP"/>
    </w:rPr>
  </w:style>
  <w:style w:type="paragraph" w:customStyle="1" w:styleId="1">
    <w:name w:val="1"/>
    <w:basedOn w:val="Heading1"/>
    <w:next w:val="Normal"/>
    <w:rsid w:val="00E070A0"/>
    <w:pPr>
      <w:numPr>
        <w:numId w:val="0"/>
      </w:numPr>
    </w:pPr>
  </w:style>
  <w:style w:type="paragraph" w:styleId="ListContinue5">
    <w:name w:val="List Continue 5"/>
    <w:basedOn w:val="Normal"/>
    <w:uiPriority w:val="99"/>
    <w:unhideWhenUsed/>
    <w:rsid w:val="00494D06"/>
    <w:pPr>
      <w:spacing w:after="120"/>
      <w:ind w:left="1415"/>
      <w:contextualSpacing/>
    </w:pPr>
  </w:style>
  <w:style w:type="numbering" w:customStyle="1" w:styleId="NoList1">
    <w:name w:val="No List1"/>
    <w:next w:val="NoList"/>
    <w:uiPriority w:val="99"/>
    <w:semiHidden/>
    <w:unhideWhenUsed/>
    <w:rsid w:val="00494D06"/>
  </w:style>
  <w:style w:type="numbering" w:customStyle="1" w:styleId="NoList11">
    <w:name w:val="No List11"/>
    <w:next w:val="NoList"/>
    <w:uiPriority w:val="99"/>
    <w:semiHidden/>
    <w:unhideWhenUsed/>
    <w:rsid w:val="00494D06"/>
  </w:style>
  <w:style w:type="table" w:customStyle="1" w:styleId="TableGrid1">
    <w:name w:val="Table Grid1"/>
    <w:basedOn w:val="TableNormal"/>
    <w:next w:val="TableGrid"/>
    <w:uiPriority w:val="59"/>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494D06"/>
  </w:style>
  <w:style w:type="table" w:customStyle="1" w:styleId="TableGrid2">
    <w:name w:val="Table Grid2"/>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lomakpopisa1">
    <w:name w:val="Odlomak popisa1"/>
    <w:basedOn w:val="Normal"/>
    <w:uiPriority w:val="99"/>
    <w:rsid w:val="00494D06"/>
    <w:pPr>
      <w:ind w:left="720"/>
      <w:contextualSpacing/>
    </w:pPr>
    <w:rPr>
      <w:rFonts w:ascii="Calibri" w:eastAsia="Times New Roman" w:hAnsi="Calibri" w:cs="Times New Roman"/>
    </w:rPr>
  </w:style>
  <w:style w:type="paragraph" w:styleId="Quote">
    <w:name w:val="Quote"/>
    <w:basedOn w:val="Normal"/>
    <w:next w:val="Normal"/>
    <w:link w:val="QuoteChar"/>
    <w:uiPriority w:val="29"/>
    <w:rsid w:val="00494D06"/>
    <w:pPr>
      <w:spacing w:after="0" w:line="240" w:lineRule="auto"/>
    </w:pPr>
    <w:rPr>
      <w:rFonts w:ascii="Calibri" w:eastAsia="Calibri" w:hAnsi="Calibri" w:cs="Times New Roman"/>
      <w:i/>
      <w:iCs/>
      <w:color w:val="000000"/>
    </w:rPr>
  </w:style>
  <w:style w:type="character" w:customStyle="1" w:styleId="QuoteChar">
    <w:name w:val="Quote Char"/>
    <w:basedOn w:val="DefaultParagraphFont"/>
    <w:link w:val="Quote"/>
    <w:uiPriority w:val="29"/>
    <w:rsid w:val="00494D06"/>
    <w:rPr>
      <w:rFonts w:ascii="Calibri" w:eastAsia="Calibri" w:hAnsi="Calibri" w:cs="Times New Roman"/>
      <w:i/>
      <w:iCs/>
      <w:color w:val="000000"/>
    </w:rPr>
  </w:style>
  <w:style w:type="character" w:styleId="HTMLCite">
    <w:name w:val="HTML Cite"/>
    <w:uiPriority w:val="99"/>
    <w:semiHidden/>
    <w:unhideWhenUsed/>
    <w:rsid w:val="00494D06"/>
    <w:rPr>
      <w:i w:val="0"/>
      <w:iCs w:val="0"/>
      <w:color w:val="0E774A"/>
    </w:rPr>
  </w:style>
  <w:style w:type="character" w:styleId="FollowedHyperlink">
    <w:name w:val="FollowedHyperlink"/>
    <w:uiPriority w:val="99"/>
    <w:semiHidden/>
    <w:unhideWhenUsed/>
    <w:rsid w:val="00494D06"/>
    <w:rPr>
      <w:color w:val="800080"/>
      <w:u w:val="single"/>
    </w:rPr>
  </w:style>
  <w:style w:type="numbering" w:customStyle="1" w:styleId="NoList3">
    <w:name w:val="No List3"/>
    <w:next w:val="NoList"/>
    <w:uiPriority w:val="99"/>
    <w:semiHidden/>
    <w:unhideWhenUsed/>
    <w:rsid w:val="00494D06"/>
  </w:style>
  <w:style w:type="table" w:customStyle="1" w:styleId="TableGrid3">
    <w:name w:val="Table Grid3"/>
    <w:basedOn w:val="TableNormal"/>
    <w:next w:val="TableGrid"/>
    <w:uiPriority w:val="59"/>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494D06"/>
  </w:style>
  <w:style w:type="character" w:customStyle="1" w:styleId="apple-style-span">
    <w:name w:val="apple-style-span"/>
    <w:rsid w:val="00494D06"/>
  </w:style>
  <w:style w:type="table" w:styleId="LightShading-Accent2">
    <w:name w:val="Light Shading Accent 2"/>
    <w:basedOn w:val="TableNormal"/>
    <w:uiPriority w:val="60"/>
    <w:rsid w:val="00494D06"/>
    <w:pPr>
      <w:spacing w:after="0" w:line="240" w:lineRule="auto"/>
    </w:pPr>
    <w:rPr>
      <w:rFonts w:ascii="Calibri" w:eastAsia="Calibri" w:hAnsi="Calibri" w:cs="Times New Roman"/>
      <w:color w:val="943634"/>
      <w:sz w:val="20"/>
      <w:szCs w:val="20"/>
      <w:lang w:eastAsia="hr-H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4">
    <w:name w:val="No List4"/>
    <w:next w:val="NoList"/>
    <w:uiPriority w:val="99"/>
    <w:semiHidden/>
    <w:unhideWhenUsed/>
    <w:rsid w:val="00494D06"/>
  </w:style>
  <w:style w:type="table" w:customStyle="1" w:styleId="TableGrid4">
    <w:name w:val="Table Grid4"/>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studije0">
    <w:name w:val="Naslov studije"/>
    <w:basedOn w:val="Normal"/>
    <w:uiPriority w:val="99"/>
    <w:rsid w:val="00494D06"/>
    <w:pPr>
      <w:spacing w:after="0" w:line="240" w:lineRule="auto"/>
    </w:pPr>
    <w:rPr>
      <w:rFonts w:ascii="Arial" w:eastAsia="Times New Roman" w:hAnsi="Arial" w:cs="Arial"/>
      <w:b/>
      <w:sz w:val="48"/>
      <w:szCs w:val="36"/>
      <w:lang w:eastAsia="hr-HR"/>
    </w:rPr>
  </w:style>
  <w:style w:type="character" w:customStyle="1" w:styleId="Heading6Char1">
    <w:name w:val="Heading 6 Char1"/>
    <w:aliases w:val="slike Char1"/>
    <w:basedOn w:val="DefaultParagraphFont"/>
    <w:uiPriority w:val="99"/>
    <w:semiHidden/>
    <w:rsid w:val="00494D06"/>
    <w:rPr>
      <w:rFonts w:ascii="Cambria" w:eastAsia="Times New Roman" w:hAnsi="Cambria" w:cs="Times New Roman"/>
      <w:i/>
      <w:iCs/>
      <w:color w:val="243F60"/>
      <w:sz w:val="22"/>
      <w:szCs w:val="22"/>
      <w:lang w:eastAsia="en-US"/>
    </w:rPr>
  </w:style>
  <w:style w:type="table" w:customStyle="1" w:styleId="TableGrid5">
    <w:name w:val="Table Grid5"/>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494D06"/>
  </w:style>
  <w:style w:type="table" w:customStyle="1" w:styleId="TableGrid6">
    <w:name w:val="Table Grid6"/>
    <w:basedOn w:val="TableNormal"/>
    <w:next w:val="TableGrid"/>
    <w:uiPriority w:val="59"/>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494D06"/>
  </w:style>
  <w:style w:type="table" w:customStyle="1" w:styleId="TableGrid7">
    <w:name w:val="Table Grid7"/>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494D06"/>
  </w:style>
  <w:style w:type="table" w:customStyle="1" w:styleId="TableGrid8">
    <w:name w:val="Table Grid8"/>
    <w:basedOn w:val="TableNormal"/>
    <w:next w:val="TableGrid"/>
    <w:rsid w:val="00494D06"/>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94D06"/>
    <w:rPr>
      <w:color w:val="808080"/>
    </w:rPr>
  </w:style>
  <w:style w:type="table" w:customStyle="1" w:styleId="TableGrid9">
    <w:name w:val="Table Grid9"/>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494D06"/>
  </w:style>
  <w:style w:type="table" w:customStyle="1" w:styleId="TableGrid10">
    <w:name w:val="Table Grid10"/>
    <w:basedOn w:val="TableNormal"/>
    <w:next w:val="TableGrid"/>
    <w:uiPriority w:val="59"/>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494D06"/>
  </w:style>
  <w:style w:type="table" w:customStyle="1" w:styleId="TableGrid11">
    <w:name w:val="Table Grid11"/>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494D06"/>
  </w:style>
  <w:style w:type="table" w:customStyle="1" w:styleId="TableGrid12">
    <w:name w:val="Table Grid12"/>
    <w:basedOn w:val="TableNormal"/>
    <w:next w:val="TableGrid"/>
    <w:rsid w:val="00494D06"/>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94D0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494D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
    <w:name w:val="WW_OutlineListStyle_4"/>
    <w:basedOn w:val="NoList"/>
    <w:rsid w:val="00494D06"/>
    <w:pPr>
      <w:numPr>
        <w:numId w:val="41"/>
      </w:numPr>
    </w:pPr>
  </w:style>
  <w:style w:type="numbering" w:customStyle="1" w:styleId="NoList12">
    <w:name w:val="No List12"/>
    <w:next w:val="NoList"/>
    <w:uiPriority w:val="99"/>
    <w:semiHidden/>
    <w:unhideWhenUsed/>
    <w:rsid w:val="00494D06"/>
  </w:style>
  <w:style w:type="table" w:customStyle="1" w:styleId="TableGrid14">
    <w:name w:val="Table Grid14"/>
    <w:basedOn w:val="TableNormal"/>
    <w:next w:val="TableGrid"/>
    <w:uiPriority w:val="99"/>
    <w:rsid w:val="00494D06"/>
    <w:pPr>
      <w:spacing w:after="0" w:line="240" w:lineRule="auto"/>
    </w:pPr>
    <w:rPr>
      <w:rFonts w:ascii="Calibri" w:eastAsia="Calibri" w:hAnsi="Calibri" w:cs="Calibri"/>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rsid w:val="00494D06"/>
    <w:rPr>
      <w:b/>
      <w:bCs/>
      <w:i/>
      <w:iCs/>
      <w:color w:val="4F81BD"/>
    </w:rPr>
  </w:style>
  <w:style w:type="paragraph" w:customStyle="1" w:styleId="NASLOVPOGLAVLJA">
    <w:name w:val="NASLOV POGLAVLJA"/>
    <w:basedOn w:val="Normal"/>
    <w:rsid w:val="00494D06"/>
    <w:pPr>
      <w:tabs>
        <w:tab w:val="left" w:pos="426"/>
      </w:tabs>
      <w:spacing w:after="240" w:line="240" w:lineRule="auto"/>
      <w:ind w:left="426" w:hanging="426"/>
    </w:pPr>
    <w:rPr>
      <w:rFonts w:ascii="Arial" w:eastAsia="Arial Unicode MS" w:hAnsi="Arial" w:cs="Times New Roman"/>
      <w:b/>
      <w:sz w:val="28"/>
      <w:szCs w:val="28"/>
      <w:lang w:eastAsia="ja-JP"/>
    </w:rPr>
  </w:style>
  <w:style w:type="character" w:customStyle="1" w:styleId="kurziv">
    <w:name w:val="kurziv"/>
    <w:rsid w:val="00494D06"/>
  </w:style>
  <w:style w:type="paragraph" w:customStyle="1" w:styleId="Obinitekst2">
    <w:name w:val="Obični tekst2"/>
    <w:basedOn w:val="Normal"/>
    <w:rsid w:val="00494D06"/>
    <w:pPr>
      <w:jc w:val="center"/>
    </w:pPr>
    <w:rPr>
      <w:rFonts w:ascii="Arial" w:eastAsia="Calibri" w:hAnsi="Arial" w:cs="Times New Roman"/>
      <w:szCs w:val="20"/>
      <w:lang w:val="en-GB"/>
    </w:rPr>
  </w:style>
  <w:style w:type="character" w:customStyle="1" w:styleId="Mention1">
    <w:name w:val="Mention1"/>
    <w:basedOn w:val="DefaultParagraphFont"/>
    <w:uiPriority w:val="99"/>
    <w:semiHidden/>
    <w:unhideWhenUsed/>
    <w:rsid w:val="00B31F90"/>
    <w:rPr>
      <w:color w:val="2B579A"/>
      <w:shd w:val="clear" w:color="auto" w:fill="E6E6E6"/>
    </w:rPr>
  </w:style>
  <w:style w:type="numbering" w:customStyle="1" w:styleId="NoList13">
    <w:name w:val="No List13"/>
    <w:next w:val="NoList"/>
    <w:semiHidden/>
    <w:rsid w:val="00B31F90"/>
  </w:style>
  <w:style w:type="character" w:customStyle="1" w:styleId="xclaimempty">
    <w:name w:val="xclaimempty"/>
    <w:basedOn w:val="DefaultParagraphFont"/>
    <w:rsid w:val="00B31F90"/>
  </w:style>
  <w:style w:type="character" w:customStyle="1" w:styleId="xclaimstyle">
    <w:name w:val="xclaimstyle"/>
    <w:basedOn w:val="DefaultParagraphFont"/>
    <w:rsid w:val="00B31F90"/>
  </w:style>
  <w:style w:type="character" w:customStyle="1" w:styleId="slikeCharChar">
    <w:name w:val="slike Char Char"/>
    <w:basedOn w:val="DefaultParagraphFont"/>
    <w:rsid w:val="00B31F90"/>
    <w:rPr>
      <w:rFonts w:ascii="Calibri" w:hAnsi="Calibri"/>
      <w:i/>
      <w:iCs/>
      <w:sz w:val="22"/>
      <w:szCs w:val="22"/>
      <w:lang w:val="hr-HR" w:eastAsia="en-US" w:bidi="ar-SA"/>
    </w:rPr>
  </w:style>
  <w:style w:type="character" w:customStyle="1" w:styleId="slikeprave">
    <w:name w:val="slike prave"/>
    <w:basedOn w:val="DefaultParagraphFont"/>
    <w:qFormat/>
    <w:rsid w:val="00244D74"/>
    <w:rPr>
      <w:rFonts w:ascii="Calibri" w:hAnsi="Calibri"/>
      <w:b w:val="0"/>
      <w:bCs/>
      <w:i/>
      <w:sz w:val="22"/>
      <w:szCs w:val="22"/>
      <w:lang w:val="hr-HR" w:eastAsia="en-US" w:bidi="ar-SA"/>
    </w:rPr>
  </w:style>
  <w:style w:type="character" w:customStyle="1" w:styleId="tabliceCharChar">
    <w:name w:val="tablice Char Char"/>
    <w:basedOn w:val="DefaultParagraphFont"/>
    <w:rsid w:val="00B31F90"/>
    <w:rPr>
      <w:rFonts w:ascii="Calibri" w:hAnsi="Calibri"/>
      <w:i/>
      <w:sz w:val="22"/>
      <w:szCs w:val="22"/>
      <w:lang w:val="hr-HR" w:eastAsia="en-US" w:bidi="ar-SA"/>
    </w:rPr>
  </w:style>
  <w:style w:type="character" w:customStyle="1" w:styleId="CharChar5">
    <w:name w:val="Char Char5"/>
    <w:basedOn w:val="DefaultParagraphFont"/>
    <w:rsid w:val="00AE1594"/>
    <w:rPr>
      <w:rFonts w:ascii="Calibri" w:eastAsia="Calibri" w:hAnsi="Calibri"/>
      <w:i/>
      <w:sz w:val="22"/>
      <w:szCs w:val="22"/>
      <w:lang w:val="hr-HR" w:eastAsia="en-US" w:bidi="ar-SA"/>
    </w:rPr>
  </w:style>
  <w:style w:type="character" w:customStyle="1" w:styleId="CharChar17">
    <w:name w:val="Char Char17"/>
    <w:basedOn w:val="DefaultParagraphFont"/>
    <w:rsid w:val="00AE1594"/>
    <w:rPr>
      <w:rFonts w:ascii="Calibri" w:hAnsi="Calibri"/>
      <w:b w:val="0"/>
      <w:bCs/>
      <w:i/>
      <w:kern w:val="32"/>
      <w:sz w:val="24"/>
      <w:szCs w:val="24"/>
      <w:lang w:val="hr-HR" w:eastAsia="en-US" w:bidi="ar-SA"/>
    </w:rPr>
  </w:style>
  <w:style w:type="paragraph" w:styleId="BodyText2">
    <w:name w:val="Body Text 2"/>
    <w:basedOn w:val="Normal"/>
    <w:link w:val="BodyText2Char"/>
    <w:rsid w:val="00B31F90"/>
    <w:pPr>
      <w:spacing w:after="0" w:line="240" w:lineRule="auto"/>
    </w:pPr>
    <w:rPr>
      <w:rFonts w:ascii="Calibri" w:eastAsia="Calibri" w:hAnsi="Calibri" w:cs="Times New Roman"/>
      <w:sz w:val="18"/>
      <w:szCs w:val="18"/>
    </w:rPr>
  </w:style>
  <w:style w:type="character" w:customStyle="1" w:styleId="BodyText2Char">
    <w:name w:val="Body Text 2 Char"/>
    <w:basedOn w:val="DefaultParagraphFont"/>
    <w:link w:val="BodyText2"/>
    <w:rsid w:val="00B31F90"/>
    <w:rPr>
      <w:rFonts w:ascii="Calibri" w:eastAsia="Calibri" w:hAnsi="Calibri" w:cs="Times New Roman"/>
      <w:sz w:val="18"/>
      <w:szCs w:val="18"/>
    </w:rPr>
  </w:style>
  <w:style w:type="paragraph" w:customStyle="1" w:styleId="Odlomakpopisa2">
    <w:name w:val="Odlomak popisa2"/>
    <w:basedOn w:val="Normal"/>
    <w:rsid w:val="00B31F90"/>
    <w:pPr>
      <w:ind w:left="720"/>
      <w:contextualSpacing/>
    </w:pPr>
    <w:rPr>
      <w:rFonts w:ascii="Calibri" w:eastAsia="Calibri" w:hAnsi="Calibri" w:cs="Times New Roman"/>
    </w:rPr>
  </w:style>
  <w:style w:type="character" w:customStyle="1" w:styleId="fontnaslov">
    <w:name w:val="fontnaslov"/>
    <w:basedOn w:val="DefaultParagraphFont"/>
    <w:rsid w:val="00B31F90"/>
  </w:style>
  <w:style w:type="paragraph" w:styleId="DocumentMap">
    <w:name w:val="Document Map"/>
    <w:basedOn w:val="Normal"/>
    <w:link w:val="DocumentMapChar"/>
    <w:semiHidden/>
    <w:unhideWhenUsed/>
    <w:rsid w:val="00B31F90"/>
    <w:rPr>
      <w:rFonts w:ascii="Tahoma" w:eastAsia="Calibri" w:hAnsi="Tahoma" w:cs="Tahoma"/>
      <w:sz w:val="16"/>
      <w:szCs w:val="16"/>
    </w:rPr>
  </w:style>
  <w:style w:type="character" w:customStyle="1" w:styleId="DocumentMapChar">
    <w:name w:val="Document Map Char"/>
    <w:basedOn w:val="DefaultParagraphFont"/>
    <w:link w:val="DocumentMap"/>
    <w:semiHidden/>
    <w:rsid w:val="00B31F90"/>
    <w:rPr>
      <w:rFonts w:ascii="Tahoma" w:eastAsia="Calibri" w:hAnsi="Tahoma" w:cs="Tahoma"/>
      <w:sz w:val="16"/>
      <w:szCs w:val="16"/>
    </w:rPr>
  </w:style>
  <w:style w:type="numbering" w:customStyle="1" w:styleId="NoList14">
    <w:name w:val="No List14"/>
    <w:next w:val="NoList"/>
    <w:semiHidden/>
    <w:rsid w:val="00B31F90"/>
  </w:style>
  <w:style w:type="character" w:customStyle="1" w:styleId="UnresolvedMention2">
    <w:name w:val="Unresolved Mention2"/>
    <w:basedOn w:val="DefaultParagraphFont"/>
    <w:uiPriority w:val="99"/>
    <w:semiHidden/>
    <w:unhideWhenUsed/>
    <w:rsid w:val="00AE5E1A"/>
    <w:rPr>
      <w:color w:val="808080"/>
      <w:shd w:val="clear" w:color="auto" w:fill="E6E6E6"/>
    </w:rPr>
  </w:style>
  <w:style w:type="paragraph" w:customStyle="1" w:styleId="Naslov11">
    <w:name w:val="Naslov 11"/>
    <w:basedOn w:val="Normal"/>
    <w:rsid w:val="00C678AC"/>
    <w:pPr>
      <w:numPr>
        <w:numId w:val="74"/>
      </w:numPr>
    </w:pPr>
  </w:style>
  <w:style w:type="paragraph" w:customStyle="1" w:styleId="Naslov21">
    <w:name w:val="Naslov 21"/>
    <w:basedOn w:val="Normal"/>
    <w:rsid w:val="00C678AC"/>
    <w:pPr>
      <w:numPr>
        <w:ilvl w:val="1"/>
        <w:numId w:val="74"/>
      </w:numPr>
    </w:pPr>
  </w:style>
  <w:style w:type="paragraph" w:customStyle="1" w:styleId="Naslov31">
    <w:name w:val="Naslov 31"/>
    <w:basedOn w:val="Normal"/>
    <w:rsid w:val="00C678AC"/>
    <w:pPr>
      <w:numPr>
        <w:ilvl w:val="2"/>
        <w:numId w:val="74"/>
      </w:numPr>
    </w:pPr>
  </w:style>
  <w:style w:type="paragraph" w:customStyle="1" w:styleId="Naslov41">
    <w:name w:val="Naslov 41"/>
    <w:basedOn w:val="Normal"/>
    <w:rsid w:val="00C678AC"/>
    <w:pPr>
      <w:numPr>
        <w:ilvl w:val="3"/>
        <w:numId w:val="74"/>
      </w:numPr>
    </w:pPr>
  </w:style>
  <w:style w:type="paragraph" w:customStyle="1" w:styleId="Naslov51">
    <w:name w:val="Naslov 51"/>
    <w:basedOn w:val="Normal"/>
    <w:rsid w:val="00C678AC"/>
    <w:pPr>
      <w:numPr>
        <w:ilvl w:val="4"/>
        <w:numId w:val="74"/>
      </w:numPr>
    </w:pPr>
  </w:style>
  <w:style w:type="paragraph" w:customStyle="1" w:styleId="Naslov61">
    <w:name w:val="Naslov 61"/>
    <w:basedOn w:val="Normal"/>
    <w:rsid w:val="00C678AC"/>
    <w:pPr>
      <w:numPr>
        <w:ilvl w:val="5"/>
        <w:numId w:val="74"/>
      </w:numPr>
    </w:pPr>
  </w:style>
  <w:style w:type="paragraph" w:customStyle="1" w:styleId="Naslov71">
    <w:name w:val="Naslov 71"/>
    <w:basedOn w:val="Normal"/>
    <w:rsid w:val="00C678AC"/>
    <w:pPr>
      <w:numPr>
        <w:ilvl w:val="6"/>
        <w:numId w:val="74"/>
      </w:numPr>
    </w:pPr>
  </w:style>
  <w:style w:type="paragraph" w:customStyle="1" w:styleId="Naslov81">
    <w:name w:val="Naslov 81"/>
    <w:basedOn w:val="Normal"/>
    <w:rsid w:val="00C678AC"/>
    <w:pPr>
      <w:numPr>
        <w:ilvl w:val="7"/>
        <w:numId w:val="74"/>
      </w:numPr>
    </w:pPr>
  </w:style>
  <w:style w:type="paragraph" w:customStyle="1" w:styleId="Naslov91">
    <w:name w:val="Naslov 91"/>
    <w:basedOn w:val="Normal"/>
    <w:rsid w:val="00C678AC"/>
    <w:pPr>
      <w:numPr>
        <w:ilvl w:val="8"/>
        <w:numId w:val="74"/>
      </w:numPr>
    </w:pPr>
  </w:style>
  <w:style w:type="paragraph" w:styleId="Revision">
    <w:name w:val="Revision"/>
    <w:hidden/>
    <w:uiPriority w:val="99"/>
    <w:semiHidden/>
    <w:rsid w:val="00982332"/>
    <w:pPr>
      <w:spacing w:after="0" w:line="240" w:lineRule="auto"/>
    </w:pPr>
  </w:style>
  <w:style w:type="paragraph" w:customStyle="1" w:styleId="paragraph">
    <w:name w:val="paragraph"/>
    <w:basedOn w:val="Normal"/>
    <w:rsid w:val="00B227C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227CC"/>
  </w:style>
  <w:style w:type="character" w:customStyle="1" w:styleId="spellingerror">
    <w:name w:val="spellingerror"/>
    <w:basedOn w:val="DefaultParagraphFont"/>
    <w:rsid w:val="00B227CC"/>
  </w:style>
  <w:style w:type="character" w:customStyle="1" w:styleId="eop">
    <w:name w:val="eop"/>
    <w:basedOn w:val="DefaultParagraphFont"/>
    <w:rsid w:val="00B227CC"/>
  </w:style>
  <w:style w:type="character" w:customStyle="1" w:styleId="UnresolvedMention">
    <w:name w:val="Unresolved Mention"/>
    <w:basedOn w:val="DefaultParagraphFont"/>
    <w:uiPriority w:val="99"/>
    <w:semiHidden/>
    <w:unhideWhenUsed/>
    <w:rsid w:val="00544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419">
      <w:bodyDiv w:val="1"/>
      <w:marLeft w:val="0"/>
      <w:marRight w:val="0"/>
      <w:marTop w:val="0"/>
      <w:marBottom w:val="0"/>
      <w:divBdr>
        <w:top w:val="none" w:sz="0" w:space="0" w:color="auto"/>
        <w:left w:val="none" w:sz="0" w:space="0" w:color="auto"/>
        <w:bottom w:val="none" w:sz="0" w:space="0" w:color="auto"/>
        <w:right w:val="none" w:sz="0" w:space="0" w:color="auto"/>
      </w:divBdr>
    </w:div>
    <w:div w:id="87700361">
      <w:bodyDiv w:val="1"/>
      <w:marLeft w:val="0"/>
      <w:marRight w:val="0"/>
      <w:marTop w:val="0"/>
      <w:marBottom w:val="0"/>
      <w:divBdr>
        <w:top w:val="none" w:sz="0" w:space="0" w:color="auto"/>
        <w:left w:val="none" w:sz="0" w:space="0" w:color="auto"/>
        <w:bottom w:val="none" w:sz="0" w:space="0" w:color="auto"/>
        <w:right w:val="none" w:sz="0" w:space="0" w:color="auto"/>
      </w:divBdr>
    </w:div>
    <w:div w:id="107822612">
      <w:bodyDiv w:val="1"/>
      <w:marLeft w:val="0"/>
      <w:marRight w:val="0"/>
      <w:marTop w:val="0"/>
      <w:marBottom w:val="0"/>
      <w:divBdr>
        <w:top w:val="none" w:sz="0" w:space="0" w:color="auto"/>
        <w:left w:val="none" w:sz="0" w:space="0" w:color="auto"/>
        <w:bottom w:val="none" w:sz="0" w:space="0" w:color="auto"/>
        <w:right w:val="none" w:sz="0" w:space="0" w:color="auto"/>
      </w:divBdr>
    </w:div>
    <w:div w:id="110369450">
      <w:bodyDiv w:val="1"/>
      <w:marLeft w:val="0"/>
      <w:marRight w:val="0"/>
      <w:marTop w:val="0"/>
      <w:marBottom w:val="0"/>
      <w:divBdr>
        <w:top w:val="none" w:sz="0" w:space="0" w:color="auto"/>
        <w:left w:val="none" w:sz="0" w:space="0" w:color="auto"/>
        <w:bottom w:val="none" w:sz="0" w:space="0" w:color="auto"/>
        <w:right w:val="none" w:sz="0" w:space="0" w:color="auto"/>
      </w:divBdr>
    </w:div>
    <w:div w:id="118384465">
      <w:bodyDiv w:val="1"/>
      <w:marLeft w:val="0"/>
      <w:marRight w:val="0"/>
      <w:marTop w:val="0"/>
      <w:marBottom w:val="0"/>
      <w:divBdr>
        <w:top w:val="none" w:sz="0" w:space="0" w:color="auto"/>
        <w:left w:val="none" w:sz="0" w:space="0" w:color="auto"/>
        <w:bottom w:val="none" w:sz="0" w:space="0" w:color="auto"/>
        <w:right w:val="none" w:sz="0" w:space="0" w:color="auto"/>
      </w:divBdr>
      <w:divsChild>
        <w:div w:id="371543464">
          <w:marLeft w:val="0"/>
          <w:marRight w:val="0"/>
          <w:marTop w:val="0"/>
          <w:marBottom w:val="0"/>
          <w:divBdr>
            <w:top w:val="none" w:sz="0" w:space="0" w:color="auto"/>
            <w:left w:val="none" w:sz="0" w:space="0" w:color="auto"/>
            <w:bottom w:val="none" w:sz="0" w:space="0" w:color="auto"/>
            <w:right w:val="none" w:sz="0" w:space="0" w:color="auto"/>
          </w:divBdr>
        </w:div>
        <w:div w:id="708650869">
          <w:marLeft w:val="0"/>
          <w:marRight w:val="0"/>
          <w:marTop w:val="0"/>
          <w:marBottom w:val="0"/>
          <w:divBdr>
            <w:top w:val="none" w:sz="0" w:space="0" w:color="auto"/>
            <w:left w:val="none" w:sz="0" w:space="0" w:color="auto"/>
            <w:bottom w:val="none" w:sz="0" w:space="0" w:color="auto"/>
            <w:right w:val="none" w:sz="0" w:space="0" w:color="auto"/>
          </w:divBdr>
        </w:div>
        <w:div w:id="723676890">
          <w:marLeft w:val="0"/>
          <w:marRight w:val="0"/>
          <w:marTop w:val="0"/>
          <w:marBottom w:val="0"/>
          <w:divBdr>
            <w:top w:val="none" w:sz="0" w:space="0" w:color="auto"/>
            <w:left w:val="none" w:sz="0" w:space="0" w:color="auto"/>
            <w:bottom w:val="none" w:sz="0" w:space="0" w:color="auto"/>
            <w:right w:val="none" w:sz="0" w:space="0" w:color="auto"/>
          </w:divBdr>
        </w:div>
        <w:div w:id="865752852">
          <w:marLeft w:val="0"/>
          <w:marRight w:val="0"/>
          <w:marTop w:val="0"/>
          <w:marBottom w:val="0"/>
          <w:divBdr>
            <w:top w:val="none" w:sz="0" w:space="0" w:color="auto"/>
            <w:left w:val="none" w:sz="0" w:space="0" w:color="auto"/>
            <w:bottom w:val="none" w:sz="0" w:space="0" w:color="auto"/>
            <w:right w:val="none" w:sz="0" w:space="0" w:color="auto"/>
          </w:divBdr>
        </w:div>
        <w:div w:id="920717095">
          <w:marLeft w:val="0"/>
          <w:marRight w:val="0"/>
          <w:marTop w:val="0"/>
          <w:marBottom w:val="0"/>
          <w:divBdr>
            <w:top w:val="none" w:sz="0" w:space="0" w:color="auto"/>
            <w:left w:val="none" w:sz="0" w:space="0" w:color="auto"/>
            <w:bottom w:val="none" w:sz="0" w:space="0" w:color="auto"/>
            <w:right w:val="none" w:sz="0" w:space="0" w:color="auto"/>
          </w:divBdr>
        </w:div>
        <w:div w:id="948511844">
          <w:marLeft w:val="0"/>
          <w:marRight w:val="0"/>
          <w:marTop w:val="0"/>
          <w:marBottom w:val="0"/>
          <w:divBdr>
            <w:top w:val="none" w:sz="0" w:space="0" w:color="auto"/>
            <w:left w:val="none" w:sz="0" w:space="0" w:color="auto"/>
            <w:bottom w:val="none" w:sz="0" w:space="0" w:color="auto"/>
            <w:right w:val="none" w:sz="0" w:space="0" w:color="auto"/>
          </w:divBdr>
        </w:div>
        <w:div w:id="1173371731">
          <w:marLeft w:val="0"/>
          <w:marRight w:val="0"/>
          <w:marTop w:val="0"/>
          <w:marBottom w:val="0"/>
          <w:divBdr>
            <w:top w:val="none" w:sz="0" w:space="0" w:color="auto"/>
            <w:left w:val="none" w:sz="0" w:space="0" w:color="auto"/>
            <w:bottom w:val="none" w:sz="0" w:space="0" w:color="auto"/>
            <w:right w:val="none" w:sz="0" w:space="0" w:color="auto"/>
          </w:divBdr>
        </w:div>
        <w:div w:id="1224608273">
          <w:marLeft w:val="0"/>
          <w:marRight w:val="0"/>
          <w:marTop w:val="0"/>
          <w:marBottom w:val="0"/>
          <w:divBdr>
            <w:top w:val="none" w:sz="0" w:space="0" w:color="auto"/>
            <w:left w:val="none" w:sz="0" w:space="0" w:color="auto"/>
            <w:bottom w:val="none" w:sz="0" w:space="0" w:color="auto"/>
            <w:right w:val="none" w:sz="0" w:space="0" w:color="auto"/>
          </w:divBdr>
        </w:div>
        <w:div w:id="1547571847">
          <w:marLeft w:val="0"/>
          <w:marRight w:val="0"/>
          <w:marTop w:val="0"/>
          <w:marBottom w:val="0"/>
          <w:divBdr>
            <w:top w:val="none" w:sz="0" w:space="0" w:color="auto"/>
            <w:left w:val="none" w:sz="0" w:space="0" w:color="auto"/>
            <w:bottom w:val="none" w:sz="0" w:space="0" w:color="auto"/>
            <w:right w:val="none" w:sz="0" w:space="0" w:color="auto"/>
          </w:divBdr>
        </w:div>
      </w:divsChild>
    </w:div>
    <w:div w:id="206916724">
      <w:bodyDiv w:val="1"/>
      <w:marLeft w:val="0"/>
      <w:marRight w:val="0"/>
      <w:marTop w:val="0"/>
      <w:marBottom w:val="0"/>
      <w:divBdr>
        <w:top w:val="none" w:sz="0" w:space="0" w:color="auto"/>
        <w:left w:val="none" w:sz="0" w:space="0" w:color="auto"/>
        <w:bottom w:val="none" w:sz="0" w:space="0" w:color="auto"/>
        <w:right w:val="none" w:sz="0" w:space="0" w:color="auto"/>
      </w:divBdr>
    </w:div>
    <w:div w:id="550457120">
      <w:bodyDiv w:val="1"/>
      <w:marLeft w:val="0"/>
      <w:marRight w:val="0"/>
      <w:marTop w:val="0"/>
      <w:marBottom w:val="0"/>
      <w:divBdr>
        <w:top w:val="none" w:sz="0" w:space="0" w:color="auto"/>
        <w:left w:val="none" w:sz="0" w:space="0" w:color="auto"/>
        <w:bottom w:val="none" w:sz="0" w:space="0" w:color="auto"/>
        <w:right w:val="none" w:sz="0" w:space="0" w:color="auto"/>
      </w:divBdr>
    </w:div>
    <w:div w:id="585261905">
      <w:bodyDiv w:val="1"/>
      <w:marLeft w:val="0"/>
      <w:marRight w:val="0"/>
      <w:marTop w:val="0"/>
      <w:marBottom w:val="0"/>
      <w:divBdr>
        <w:top w:val="none" w:sz="0" w:space="0" w:color="auto"/>
        <w:left w:val="none" w:sz="0" w:space="0" w:color="auto"/>
        <w:bottom w:val="none" w:sz="0" w:space="0" w:color="auto"/>
        <w:right w:val="none" w:sz="0" w:space="0" w:color="auto"/>
      </w:divBdr>
    </w:div>
    <w:div w:id="593166836">
      <w:bodyDiv w:val="1"/>
      <w:marLeft w:val="0"/>
      <w:marRight w:val="0"/>
      <w:marTop w:val="0"/>
      <w:marBottom w:val="0"/>
      <w:divBdr>
        <w:top w:val="none" w:sz="0" w:space="0" w:color="auto"/>
        <w:left w:val="none" w:sz="0" w:space="0" w:color="auto"/>
        <w:bottom w:val="none" w:sz="0" w:space="0" w:color="auto"/>
        <w:right w:val="none" w:sz="0" w:space="0" w:color="auto"/>
      </w:divBdr>
    </w:div>
    <w:div w:id="597249017">
      <w:bodyDiv w:val="1"/>
      <w:marLeft w:val="0"/>
      <w:marRight w:val="0"/>
      <w:marTop w:val="0"/>
      <w:marBottom w:val="0"/>
      <w:divBdr>
        <w:top w:val="none" w:sz="0" w:space="0" w:color="auto"/>
        <w:left w:val="none" w:sz="0" w:space="0" w:color="auto"/>
        <w:bottom w:val="none" w:sz="0" w:space="0" w:color="auto"/>
        <w:right w:val="none" w:sz="0" w:space="0" w:color="auto"/>
      </w:divBdr>
    </w:div>
    <w:div w:id="619070727">
      <w:bodyDiv w:val="1"/>
      <w:marLeft w:val="0"/>
      <w:marRight w:val="0"/>
      <w:marTop w:val="0"/>
      <w:marBottom w:val="0"/>
      <w:divBdr>
        <w:top w:val="none" w:sz="0" w:space="0" w:color="auto"/>
        <w:left w:val="none" w:sz="0" w:space="0" w:color="auto"/>
        <w:bottom w:val="none" w:sz="0" w:space="0" w:color="auto"/>
        <w:right w:val="none" w:sz="0" w:space="0" w:color="auto"/>
      </w:divBdr>
    </w:div>
    <w:div w:id="641422431">
      <w:bodyDiv w:val="1"/>
      <w:marLeft w:val="0"/>
      <w:marRight w:val="0"/>
      <w:marTop w:val="0"/>
      <w:marBottom w:val="0"/>
      <w:divBdr>
        <w:top w:val="none" w:sz="0" w:space="0" w:color="auto"/>
        <w:left w:val="none" w:sz="0" w:space="0" w:color="auto"/>
        <w:bottom w:val="none" w:sz="0" w:space="0" w:color="auto"/>
        <w:right w:val="none" w:sz="0" w:space="0" w:color="auto"/>
      </w:divBdr>
    </w:div>
    <w:div w:id="840655267">
      <w:bodyDiv w:val="1"/>
      <w:marLeft w:val="0"/>
      <w:marRight w:val="0"/>
      <w:marTop w:val="0"/>
      <w:marBottom w:val="0"/>
      <w:divBdr>
        <w:top w:val="none" w:sz="0" w:space="0" w:color="auto"/>
        <w:left w:val="none" w:sz="0" w:space="0" w:color="auto"/>
        <w:bottom w:val="none" w:sz="0" w:space="0" w:color="auto"/>
        <w:right w:val="none" w:sz="0" w:space="0" w:color="auto"/>
      </w:divBdr>
    </w:div>
    <w:div w:id="1039161153">
      <w:bodyDiv w:val="1"/>
      <w:marLeft w:val="0"/>
      <w:marRight w:val="0"/>
      <w:marTop w:val="0"/>
      <w:marBottom w:val="0"/>
      <w:divBdr>
        <w:top w:val="none" w:sz="0" w:space="0" w:color="auto"/>
        <w:left w:val="none" w:sz="0" w:space="0" w:color="auto"/>
        <w:bottom w:val="none" w:sz="0" w:space="0" w:color="auto"/>
        <w:right w:val="none" w:sz="0" w:space="0" w:color="auto"/>
      </w:divBdr>
    </w:div>
    <w:div w:id="1056661672">
      <w:bodyDiv w:val="1"/>
      <w:marLeft w:val="0"/>
      <w:marRight w:val="0"/>
      <w:marTop w:val="0"/>
      <w:marBottom w:val="0"/>
      <w:divBdr>
        <w:top w:val="none" w:sz="0" w:space="0" w:color="auto"/>
        <w:left w:val="none" w:sz="0" w:space="0" w:color="auto"/>
        <w:bottom w:val="none" w:sz="0" w:space="0" w:color="auto"/>
        <w:right w:val="none" w:sz="0" w:space="0" w:color="auto"/>
      </w:divBdr>
    </w:div>
    <w:div w:id="1118328408">
      <w:bodyDiv w:val="1"/>
      <w:marLeft w:val="0"/>
      <w:marRight w:val="0"/>
      <w:marTop w:val="0"/>
      <w:marBottom w:val="0"/>
      <w:divBdr>
        <w:top w:val="none" w:sz="0" w:space="0" w:color="auto"/>
        <w:left w:val="none" w:sz="0" w:space="0" w:color="auto"/>
        <w:bottom w:val="none" w:sz="0" w:space="0" w:color="auto"/>
        <w:right w:val="none" w:sz="0" w:space="0" w:color="auto"/>
      </w:divBdr>
    </w:div>
    <w:div w:id="1294171860">
      <w:bodyDiv w:val="1"/>
      <w:marLeft w:val="0"/>
      <w:marRight w:val="0"/>
      <w:marTop w:val="0"/>
      <w:marBottom w:val="0"/>
      <w:divBdr>
        <w:top w:val="none" w:sz="0" w:space="0" w:color="auto"/>
        <w:left w:val="none" w:sz="0" w:space="0" w:color="auto"/>
        <w:bottom w:val="none" w:sz="0" w:space="0" w:color="auto"/>
        <w:right w:val="none" w:sz="0" w:space="0" w:color="auto"/>
      </w:divBdr>
    </w:div>
    <w:div w:id="1778407266">
      <w:bodyDiv w:val="1"/>
      <w:marLeft w:val="0"/>
      <w:marRight w:val="0"/>
      <w:marTop w:val="0"/>
      <w:marBottom w:val="0"/>
      <w:divBdr>
        <w:top w:val="none" w:sz="0" w:space="0" w:color="auto"/>
        <w:left w:val="none" w:sz="0" w:space="0" w:color="auto"/>
        <w:bottom w:val="none" w:sz="0" w:space="0" w:color="auto"/>
        <w:right w:val="none" w:sz="0" w:space="0" w:color="auto"/>
      </w:divBdr>
    </w:div>
    <w:div w:id="1858930312">
      <w:bodyDiv w:val="1"/>
      <w:marLeft w:val="0"/>
      <w:marRight w:val="0"/>
      <w:marTop w:val="0"/>
      <w:marBottom w:val="0"/>
      <w:divBdr>
        <w:top w:val="none" w:sz="0" w:space="0" w:color="auto"/>
        <w:left w:val="none" w:sz="0" w:space="0" w:color="auto"/>
        <w:bottom w:val="none" w:sz="0" w:space="0" w:color="auto"/>
        <w:right w:val="none" w:sz="0" w:space="0" w:color="auto"/>
      </w:divBdr>
    </w:div>
    <w:div w:id="19706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3" Type="http://schemas.openxmlformats.org/officeDocument/2006/relationships/customXml" Target="../customXml/item3.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2.xm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hyperlink" Target="https://ekokartazagreb.stampar.hr/"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ntahelix.eu"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3.xml"/><Relationship Id="rId8" Type="http://schemas.openxmlformats.org/officeDocument/2006/relationships/webSettings" Target="web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xml"/><Relationship Id="rId1" Type="http://schemas.microsoft.com/office/2011/relationships/chartStyle" Target="style1.xml"/></Relationships>
</file>

<file path=word/charts/_rels/chart18.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19.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1" Type="http://schemas.openxmlformats.org/officeDocument/2006/relationships/oleObject" Target="file:///\\192.168.0.2\javno\Projekti\Grad%20Zagreb\SEAP\Radno\Radno_ivan\ivan_tekst\grafovi-dodatno.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2.xml"/></Relationships>
</file>

<file path=word/charts/_rels/chart21.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2.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23.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24.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25.xml.rels><?xml version="1.0" encoding="UTF-8" standalone="yes"?>
<Relationships xmlns="http://schemas.openxmlformats.org/package/2006/relationships"><Relationship Id="rId1" Type="http://schemas.openxmlformats.org/officeDocument/2006/relationships/oleObject" Target="../embeddings/oleObject14.bin"/></Relationships>
</file>

<file path=word/charts/_rels/chart26.xml.rels><?xml version="1.0" encoding="UTF-8" standalone="yes"?>
<Relationships xmlns="http://schemas.openxmlformats.org/package/2006/relationships"><Relationship Id="rId1" Type="http://schemas.openxmlformats.org/officeDocument/2006/relationships/oleObject" Target="../embeddings/oleObject15.bin"/></Relationships>
</file>

<file path=word/charts/_rels/chart27.xml.rels><?xml version="1.0" encoding="UTF-8" standalone="yes"?>
<Relationships xmlns="http://schemas.openxmlformats.org/package/2006/relationships"><Relationship Id="rId1" Type="http://schemas.openxmlformats.org/officeDocument/2006/relationships/oleObject" Target="../embeddings/oleObject16.bin"/></Relationships>
</file>

<file path=word/charts/_rels/chart28.xml.rels><?xml version="1.0" encoding="UTF-8" standalone="yes"?>
<Relationships xmlns="http://schemas.openxmlformats.org/package/2006/relationships"><Relationship Id="rId1" Type="http://schemas.openxmlformats.org/officeDocument/2006/relationships/oleObject" Target="../embeddings/oleObject17.bin"/></Relationships>
</file>

<file path=word/charts/_rels/chart29.xml.rels><?xml version="1.0" encoding="UTF-8" standalone="yes"?>
<Relationships xmlns="http://schemas.openxmlformats.org/package/2006/relationships"><Relationship Id="rId1" Type="http://schemas.openxmlformats.org/officeDocument/2006/relationships/oleObject" Target="../embeddings/oleObject18.bin"/></Relationships>
</file>

<file path=word/charts/_rels/chart3.xml.rels><?xml version="1.0" encoding="UTF-8" standalone="yes"?>
<Relationships xmlns="http://schemas.openxmlformats.org/package/2006/relationships"><Relationship Id="rId1" Type="http://schemas.openxmlformats.org/officeDocument/2006/relationships/oleObject" Target="file:///\\192.168.0.2\javno\Projekti\Grad%20Zagreb\SEAP\Radno\Radno_ivan\ivan_tekst\grafovi-dodatno.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embeddings/oleObject19.bin"/></Relationships>
</file>

<file path=word/charts/_rels/chart31.xml.rels><?xml version="1.0" encoding="UTF-8" standalone="yes"?>
<Relationships xmlns="http://schemas.openxmlformats.org/package/2006/relationships"><Relationship Id="rId1" Type="http://schemas.openxmlformats.org/officeDocument/2006/relationships/oleObject" Target="../embeddings/oleObject20.bin"/></Relationships>
</file>

<file path=word/charts/_rels/chart32.xml.rels><?xml version="1.0" encoding="UTF-8" standalone="yes"?>
<Relationships xmlns="http://schemas.openxmlformats.org/package/2006/relationships"><Relationship Id="rId1" Type="http://schemas.openxmlformats.org/officeDocument/2006/relationships/oleObject" Target="file:///C:\Users\Mdmatak\Desktop\Kopija%20Copy%20of%20SECAP%20ZAGREB%20prora&#269;un%20procjena%20emisija%20tablice_NM.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Mdmatak\AppData\Local\Microsoft\Windows\INetCache\Content.Outlook\F3RYK7RU\Copy%20of%20SECAP%20ZAGREB%20prora&#269;un%20procjena%20emisija%20tablice_N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0.2\javno\Projekti\Grad%20Zagreb\SEAP\Radno\Radno_ivan\ivan_tekst\grafovi-emisije%20200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0.2\javno\Projekti\Grad%20Zagreb\SEAP\Radno\Radno_ivan\ivan_tekst\grafovi-emisije%20200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0.2\javno\Projekti\Grad%20Zagreb\SEAP\Konacno\EKONERG\excel\grafovi-emisije%202008-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0.2\javno\Projekti\Grad%20Zagreb\SEAP\Radno\Radno_ivan\ivan_tekst\grafovi-emisije%2020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mn-lt"/>
              </a:defRPr>
            </a:pPr>
            <a:r>
              <a:rPr lang="hr-HR" sz="1000">
                <a:latin typeface="+mn-lt"/>
              </a:rPr>
              <a:t>Emisije CO₂ iz sektora zgradarstva</a:t>
            </a:r>
          </a:p>
        </c:rich>
      </c:tx>
      <c:overlay val="0"/>
    </c:title>
    <c:autoTitleDeleted val="0"/>
    <c:plotArea>
      <c:layout/>
      <c:barChart>
        <c:barDir val="col"/>
        <c:grouping val="stacked"/>
        <c:varyColors val="0"/>
        <c:ser>
          <c:idx val="0"/>
          <c:order val="0"/>
          <c:tx>
            <c:strRef>
              <c:f>'X:\iselanec\Grad Zagreb\Proracun\[Zgradarstvo-10_02_2010.xlsx]proračun II'!$C$39</c:f>
              <c:strCache>
                <c:ptCount val="1"/>
                <c:pt idx="0">
                  <c:v>Stambene i javne zgrade u vlasništvu Grada</c:v>
                </c:pt>
              </c:strCache>
            </c:strRef>
          </c:tx>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II'!$C$40:$C$45</c:f>
              <c:numCache>
                <c:formatCode>General</c:formatCode>
                <c:ptCount val="6"/>
                <c:pt idx="0">
                  <c:v>46094.350578972721</c:v>
                </c:pt>
                <c:pt idx="1">
                  <c:v>42412.730458268205</c:v>
                </c:pt>
                <c:pt idx="2">
                  <c:v>36848.098590486879</c:v>
                </c:pt>
                <c:pt idx="3">
                  <c:v>14047.602706641965</c:v>
                </c:pt>
                <c:pt idx="4">
                  <c:v>57.976682896440003</c:v>
                </c:pt>
              </c:numCache>
            </c:numRef>
          </c:val>
          <c:extLst>
            <c:ext xmlns:c16="http://schemas.microsoft.com/office/drawing/2014/chart" uri="{C3380CC4-5D6E-409C-BE32-E72D297353CC}">
              <c16:uniqueId val="{00000000-119C-4CBC-AC42-22A8FC5D37E8}"/>
            </c:ext>
          </c:extLst>
        </c:ser>
        <c:ser>
          <c:idx val="1"/>
          <c:order val="1"/>
          <c:tx>
            <c:strRef>
              <c:f>'X:\iselanec\Grad Zagreb\Proracun\[Zgradarstvo-10_02_2010.xlsx]proračun II'!$D$39</c:f>
              <c:strCache>
                <c:ptCount val="1"/>
                <c:pt idx="0">
                  <c:v>Zgrade komercijalnih i uslužnih djelatnosti</c:v>
                </c:pt>
              </c:strCache>
            </c:strRef>
          </c:tx>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II'!$D$40:$D$45</c:f>
              <c:numCache>
                <c:formatCode>General</c:formatCode>
                <c:ptCount val="6"/>
                <c:pt idx="0">
                  <c:v>194800.26308924999</c:v>
                </c:pt>
                <c:pt idx="1">
                  <c:v>166677.34924804341</c:v>
                </c:pt>
                <c:pt idx="2">
                  <c:v>137311.66508829276</c:v>
                </c:pt>
                <c:pt idx="3">
                  <c:v>0</c:v>
                </c:pt>
                <c:pt idx="4">
                  <c:v>0</c:v>
                </c:pt>
                <c:pt idx="5">
                  <c:v>0</c:v>
                </c:pt>
              </c:numCache>
            </c:numRef>
          </c:val>
          <c:extLst>
            <c:ext xmlns:c16="http://schemas.microsoft.com/office/drawing/2014/chart" uri="{C3380CC4-5D6E-409C-BE32-E72D297353CC}">
              <c16:uniqueId val="{00000001-119C-4CBC-AC42-22A8FC5D37E8}"/>
            </c:ext>
          </c:extLst>
        </c:ser>
        <c:ser>
          <c:idx val="2"/>
          <c:order val="2"/>
          <c:tx>
            <c:strRef>
              <c:f>'X:\iselanec\Grad Zagreb\Proracun\[Zgradarstvo-10_02_2010.xlsx]proračun II'!$E$39</c:f>
              <c:strCache>
                <c:ptCount val="1"/>
                <c:pt idx="0">
                  <c:v>Stambene zgrade - kućanstva</c:v>
                </c:pt>
              </c:strCache>
            </c:strRef>
          </c:tx>
          <c:invertIfNegative val="0"/>
          <c:cat>
            <c:strRef>
              <c:f>'X:\iselanec\Grad Zagreb\Proracun\[Zgradarstvo-10_02_2010.xlsx]proračun II'!$B$40:$B$45</c:f>
              <c:strCache>
                <c:ptCount val="6"/>
                <c:pt idx="0">
                  <c:v>Električna energija</c:v>
                </c:pt>
                <c:pt idx="1">
                  <c:v>Toplina</c:v>
                </c:pt>
                <c:pt idx="2">
                  <c:v>Prirodni plin</c:v>
                </c:pt>
                <c:pt idx="3">
                  <c:v>Loživo ulje</c:v>
                </c:pt>
                <c:pt idx="4">
                  <c:v>UNP</c:v>
                </c:pt>
                <c:pt idx="5">
                  <c:v>ogrievno drvo</c:v>
                </c:pt>
              </c:strCache>
            </c:strRef>
          </c:cat>
          <c:val>
            <c:numRef>
              <c:f>'X:\iselanec\Grad Zagreb\Proracun\[Zgradarstvo-10_02_2010.xlsx]proračun II'!$E$40:$E$45</c:f>
              <c:numCache>
                <c:formatCode>General</c:formatCode>
                <c:ptCount val="6"/>
                <c:pt idx="0">
                  <c:v>318745.12099999993</c:v>
                </c:pt>
                <c:pt idx="1">
                  <c:v>256595.10311602592</c:v>
                </c:pt>
                <c:pt idx="2">
                  <c:v>459889.4016636624</c:v>
                </c:pt>
                <c:pt idx="3">
                  <c:v>85952.598068670093</c:v>
                </c:pt>
                <c:pt idx="4">
                  <c:v>0</c:v>
                </c:pt>
                <c:pt idx="5">
                  <c:v>0</c:v>
                </c:pt>
              </c:numCache>
            </c:numRef>
          </c:val>
          <c:extLst>
            <c:ext xmlns:c16="http://schemas.microsoft.com/office/drawing/2014/chart" uri="{C3380CC4-5D6E-409C-BE32-E72D297353CC}">
              <c16:uniqueId val="{00000002-119C-4CBC-AC42-22A8FC5D37E8}"/>
            </c:ext>
          </c:extLst>
        </c:ser>
        <c:dLbls>
          <c:showLegendKey val="0"/>
          <c:showVal val="0"/>
          <c:showCatName val="0"/>
          <c:showSerName val="0"/>
          <c:showPercent val="0"/>
          <c:showBubbleSize val="0"/>
        </c:dLbls>
        <c:gapWidth val="55"/>
        <c:overlap val="100"/>
        <c:axId val="391655424"/>
        <c:axId val="391931008"/>
      </c:barChart>
      <c:catAx>
        <c:axId val="391655424"/>
        <c:scaling>
          <c:orientation val="minMax"/>
        </c:scaling>
        <c:delete val="0"/>
        <c:axPos val="b"/>
        <c:numFmt formatCode="General" sourceLinked="1"/>
        <c:majorTickMark val="none"/>
        <c:minorTickMark val="none"/>
        <c:tickLblPos val="nextTo"/>
        <c:txPr>
          <a:bodyPr rot="-5400000" vert="horz" anchor="t" anchorCtr="0"/>
          <a:lstStyle/>
          <a:p>
            <a:pPr>
              <a:defRPr/>
            </a:pPr>
            <a:endParaRPr lang="sr-Latn-RS"/>
          </a:p>
        </c:txPr>
        <c:crossAx val="391931008"/>
        <c:crosses val="autoZero"/>
        <c:auto val="1"/>
        <c:lblAlgn val="ctr"/>
        <c:lblOffset val="100"/>
        <c:noMultiLvlLbl val="0"/>
      </c:catAx>
      <c:valAx>
        <c:axId val="391931008"/>
        <c:scaling>
          <c:orientation val="minMax"/>
        </c:scaling>
        <c:delete val="0"/>
        <c:axPos val="l"/>
        <c:majorGridlines/>
        <c:title>
          <c:tx>
            <c:rich>
              <a:bodyPr rot="-5400000" vert="horz"/>
              <a:lstStyle/>
              <a:p>
                <a:pPr>
                  <a:defRPr/>
                </a:pPr>
                <a:r>
                  <a:rPr lang="hr-HR" b="0"/>
                  <a:t>t CO</a:t>
                </a:r>
                <a:r>
                  <a:rPr lang="hr-HR" b="0">
                    <a:latin typeface="Calibri"/>
                  </a:rPr>
                  <a:t>₂</a:t>
                </a:r>
                <a:endParaRPr lang="hr-HR" b="0"/>
              </a:p>
            </c:rich>
          </c:tx>
          <c:overlay val="0"/>
        </c:title>
        <c:numFmt formatCode="General" sourceLinked="1"/>
        <c:majorTickMark val="none"/>
        <c:minorTickMark val="none"/>
        <c:tickLblPos val="nextTo"/>
        <c:crossAx val="39165542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'[Inventar emisija_Zagreb.xlsx]zgradarstvo'!$D$34</c:f>
              <c:strCache>
                <c:ptCount val="1"/>
                <c:pt idx="0">
                  <c:v>Električna energija</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emisija_Zagreb.xlsx]zgradarstvo'!$D$35:$D$37</c:f>
              <c:numCache>
                <c:formatCode>#,##0.00</c:formatCode>
                <c:ptCount val="3"/>
                <c:pt idx="0">
                  <c:v>50225.420312099995</c:v>
                </c:pt>
                <c:pt idx="1">
                  <c:v>353456.59470000002</c:v>
                </c:pt>
                <c:pt idx="2">
                  <c:v>256853.66849999997</c:v>
                </c:pt>
              </c:numCache>
            </c:numRef>
          </c:val>
          <c:extLst>
            <c:ext xmlns:c16="http://schemas.microsoft.com/office/drawing/2014/chart" uri="{C3380CC4-5D6E-409C-BE32-E72D297353CC}">
              <c16:uniqueId val="{00000000-7568-49AD-B135-868A983663F4}"/>
            </c:ext>
          </c:extLst>
        </c:ser>
        <c:ser>
          <c:idx val="1"/>
          <c:order val="1"/>
          <c:tx>
            <c:strRef>
              <c:f>'[Inventar emisija_Zagreb.xlsx]zgradarstvo'!$C$34</c:f>
              <c:strCache>
                <c:ptCount val="1"/>
                <c:pt idx="0">
                  <c:v>Prirodni plin</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emisija_Zagreb.xlsx]zgradarstvo'!$C$35:$C$37</c:f>
              <c:numCache>
                <c:formatCode>#,##0.00</c:formatCode>
                <c:ptCount val="3"/>
                <c:pt idx="0">
                  <c:v>35872.864298240005</c:v>
                </c:pt>
                <c:pt idx="1">
                  <c:v>434166.06996000005</c:v>
                </c:pt>
                <c:pt idx="2">
                  <c:v>144351.76136</c:v>
                </c:pt>
              </c:numCache>
            </c:numRef>
          </c:val>
          <c:extLst>
            <c:ext xmlns:c16="http://schemas.microsoft.com/office/drawing/2014/chart" uri="{C3380CC4-5D6E-409C-BE32-E72D297353CC}">
              <c16:uniqueId val="{00000001-7568-49AD-B135-868A983663F4}"/>
            </c:ext>
          </c:extLst>
        </c:ser>
        <c:ser>
          <c:idx val="2"/>
          <c:order val="2"/>
          <c:tx>
            <c:strRef>
              <c:f>'[Inventar emisija_Zagreb.xlsx]zgradarstvo'!$G$34</c:f>
              <c:strCache>
                <c:ptCount val="1"/>
                <c:pt idx="0">
                  <c:v>Toplana</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emisija_Zagreb.xlsx]zgradarstvo'!$G$35:$G$37</c:f>
              <c:numCache>
                <c:formatCode>#,##0.00</c:formatCode>
                <c:ptCount val="3"/>
                <c:pt idx="0">
                  <c:v>36633.854304060005</c:v>
                </c:pt>
                <c:pt idx="1">
                  <c:v>250915.06160000004</c:v>
                </c:pt>
                <c:pt idx="2">
                  <c:v>157119.5049</c:v>
                </c:pt>
              </c:numCache>
            </c:numRef>
          </c:val>
          <c:extLst>
            <c:ext xmlns:c16="http://schemas.microsoft.com/office/drawing/2014/chart" uri="{C3380CC4-5D6E-409C-BE32-E72D297353CC}">
              <c16:uniqueId val="{00000002-7568-49AD-B135-868A983663F4}"/>
            </c:ext>
          </c:extLst>
        </c:ser>
        <c:ser>
          <c:idx val="3"/>
          <c:order val="3"/>
          <c:tx>
            <c:strRef>
              <c:f>'[Inventar emisija_Zagreb.xlsx]zgradarstvo'!$B$34</c:f>
              <c:strCache>
                <c:ptCount val="1"/>
                <c:pt idx="0">
                  <c:v>Loživo ulje</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emisija_Zagreb.xlsx]zgradarstvo'!$B$35:$B$37</c:f>
              <c:numCache>
                <c:formatCode>#,##0.00</c:formatCode>
                <c:ptCount val="3"/>
                <c:pt idx="0">
                  <c:v>10565.367578220001</c:v>
                </c:pt>
                <c:pt idx="1">
                  <c:v>11602.5</c:v>
                </c:pt>
                <c:pt idx="2">
                  <c:v>40349.4</c:v>
                </c:pt>
              </c:numCache>
            </c:numRef>
          </c:val>
          <c:extLst>
            <c:ext xmlns:c16="http://schemas.microsoft.com/office/drawing/2014/chart" uri="{C3380CC4-5D6E-409C-BE32-E72D297353CC}">
              <c16:uniqueId val="{00000003-7568-49AD-B135-868A983663F4}"/>
            </c:ext>
          </c:extLst>
        </c:ser>
        <c:ser>
          <c:idx val="4"/>
          <c:order val="4"/>
          <c:tx>
            <c:strRef>
              <c:f>'[Inventar emisija_Zagreb.xlsx]zgradarstvo'!$E$34</c:f>
              <c:strCache>
                <c:ptCount val="1"/>
                <c:pt idx="0">
                  <c:v>UNP</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emisija_Zagreb.xlsx]zgradarstvo'!$E$35:$E$37</c:f>
              <c:numCache>
                <c:formatCode>#,##0.00</c:formatCode>
                <c:ptCount val="3"/>
                <c:pt idx="0">
                  <c:v>1760.2521141999998</c:v>
                </c:pt>
                <c:pt idx="1">
                  <c:v>7264</c:v>
                </c:pt>
                <c:pt idx="2">
                  <c:v>9080</c:v>
                </c:pt>
              </c:numCache>
            </c:numRef>
          </c:val>
          <c:extLst>
            <c:ext xmlns:c16="http://schemas.microsoft.com/office/drawing/2014/chart" uri="{C3380CC4-5D6E-409C-BE32-E72D297353CC}">
              <c16:uniqueId val="{00000004-7568-49AD-B135-868A983663F4}"/>
            </c:ext>
          </c:extLst>
        </c:ser>
        <c:ser>
          <c:idx val="5"/>
          <c:order val="5"/>
          <c:tx>
            <c:strRef>
              <c:f>'[Inventar emisija_Zagreb.xlsx]zgradarstvo'!$F$34</c:f>
              <c:strCache>
                <c:ptCount val="1"/>
                <c:pt idx="0">
                  <c:v>Plinske boce</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emisija_Zagreb.xlsx]zgradarstvo'!$F$35:$F$37</c:f>
              <c:numCache>
                <c:formatCode>#,##0.00</c:formatCode>
                <c:ptCount val="3"/>
                <c:pt idx="0">
                  <c:v>1658.7331000000001</c:v>
                </c:pt>
                <c:pt idx="1">
                  <c:v>0</c:v>
                </c:pt>
                <c:pt idx="2">
                  <c:v>0</c:v>
                </c:pt>
              </c:numCache>
            </c:numRef>
          </c:val>
          <c:extLst>
            <c:ext xmlns:c16="http://schemas.microsoft.com/office/drawing/2014/chart" uri="{C3380CC4-5D6E-409C-BE32-E72D297353CC}">
              <c16:uniqueId val="{00000005-7568-49AD-B135-868A983663F4}"/>
            </c:ext>
          </c:extLst>
        </c:ser>
        <c:ser>
          <c:idx val="6"/>
          <c:order val="6"/>
          <c:tx>
            <c:strRef>
              <c:f>'[Inventar emisija_Zagreb.xlsx]zgradarstvo'!$H$34</c:f>
              <c:strCache>
                <c:ptCount val="1"/>
                <c:pt idx="0">
                  <c:v>Mrki ugljen</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emisija_Zagreb.xlsx]zgradarstvo'!$H$35:$H$37</c:f>
              <c:numCache>
                <c:formatCode>#,##0.00</c:formatCode>
                <c:ptCount val="3"/>
                <c:pt idx="0">
                  <c:v>0</c:v>
                </c:pt>
                <c:pt idx="1">
                  <c:v>657.4</c:v>
                </c:pt>
                <c:pt idx="2">
                  <c:v>0</c:v>
                </c:pt>
              </c:numCache>
            </c:numRef>
          </c:val>
          <c:extLst>
            <c:ext xmlns:c16="http://schemas.microsoft.com/office/drawing/2014/chart" uri="{C3380CC4-5D6E-409C-BE32-E72D297353CC}">
              <c16:uniqueId val="{00000006-7568-49AD-B135-868A983663F4}"/>
            </c:ext>
          </c:extLst>
        </c:ser>
        <c:ser>
          <c:idx val="7"/>
          <c:order val="7"/>
          <c:tx>
            <c:strRef>
              <c:f>'[Inventar emisija_Zagreb.xlsx]zgradarstvo'!$I$34</c:f>
              <c:strCache>
                <c:ptCount val="1"/>
                <c:pt idx="0">
                  <c:v>Lignit</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emisija_Zagreb.xlsx]zgradarstvo'!$I$35:$I$37</c:f>
              <c:numCache>
                <c:formatCode>#,##0.00</c:formatCode>
                <c:ptCount val="3"/>
                <c:pt idx="0">
                  <c:v>0</c:v>
                </c:pt>
                <c:pt idx="1">
                  <c:v>436.79999999999995</c:v>
                </c:pt>
                <c:pt idx="2">
                  <c:v>0</c:v>
                </c:pt>
              </c:numCache>
            </c:numRef>
          </c:val>
          <c:extLst>
            <c:ext xmlns:c16="http://schemas.microsoft.com/office/drawing/2014/chart" uri="{C3380CC4-5D6E-409C-BE32-E72D297353CC}">
              <c16:uniqueId val="{00000007-7568-49AD-B135-868A983663F4}"/>
            </c:ext>
          </c:extLst>
        </c:ser>
        <c:ser>
          <c:idx val="8"/>
          <c:order val="8"/>
          <c:tx>
            <c:strRef>
              <c:f>'[Inventar emisija_Zagreb.xlsx]zgradarstvo'!$J$34</c:f>
              <c:strCache>
                <c:ptCount val="1"/>
                <c:pt idx="0">
                  <c:v>Petrolej</c:v>
                </c:pt>
              </c:strCache>
            </c:strRef>
          </c:tx>
          <c:invertIfNegative val="0"/>
          <c:cat>
            <c:strRef>
              <c:f>'[Inventar emisija_Zagreb.xlsx]zgradarstvo'!$A$35:$A$37</c:f>
              <c:strCache>
                <c:ptCount val="3"/>
                <c:pt idx="0">
                  <c:v>STAMBENE I JAVNE ZGRADE U VLASNIŠTVU GRADA  </c:v>
                </c:pt>
                <c:pt idx="1">
                  <c:v>STANOVI - KUĆANSTVA</c:v>
                </c:pt>
                <c:pt idx="2">
                  <c:v>KOMERCIJALNE  I USLUŽNE DJELATNOSTI</c:v>
                </c:pt>
              </c:strCache>
            </c:strRef>
          </c:cat>
          <c:val>
            <c:numRef>
              <c:f>'[Inventar emisija_Zagreb.xlsx]zgradarstvo'!$J$35:$J$37</c:f>
              <c:numCache>
                <c:formatCode>#,##0.00</c:formatCode>
                <c:ptCount val="3"/>
                <c:pt idx="0">
                  <c:v>0</c:v>
                </c:pt>
                <c:pt idx="1">
                  <c:v>569.16949999999997</c:v>
                </c:pt>
                <c:pt idx="2">
                  <c:v>0</c:v>
                </c:pt>
              </c:numCache>
            </c:numRef>
          </c:val>
          <c:extLst>
            <c:ext xmlns:c16="http://schemas.microsoft.com/office/drawing/2014/chart" uri="{C3380CC4-5D6E-409C-BE32-E72D297353CC}">
              <c16:uniqueId val="{00000008-7568-49AD-B135-868A983663F4}"/>
            </c:ext>
          </c:extLst>
        </c:ser>
        <c:dLbls>
          <c:showLegendKey val="0"/>
          <c:showVal val="0"/>
          <c:showCatName val="0"/>
          <c:showSerName val="0"/>
          <c:showPercent val="0"/>
          <c:showBubbleSize val="0"/>
        </c:dLbls>
        <c:gapWidth val="150"/>
        <c:shape val="box"/>
        <c:axId val="260400640"/>
        <c:axId val="201777728"/>
        <c:axId val="0"/>
      </c:bar3DChart>
      <c:catAx>
        <c:axId val="260400640"/>
        <c:scaling>
          <c:orientation val="minMax"/>
        </c:scaling>
        <c:delete val="0"/>
        <c:axPos val="b"/>
        <c:numFmt formatCode="General" sourceLinked="0"/>
        <c:majorTickMark val="out"/>
        <c:minorTickMark val="none"/>
        <c:tickLblPos val="nextTo"/>
        <c:txPr>
          <a:bodyPr/>
          <a:lstStyle/>
          <a:p>
            <a:pPr>
              <a:defRPr sz="800" baseline="0"/>
            </a:pPr>
            <a:endParaRPr lang="sr-Latn-RS"/>
          </a:p>
        </c:txPr>
        <c:crossAx val="201777728"/>
        <c:crosses val="autoZero"/>
        <c:auto val="1"/>
        <c:lblAlgn val="ctr"/>
        <c:lblOffset val="100"/>
        <c:noMultiLvlLbl val="0"/>
      </c:catAx>
      <c:valAx>
        <c:axId val="201777728"/>
        <c:scaling>
          <c:orientation val="minMax"/>
        </c:scaling>
        <c:delete val="0"/>
        <c:axPos val="l"/>
        <c:majorGridlines/>
        <c:title>
          <c:tx>
            <c:rich>
              <a:bodyPr rot="0" vert="horz"/>
              <a:lstStyle/>
              <a:p>
                <a:pPr>
                  <a:defRPr/>
                </a:pPr>
                <a:r>
                  <a:rPr lang="hr-HR" sz="800" baseline="0"/>
                  <a:t>t </a:t>
                </a:r>
                <a:r>
                  <a:rPr lang="hr-HR"/>
                  <a:t>CO</a:t>
                </a:r>
                <a:r>
                  <a:rPr lang="hr-HR" sz="800" baseline="0"/>
                  <a:t>2</a:t>
                </a:r>
              </a:p>
            </c:rich>
          </c:tx>
          <c:overlay val="0"/>
        </c:title>
        <c:numFmt formatCode="#,##0.00" sourceLinked="1"/>
        <c:majorTickMark val="out"/>
        <c:minorTickMark val="none"/>
        <c:tickLblPos val="nextTo"/>
        <c:crossAx val="260400640"/>
        <c:crosses val="autoZero"/>
        <c:crossBetween val="between"/>
      </c:valAx>
    </c:plotArea>
    <c:legend>
      <c:legendPos val="r"/>
      <c:layout>
        <c:manualLayout>
          <c:xMode val="edge"/>
          <c:yMode val="edge"/>
          <c:x val="0.7852824704419582"/>
          <c:y val="4.2704317132772188E-2"/>
          <c:w val="0.21471749913203905"/>
          <c:h val="0.87853354537579353"/>
        </c:manualLayout>
      </c:layout>
      <c:overlay val="0"/>
    </c:legend>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9170865572389114E-3"/>
          <c:y val="0.10855394698019875"/>
          <c:w val="0.65978581310741802"/>
          <c:h val="0.88337357976788367"/>
        </c:manualLayout>
      </c:layout>
      <c:pie3DChart>
        <c:varyColors val="1"/>
        <c:ser>
          <c:idx val="1"/>
          <c:order val="0"/>
          <c:tx>
            <c:strRef>
              <c:f>zgradarstvo!$A$68:$I$68</c:f>
              <c:strCache>
                <c:ptCount val="9"/>
                <c:pt idx="0">
                  <c:v>Električna energija</c:v>
                </c:pt>
                <c:pt idx="1">
                  <c:v>Prirodni plin</c:v>
                </c:pt>
                <c:pt idx="2">
                  <c:v>Toplana</c:v>
                </c:pt>
                <c:pt idx="3">
                  <c:v>Lož ulje</c:v>
                </c:pt>
                <c:pt idx="4">
                  <c:v>UNP</c:v>
                </c:pt>
                <c:pt idx="5">
                  <c:v>Plinske boce</c:v>
                </c:pt>
                <c:pt idx="6">
                  <c:v>Mrki ugljen</c:v>
                </c:pt>
                <c:pt idx="7">
                  <c:v>Lignit</c:v>
                </c:pt>
                <c:pt idx="8">
                  <c:v>Petrolej</c:v>
                </c:pt>
              </c:strCache>
            </c:strRef>
          </c:tx>
          <c:explosion val="20"/>
          <c:dPt>
            <c:idx val="0"/>
            <c:bubble3D val="0"/>
            <c:spPr>
              <a:solidFill>
                <a:schemeClr val="accent5">
                  <a:lumMod val="60000"/>
                  <a:lumOff val="40000"/>
                </a:schemeClr>
              </a:solidFill>
            </c:spPr>
            <c:extLst>
              <c:ext xmlns:c16="http://schemas.microsoft.com/office/drawing/2014/chart" uri="{C3380CC4-5D6E-409C-BE32-E72D297353CC}">
                <c16:uniqueId val="{00000001-0DA7-49B1-922B-02E50BC6BE99}"/>
              </c:ext>
            </c:extLst>
          </c:dPt>
          <c:dPt>
            <c:idx val="1"/>
            <c:bubble3D val="0"/>
            <c:spPr>
              <a:solidFill>
                <a:srgbClr val="92D050"/>
              </a:solidFill>
            </c:spPr>
            <c:extLst>
              <c:ext xmlns:c16="http://schemas.microsoft.com/office/drawing/2014/chart" uri="{C3380CC4-5D6E-409C-BE32-E72D297353CC}">
                <c16:uniqueId val="{00000003-0DA7-49B1-922B-02E50BC6BE99}"/>
              </c:ext>
            </c:extLst>
          </c:dPt>
          <c:dPt>
            <c:idx val="2"/>
            <c:bubble3D val="0"/>
            <c:spPr>
              <a:solidFill>
                <a:schemeClr val="tx2"/>
              </a:solidFill>
            </c:spPr>
            <c:extLst>
              <c:ext xmlns:c16="http://schemas.microsoft.com/office/drawing/2014/chart" uri="{C3380CC4-5D6E-409C-BE32-E72D297353CC}">
                <c16:uniqueId val="{00000005-0DA7-49B1-922B-02E50BC6BE99}"/>
              </c:ext>
            </c:extLst>
          </c:dPt>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zgradarstvo!$A$68:$M$68</c:f>
              <c:strCache>
                <c:ptCount val="10"/>
                <c:pt idx="0">
                  <c:v>Električna energija</c:v>
                </c:pt>
                <c:pt idx="1">
                  <c:v>Prirodni plin</c:v>
                </c:pt>
                <c:pt idx="2">
                  <c:v>Toplana</c:v>
                </c:pt>
                <c:pt idx="3">
                  <c:v>Lož ulje</c:v>
                </c:pt>
                <c:pt idx="4">
                  <c:v>UNP</c:v>
                </c:pt>
                <c:pt idx="5">
                  <c:v>Plinske boce</c:v>
                </c:pt>
                <c:pt idx="6">
                  <c:v>Mrki ugljen</c:v>
                </c:pt>
                <c:pt idx="7">
                  <c:v>Lignit</c:v>
                </c:pt>
                <c:pt idx="8">
                  <c:v>Petrolej</c:v>
                </c:pt>
                <c:pt idx="9">
                  <c:v>kontrola:</c:v>
                </c:pt>
              </c:strCache>
            </c:strRef>
          </c:cat>
          <c:val>
            <c:numRef>
              <c:f>zgradarstvo!$A$69:$I$69</c:f>
              <c:numCache>
                <c:formatCode>0.00%</c:formatCode>
                <c:ptCount val="9"/>
                <c:pt idx="0">
                  <c:v>0.3665687501923548</c:v>
                </c:pt>
                <c:pt idx="1">
                  <c:v>0.34096027670314966</c:v>
                </c:pt>
                <c:pt idx="2">
                  <c:v>0.24677175106947336</c:v>
                </c:pt>
                <c:pt idx="3">
                  <c:v>3.4694380960221545E-2</c:v>
                </c:pt>
                <c:pt idx="4">
                  <c:v>9.1612177422686798E-3</c:v>
                </c:pt>
                <c:pt idx="5">
                  <c:v>9.205251654788941E-4</c:v>
                </c:pt>
                <c:pt idx="6">
                  <c:v>3.6482858139493625E-4</c:v>
                </c:pt>
                <c:pt idx="7">
                  <c:v>2.4240511766551284E-4</c:v>
                </c:pt>
                <c:pt idx="8">
                  <c:v>3.158644679924934E-4</c:v>
                </c:pt>
              </c:numCache>
            </c:numRef>
          </c:val>
          <c:extLst>
            <c:ext xmlns:c16="http://schemas.microsoft.com/office/drawing/2014/chart" uri="{C3380CC4-5D6E-409C-BE32-E72D297353CC}">
              <c16:uniqueId val="{00000006-0DA7-49B1-922B-02E50BC6BE99}"/>
            </c:ext>
          </c:extLst>
        </c:ser>
        <c:dLbls>
          <c:showLegendKey val="0"/>
          <c:showVal val="0"/>
          <c:showCatName val="0"/>
          <c:showSerName val="0"/>
          <c:showPercent val="1"/>
          <c:showBubbleSize val="0"/>
          <c:showLeaderLines val="1"/>
        </c:dLbls>
      </c:pie3DChart>
    </c:plotArea>
    <c:legend>
      <c:legendPos val="r"/>
      <c:layout>
        <c:manualLayout>
          <c:xMode val="edge"/>
          <c:yMode val="edge"/>
          <c:x val="0.71590733370909976"/>
          <c:y val="0.15931291506711126"/>
          <c:w val="0.28409266629090019"/>
          <c:h val="0.68137416986577748"/>
        </c:manualLayout>
      </c:layout>
      <c:overlay val="0"/>
      <c:spPr>
        <a:noFill/>
      </c:spPr>
      <c:txPr>
        <a:bodyPr/>
        <a:lstStyle/>
        <a:p>
          <a:pPr rtl="0">
            <a:defRPr sz="1000"/>
          </a:pPr>
          <a:endParaRPr lang="sr-Latn-R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0659667541557308E-2"/>
          <c:y val="0.12749562554680663"/>
          <c:w val="0.59201399825021872"/>
          <c:h val="0.7680413385826772"/>
        </c:manualLayout>
      </c:layout>
      <c:pie3DChart>
        <c:varyColors val="1"/>
        <c:ser>
          <c:idx val="0"/>
          <c:order val="0"/>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zgradarstvo!$N$46:$N$48</c:f>
              <c:strCache>
                <c:ptCount val="3"/>
                <c:pt idx="0">
                  <c:v>Stambene i javne zgrade u vlasništvu Grada</c:v>
                </c:pt>
                <c:pt idx="1">
                  <c:v>Stambene zgrade - kućanstva</c:v>
                </c:pt>
                <c:pt idx="2">
                  <c:v>Zgrade komercijalnih i uslužnih djelatnosti</c:v>
                </c:pt>
              </c:strCache>
            </c:strRef>
          </c:cat>
          <c:val>
            <c:numRef>
              <c:f>zgradarstvo!$O$46:$O$48</c:f>
              <c:numCache>
                <c:formatCode>0.00%</c:formatCode>
                <c:ptCount val="3"/>
                <c:pt idx="0">
                  <c:v>7.4985883252843444E-2</c:v>
                </c:pt>
                <c:pt idx="1">
                  <c:v>0.58773673343849508</c:v>
                </c:pt>
                <c:pt idx="2">
                  <c:v>0.33727738330866136</c:v>
                </c:pt>
              </c:numCache>
            </c:numRef>
          </c:val>
          <c:extLst>
            <c:ext xmlns:c16="http://schemas.microsoft.com/office/drawing/2014/chart" uri="{C3380CC4-5D6E-409C-BE32-E72D297353CC}">
              <c16:uniqueId val="{00000000-F045-4398-A909-C5FE7EA67BDB}"/>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sr-Latn-RS"/>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0659667541557308E-2"/>
          <c:y val="0.12749562554680663"/>
          <c:w val="0.59201399825021872"/>
          <c:h val="0.7680413385826772"/>
        </c:manualLayout>
      </c:layout>
      <c:pie3DChart>
        <c:varyColors val="1"/>
        <c:ser>
          <c:idx val="0"/>
          <c:order val="0"/>
          <c:tx>
            <c:strRef>
              <c:f>'[Inventar emisija_Zagreb.xlsx]promet'!$A$48:$A$53</c:f>
              <c:strCache>
                <c:ptCount val="1"/>
                <c:pt idx="0">
                  <c:v>Motorni benzin Dizel LPG Stačeni prirodni plin Električna energija</c:v>
                </c:pt>
              </c:strCache>
            </c:strRef>
          </c:tx>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'[Inventar emisija_Zagreb.xlsx]promet'!$A$48:$A$52</c:f>
              <c:strCache>
                <c:ptCount val="5"/>
                <c:pt idx="0">
                  <c:v>Motorni benzin</c:v>
                </c:pt>
                <c:pt idx="1">
                  <c:v>Dizel</c:v>
                </c:pt>
                <c:pt idx="2">
                  <c:v>LPG</c:v>
                </c:pt>
                <c:pt idx="3">
                  <c:v>Stačeni prirodni plin</c:v>
                </c:pt>
                <c:pt idx="4">
                  <c:v>Električna energija</c:v>
                </c:pt>
              </c:strCache>
            </c:strRef>
          </c:cat>
          <c:val>
            <c:numRef>
              <c:f>'[Inventar emisija_Zagreb.xlsx]promet'!$B$48:$B$52</c:f>
              <c:numCache>
                <c:formatCode>0.00%</c:formatCode>
                <c:ptCount val="5"/>
                <c:pt idx="0">
                  <c:v>0.33814100499366206</c:v>
                </c:pt>
                <c:pt idx="1">
                  <c:v>0.60950960925354836</c:v>
                </c:pt>
                <c:pt idx="2">
                  <c:v>2.5471203327235126E-2</c:v>
                </c:pt>
                <c:pt idx="3">
                  <c:v>5.600245606215754E-3</c:v>
                </c:pt>
                <c:pt idx="4">
                  <c:v>2.1277936819338806E-2</c:v>
                </c:pt>
              </c:numCache>
            </c:numRef>
          </c:val>
          <c:extLst>
            <c:ext xmlns:c16="http://schemas.microsoft.com/office/drawing/2014/chart" uri="{C3380CC4-5D6E-409C-BE32-E72D297353CC}">
              <c16:uniqueId val="{00000000-43A5-4E0A-B85D-26256B7E8447}"/>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sr-Latn-RS"/>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8584657091944751E-2"/>
          <c:y val="0.16169466316710412"/>
          <c:w val="0.60944577285672952"/>
          <c:h val="0.81895144356955374"/>
        </c:manualLayout>
      </c:layout>
      <c:pie3DChart>
        <c:varyColors val="1"/>
        <c:ser>
          <c:idx val="0"/>
          <c:order val="0"/>
          <c:explosion val="25"/>
          <c:dLbls>
            <c:dLbl>
              <c:idx val="0"/>
              <c:layout>
                <c:manualLayout>
                  <c:x val="-0.13329823606838609"/>
                  <c:y val="-6.629292817271080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668-4265-8183-FEF00B4D0431}"/>
                </c:ext>
              </c:extLst>
            </c:dLbl>
            <c:dLbl>
              <c:idx val="1"/>
              <c:layout>
                <c:manualLayout>
                  <c:x val="8.6982043980779133E-2"/>
                  <c:y val="-7.4020923440907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68-4265-8183-FEF00B4D0431}"/>
                </c:ext>
              </c:extLst>
            </c:dLbl>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'[Inventar emisija_Zagreb.xlsx]promet'!$A$66:$C$66</c:f>
              <c:strCache>
                <c:ptCount val="3"/>
                <c:pt idx="0">
                  <c:v>Vozila u vlasništvu i korištenju Grada</c:v>
                </c:pt>
                <c:pt idx="1">
                  <c:v>Javni prijevoz</c:v>
                </c:pt>
                <c:pt idx="2">
                  <c:v>Osobna i komercijalna vozila</c:v>
                </c:pt>
              </c:strCache>
            </c:strRef>
          </c:cat>
          <c:val>
            <c:numRef>
              <c:f>'[Inventar emisija_Zagreb.xlsx]promet'!$A$67:$C$67</c:f>
              <c:numCache>
                <c:formatCode>0.00%</c:formatCode>
                <c:ptCount val="3"/>
                <c:pt idx="0">
                  <c:v>9.0518478126044143E-3</c:v>
                </c:pt>
                <c:pt idx="1">
                  <c:v>5.0157377974341576E-2</c:v>
                </c:pt>
                <c:pt idx="2">
                  <c:v>0.94079077421305413</c:v>
                </c:pt>
              </c:numCache>
            </c:numRef>
          </c:val>
          <c:extLst>
            <c:ext xmlns:c16="http://schemas.microsoft.com/office/drawing/2014/chart" uri="{C3380CC4-5D6E-409C-BE32-E72D297353CC}">
              <c16:uniqueId val="{00000002-9668-4265-8183-FEF00B4D0431}"/>
            </c:ext>
          </c:extLst>
        </c:ser>
        <c:dLbls>
          <c:showLegendKey val="0"/>
          <c:showVal val="0"/>
          <c:showCatName val="0"/>
          <c:showSerName val="0"/>
          <c:showPercent val="1"/>
          <c:showBubbleSize val="0"/>
          <c:showLeaderLines val="1"/>
        </c:dLbls>
      </c:pie3DChart>
    </c:plotArea>
    <c:legend>
      <c:legendPos val="r"/>
      <c:overlay val="0"/>
      <c:txPr>
        <a:bodyPr/>
        <a:lstStyle/>
        <a:p>
          <a:pPr rtl="0">
            <a:defRPr sz="900"/>
          </a:pPr>
          <a:endParaRPr lang="sr-Latn-RS"/>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078674687059372"/>
          <c:y val="4.3918194956643078E-2"/>
          <c:w val="0.8605765745282431"/>
          <c:h val="0.62234873744230257"/>
        </c:manualLayout>
      </c:layout>
      <c:bar3DChart>
        <c:barDir val="col"/>
        <c:grouping val="clustered"/>
        <c:varyColors val="0"/>
        <c:ser>
          <c:idx val="0"/>
          <c:order val="0"/>
          <c:invertIfNegative val="0"/>
          <c:cat>
            <c:strRef>
              <c:f>'[Inventar emisija_Zagreb.xlsx]ukupna potrošnja'!$A$23:$A$37</c:f>
              <c:strCache>
                <c:ptCount val="15"/>
                <c:pt idx="0">
                  <c:v>Dizel</c:v>
                </c:pt>
                <c:pt idx="1">
                  <c:v>Motorni benzin</c:v>
                </c:pt>
                <c:pt idx="2">
                  <c:v>LPG</c:v>
                </c:pt>
                <c:pt idx="3">
                  <c:v>SPP</c:v>
                </c:pt>
                <c:pt idx="4">
                  <c:v>Električna energija</c:v>
                </c:pt>
                <c:pt idx="5">
                  <c:v>Lož ulje</c:v>
                </c:pt>
                <c:pt idx="6">
                  <c:v>Prirodni plin</c:v>
                </c:pt>
                <c:pt idx="7">
                  <c:v>Ogrjevno drvo</c:v>
                </c:pt>
                <c:pt idx="8">
                  <c:v>Toplana</c:v>
                </c:pt>
                <c:pt idx="9">
                  <c:v>Plinske boce</c:v>
                </c:pt>
                <c:pt idx="10">
                  <c:v>Mrki ugljen</c:v>
                </c:pt>
                <c:pt idx="11">
                  <c:v>Lignit</c:v>
                </c:pt>
                <c:pt idx="12">
                  <c:v>Energija Sunca</c:v>
                </c:pt>
                <c:pt idx="13">
                  <c:v>Petrolej</c:v>
                </c:pt>
                <c:pt idx="14">
                  <c:v>Geotermalna</c:v>
                </c:pt>
              </c:strCache>
            </c:strRef>
          </c:cat>
          <c:val>
            <c:numRef>
              <c:f>'[Inventar emisija_Zagreb.xlsx]ukupna potrošnja'!$E$23:$E$37</c:f>
              <c:numCache>
                <c:formatCode>#,##0.00</c:formatCode>
                <c:ptCount val="15"/>
                <c:pt idx="0">
                  <c:v>9079.3831463014067</c:v>
                </c:pt>
                <c:pt idx="1">
                  <c:v>5312.5609804232145</c:v>
                </c:pt>
                <c:pt idx="2">
                  <c:v>731.84451108439112</c:v>
                </c:pt>
                <c:pt idx="3">
                  <c:v>109.88221385422891</c:v>
                </c:pt>
                <c:pt idx="4">
                  <c:v>7754.0529212896627</c:v>
                </c:pt>
                <c:pt idx="5">
                  <c:v>824.40286898170473</c:v>
                </c:pt>
                <c:pt idx="6">
                  <c:v>10959.950949705755</c:v>
                </c:pt>
                <c:pt idx="7">
                  <c:v>2517.4967995665602</c:v>
                </c:pt>
                <c:pt idx="8">
                  <c:v>5842.3541396006876</c:v>
                </c:pt>
                <c:pt idx="9">
                  <c:v>29.561556350754916</c:v>
                </c:pt>
                <c:pt idx="10">
                  <c:v>6.839994528004377</c:v>
                </c:pt>
                <c:pt idx="11">
                  <c:v>4.3199965440027643</c:v>
                </c:pt>
                <c:pt idx="12">
                  <c:v>89.999928000057594</c:v>
                </c:pt>
                <c:pt idx="13">
                  <c:v>7.7399938080049528</c:v>
                </c:pt>
                <c:pt idx="14">
                  <c:v>60.371814902548074</c:v>
                </c:pt>
              </c:numCache>
            </c:numRef>
          </c:val>
          <c:extLst>
            <c:ext xmlns:c16="http://schemas.microsoft.com/office/drawing/2014/chart" uri="{C3380CC4-5D6E-409C-BE32-E72D297353CC}">
              <c16:uniqueId val="{00000000-B178-487B-9DC3-EC329256895E}"/>
            </c:ext>
          </c:extLst>
        </c:ser>
        <c:dLbls>
          <c:showLegendKey val="0"/>
          <c:showVal val="0"/>
          <c:showCatName val="0"/>
          <c:showSerName val="0"/>
          <c:showPercent val="0"/>
          <c:showBubbleSize val="0"/>
        </c:dLbls>
        <c:gapWidth val="150"/>
        <c:shape val="box"/>
        <c:axId val="260401664"/>
        <c:axId val="201782912"/>
        <c:axId val="0"/>
      </c:bar3DChart>
      <c:catAx>
        <c:axId val="260401664"/>
        <c:scaling>
          <c:orientation val="minMax"/>
        </c:scaling>
        <c:delete val="0"/>
        <c:axPos val="b"/>
        <c:numFmt formatCode="General" sourceLinked="0"/>
        <c:majorTickMark val="out"/>
        <c:minorTickMark val="none"/>
        <c:tickLblPos val="nextTo"/>
        <c:txPr>
          <a:bodyPr rot="5400000" vert="horz"/>
          <a:lstStyle/>
          <a:p>
            <a:pPr>
              <a:defRPr sz="900"/>
            </a:pPr>
            <a:endParaRPr lang="sr-Latn-RS"/>
          </a:p>
        </c:txPr>
        <c:crossAx val="201782912"/>
        <c:crosses val="autoZero"/>
        <c:auto val="1"/>
        <c:lblAlgn val="ctr"/>
        <c:lblOffset val="100"/>
        <c:noMultiLvlLbl val="0"/>
      </c:catAx>
      <c:valAx>
        <c:axId val="201782912"/>
        <c:scaling>
          <c:orientation val="minMax"/>
        </c:scaling>
        <c:delete val="0"/>
        <c:axPos val="l"/>
        <c:majorGridlines/>
        <c:title>
          <c:tx>
            <c:rich>
              <a:bodyPr rot="-5400000" vert="horz"/>
              <a:lstStyle/>
              <a:p>
                <a:pPr>
                  <a:defRPr/>
                </a:pPr>
                <a:r>
                  <a:rPr lang="hr-HR"/>
                  <a:t>TJ</a:t>
                </a:r>
              </a:p>
            </c:rich>
          </c:tx>
          <c:layout>
            <c:manualLayout>
              <c:xMode val="edge"/>
              <c:yMode val="edge"/>
              <c:x val="4.2809385668896652E-3"/>
              <c:y val="0.40371787897453304"/>
            </c:manualLayout>
          </c:layout>
          <c:overlay val="0"/>
        </c:title>
        <c:numFmt formatCode="#,##0.00" sourceLinked="1"/>
        <c:majorTickMark val="out"/>
        <c:minorTickMark val="none"/>
        <c:tickLblPos val="nextTo"/>
        <c:crossAx val="260401664"/>
        <c:crosses val="autoZero"/>
        <c:crossBetween val="between"/>
      </c:valAx>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372679676155319"/>
          <c:y val="0.13221937036875916"/>
          <c:w val="0.54288046948213042"/>
          <c:h val="0.72160815533417799"/>
        </c:manualLayout>
      </c:layout>
      <c:bar3DChart>
        <c:barDir val="col"/>
        <c:grouping val="stacked"/>
        <c:varyColors val="0"/>
        <c:ser>
          <c:idx val="0"/>
          <c:order val="0"/>
          <c:tx>
            <c:strRef>
              <c:f>'[Inventar emisija_Zagreb.xlsx]ukupna potrošnja'!$A$23</c:f>
              <c:strCache>
                <c:ptCount val="1"/>
                <c:pt idx="0">
                  <c:v>Dizel</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potrošnja'!$B$23:$D$23</c:f>
              <c:numCache>
                <c:formatCode>General</c:formatCode>
                <c:ptCount val="3"/>
                <c:pt idx="0" formatCode="#,##0.00">
                  <c:v>9079.3831463014067</c:v>
                </c:pt>
              </c:numCache>
            </c:numRef>
          </c:val>
          <c:extLst>
            <c:ext xmlns:c16="http://schemas.microsoft.com/office/drawing/2014/chart" uri="{C3380CC4-5D6E-409C-BE32-E72D297353CC}">
              <c16:uniqueId val="{00000000-9D56-4A19-AFCA-100F0094CD51}"/>
            </c:ext>
          </c:extLst>
        </c:ser>
        <c:ser>
          <c:idx val="1"/>
          <c:order val="1"/>
          <c:tx>
            <c:strRef>
              <c:f>'[Inventar emisija_Zagreb.xlsx]ukupna potrošnja'!$A$24</c:f>
              <c:strCache>
                <c:ptCount val="1"/>
                <c:pt idx="0">
                  <c:v>Motorni benzin</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potrošnja'!$B$24:$D$24</c:f>
              <c:numCache>
                <c:formatCode>General</c:formatCode>
                <c:ptCount val="3"/>
                <c:pt idx="0" formatCode="#,##0.00">
                  <c:v>5312.5609804232145</c:v>
                </c:pt>
              </c:numCache>
            </c:numRef>
          </c:val>
          <c:extLst>
            <c:ext xmlns:c16="http://schemas.microsoft.com/office/drawing/2014/chart" uri="{C3380CC4-5D6E-409C-BE32-E72D297353CC}">
              <c16:uniqueId val="{00000001-9D56-4A19-AFCA-100F0094CD51}"/>
            </c:ext>
          </c:extLst>
        </c:ser>
        <c:ser>
          <c:idx val="2"/>
          <c:order val="2"/>
          <c:tx>
            <c:strRef>
              <c:f>'[Inventar emisija_Zagreb.xlsx]ukupna potrošnja'!$A$25</c:f>
              <c:strCache>
                <c:ptCount val="1"/>
                <c:pt idx="0">
                  <c:v>LPG</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potrošnja'!$B$25:$D$25</c:f>
              <c:numCache>
                <c:formatCode>General</c:formatCode>
                <c:ptCount val="3"/>
                <c:pt idx="0" formatCode="#,##0.00">
                  <c:v>444.72884821692139</c:v>
                </c:pt>
                <c:pt idx="2" formatCode="#,##0.00">
                  <c:v>261.80042479966016</c:v>
                </c:pt>
              </c:numCache>
            </c:numRef>
          </c:val>
          <c:extLst>
            <c:ext xmlns:c16="http://schemas.microsoft.com/office/drawing/2014/chart" uri="{C3380CC4-5D6E-409C-BE32-E72D297353CC}">
              <c16:uniqueId val="{00000002-9D56-4A19-AFCA-100F0094CD51}"/>
            </c:ext>
          </c:extLst>
        </c:ser>
        <c:ser>
          <c:idx val="3"/>
          <c:order val="3"/>
          <c:tx>
            <c:strRef>
              <c:f>'[Inventar emisija_Zagreb.xlsx]ukupna potrošnja'!$A$26</c:f>
              <c:strCache>
                <c:ptCount val="1"/>
                <c:pt idx="0">
                  <c:v>SPP</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potrošnja'!$B$26:$D$26</c:f>
              <c:numCache>
                <c:formatCode>General</c:formatCode>
                <c:ptCount val="3"/>
                <c:pt idx="0" formatCode="#,##0.00">
                  <c:v>109.88221385422891</c:v>
                </c:pt>
              </c:numCache>
            </c:numRef>
          </c:val>
          <c:extLst>
            <c:ext xmlns:c16="http://schemas.microsoft.com/office/drawing/2014/chart" uri="{C3380CC4-5D6E-409C-BE32-E72D297353CC}">
              <c16:uniqueId val="{00000003-9D56-4A19-AFCA-100F0094CD51}"/>
            </c:ext>
          </c:extLst>
        </c:ser>
        <c:ser>
          <c:idx val="4"/>
          <c:order val="4"/>
          <c:tx>
            <c:strRef>
              <c:f>'[Inventar emisija_Zagreb.xlsx]ukupna potrošnja'!$A$27</c:f>
              <c:strCache>
                <c:ptCount val="1"/>
                <c:pt idx="0">
                  <c:v>Električna energija</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potrošnja'!$B$27:$D$27</c:f>
              <c:numCache>
                <c:formatCode>#,##0.00</c:formatCode>
                <c:ptCount val="3"/>
                <c:pt idx="0">
                  <c:v>255.55669995464001</c:v>
                </c:pt>
                <c:pt idx="1">
                  <c:v>292.65816587346728</c:v>
                </c:pt>
                <c:pt idx="2">
                  <c:v>7205.8380554615551</c:v>
                </c:pt>
              </c:numCache>
            </c:numRef>
          </c:val>
          <c:extLst>
            <c:ext xmlns:c16="http://schemas.microsoft.com/office/drawing/2014/chart" uri="{C3380CC4-5D6E-409C-BE32-E72D297353CC}">
              <c16:uniqueId val="{00000004-9D56-4A19-AFCA-100F0094CD51}"/>
            </c:ext>
          </c:extLst>
        </c:ser>
        <c:ser>
          <c:idx val="5"/>
          <c:order val="5"/>
          <c:tx>
            <c:strRef>
              <c:f>'[Inventar emisija_Zagreb.xlsx]ukupna potrošnja'!$A$28</c:f>
              <c:strCache>
                <c:ptCount val="1"/>
                <c:pt idx="0">
                  <c:v>Lož ulje</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potrošnja'!$B$28:$D$28</c:f>
              <c:numCache>
                <c:formatCode>General</c:formatCode>
                <c:ptCount val="3"/>
                <c:pt idx="2" formatCode="#,##0.00">
                  <c:v>824.40286898170473</c:v>
                </c:pt>
              </c:numCache>
            </c:numRef>
          </c:val>
          <c:extLst>
            <c:ext xmlns:c16="http://schemas.microsoft.com/office/drawing/2014/chart" uri="{C3380CC4-5D6E-409C-BE32-E72D297353CC}">
              <c16:uniqueId val="{00000005-9D56-4A19-AFCA-100F0094CD51}"/>
            </c:ext>
          </c:extLst>
        </c:ser>
        <c:ser>
          <c:idx val="6"/>
          <c:order val="6"/>
          <c:tx>
            <c:strRef>
              <c:f>'[Inventar emisija_Zagreb.xlsx]ukupna potrošnja'!$A$29</c:f>
              <c:strCache>
                <c:ptCount val="1"/>
                <c:pt idx="0">
                  <c:v>Prirodni plin</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potrošnja'!$B$29:$D$29</c:f>
              <c:numCache>
                <c:formatCode>#,##0.00</c:formatCode>
                <c:ptCount val="3"/>
                <c:pt idx="1">
                  <c:v>10.422559696468259</c:v>
                </c:pt>
                <c:pt idx="2">
                  <c:v>10949.528390009287</c:v>
                </c:pt>
              </c:numCache>
            </c:numRef>
          </c:val>
          <c:extLst>
            <c:ext xmlns:c16="http://schemas.microsoft.com/office/drawing/2014/chart" uri="{C3380CC4-5D6E-409C-BE32-E72D297353CC}">
              <c16:uniqueId val="{00000006-9D56-4A19-AFCA-100F0094CD51}"/>
            </c:ext>
          </c:extLst>
        </c:ser>
        <c:ser>
          <c:idx val="7"/>
          <c:order val="7"/>
          <c:tx>
            <c:strRef>
              <c:f>'[Inventar emisija_Zagreb.xlsx]ukupna potrošnja'!$A$30</c:f>
              <c:strCache>
                <c:ptCount val="1"/>
                <c:pt idx="0">
                  <c:v>Ogrjevno drvo</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potrošnja'!$B$30:$D$30</c:f>
              <c:numCache>
                <c:formatCode>General</c:formatCode>
                <c:ptCount val="3"/>
                <c:pt idx="2" formatCode="#,##0.00">
                  <c:v>2517.4967995665602</c:v>
                </c:pt>
              </c:numCache>
            </c:numRef>
          </c:val>
          <c:extLst>
            <c:ext xmlns:c16="http://schemas.microsoft.com/office/drawing/2014/chart" uri="{C3380CC4-5D6E-409C-BE32-E72D297353CC}">
              <c16:uniqueId val="{00000007-9D56-4A19-AFCA-100F0094CD51}"/>
            </c:ext>
          </c:extLst>
        </c:ser>
        <c:ser>
          <c:idx val="8"/>
          <c:order val="8"/>
          <c:tx>
            <c:strRef>
              <c:f>'[Inventar emisija_Zagreb.xlsx]ukupna potrošnja'!$A$31</c:f>
              <c:strCache>
                <c:ptCount val="1"/>
                <c:pt idx="0">
                  <c:v>Toplana</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potrošnja'!$B$31:$D$31</c:f>
              <c:numCache>
                <c:formatCode>General</c:formatCode>
                <c:ptCount val="3"/>
                <c:pt idx="2" formatCode="#,##0.00">
                  <c:v>5842.3541396006876</c:v>
                </c:pt>
              </c:numCache>
            </c:numRef>
          </c:val>
          <c:extLst>
            <c:ext xmlns:c16="http://schemas.microsoft.com/office/drawing/2014/chart" uri="{C3380CC4-5D6E-409C-BE32-E72D297353CC}">
              <c16:uniqueId val="{00000008-9D56-4A19-AFCA-100F0094CD51}"/>
            </c:ext>
          </c:extLst>
        </c:ser>
        <c:ser>
          <c:idx val="9"/>
          <c:order val="9"/>
          <c:tx>
            <c:strRef>
              <c:f>'[Inventar emisija_Zagreb.xlsx]ukupna potrošnja'!$A$32</c:f>
              <c:strCache>
                <c:ptCount val="1"/>
                <c:pt idx="0">
                  <c:v>Plinske boce</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potrošnja'!$B$32:$D$32</c:f>
              <c:numCache>
                <c:formatCode>General</c:formatCode>
                <c:ptCount val="3"/>
                <c:pt idx="2" formatCode="#,##0.00">
                  <c:v>29.561556350754916</c:v>
                </c:pt>
              </c:numCache>
            </c:numRef>
          </c:val>
          <c:extLst>
            <c:ext xmlns:c16="http://schemas.microsoft.com/office/drawing/2014/chart" uri="{C3380CC4-5D6E-409C-BE32-E72D297353CC}">
              <c16:uniqueId val="{00000009-9D56-4A19-AFCA-100F0094CD51}"/>
            </c:ext>
          </c:extLst>
        </c:ser>
        <c:ser>
          <c:idx val="10"/>
          <c:order val="10"/>
          <c:tx>
            <c:strRef>
              <c:f>'[Inventar emisija_Zagreb.xlsx]ukupna potrošnja'!$A$33</c:f>
              <c:strCache>
                <c:ptCount val="1"/>
                <c:pt idx="0">
                  <c:v>Mrki ugljen</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potrošnja'!$B$33:$D$33</c:f>
              <c:numCache>
                <c:formatCode>General</c:formatCode>
                <c:ptCount val="3"/>
                <c:pt idx="2" formatCode="#,##0.00">
                  <c:v>6.839994528004377</c:v>
                </c:pt>
              </c:numCache>
            </c:numRef>
          </c:val>
          <c:extLst>
            <c:ext xmlns:c16="http://schemas.microsoft.com/office/drawing/2014/chart" uri="{C3380CC4-5D6E-409C-BE32-E72D297353CC}">
              <c16:uniqueId val="{0000000A-9D56-4A19-AFCA-100F0094CD51}"/>
            </c:ext>
          </c:extLst>
        </c:ser>
        <c:ser>
          <c:idx val="11"/>
          <c:order val="11"/>
          <c:tx>
            <c:strRef>
              <c:f>'[Inventar emisija_Zagreb.xlsx]ukupna potrošnja'!$A$34</c:f>
              <c:strCache>
                <c:ptCount val="1"/>
                <c:pt idx="0">
                  <c:v>Lignit</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potrošnja'!$B$34:$D$34</c:f>
              <c:numCache>
                <c:formatCode>General</c:formatCode>
                <c:ptCount val="3"/>
                <c:pt idx="2" formatCode="#,##0.00">
                  <c:v>4.3199965440027643</c:v>
                </c:pt>
              </c:numCache>
            </c:numRef>
          </c:val>
          <c:extLst>
            <c:ext xmlns:c16="http://schemas.microsoft.com/office/drawing/2014/chart" uri="{C3380CC4-5D6E-409C-BE32-E72D297353CC}">
              <c16:uniqueId val="{0000000B-9D56-4A19-AFCA-100F0094CD51}"/>
            </c:ext>
          </c:extLst>
        </c:ser>
        <c:ser>
          <c:idx val="12"/>
          <c:order val="12"/>
          <c:tx>
            <c:strRef>
              <c:f>'[Inventar emisija_Zagreb.xlsx]ukupna potrošnja'!$A$35</c:f>
              <c:strCache>
                <c:ptCount val="1"/>
                <c:pt idx="0">
                  <c:v>Energija Sunca</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potrošnja'!$B$35:$D$35</c:f>
              <c:numCache>
                <c:formatCode>General</c:formatCode>
                <c:ptCount val="3"/>
                <c:pt idx="2" formatCode="#,##0.00">
                  <c:v>89.999928000057594</c:v>
                </c:pt>
              </c:numCache>
            </c:numRef>
          </c:val>
          <c:extLst>
            <c:ext xmlns:c16="http://schemas.microsoft.com/office/drawing/2014/chart" uri="{C3380CC4-5D6E-409C-BE32-E72D297353CC}">
              <c16:uniqueId val="{0000000C-9D56-4A19-AFCA-100F0094CD51}"/>
            </c:ext>
          </c:extLst>
        </c:ser>
        <c:ser>
          <c:idx val="13"/>
          <c:order val="13"/>
          <c:tx>
            <c:strRef>
              <c:f>'[Inventar emisija_Zagreb.xlsx]ukupna potrošnja'!$A$36</c:f>
              <c:strCache>
                <c:ptCount val="1"/>
                <c:pt idx="0">
                  <c:v>Petrolej</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potrošnja'!$B$36:$D$36</c:f>
              <c:numCache>
                <c:formatCode>General</c:formatCode>
                <c:ptCount val="3"/>
                <c:pt idx="2" formatCode="#,##0.00">
                  <c:v>7.7399938080049528</c:v>
                </c:pt>
              </c:numCache>
            </c:numRef>
          </c:val>
          <c:extLst>
            <c:ext xmlns:c16="http://schemas.microsoft.com/office/drawing/2014/chart" uri="{C3380CC4-5D6E-409C-BE32-E72D297353CC}">
              <c16:uniqueId val="{0000000D-9D56-4A19-AFCA-100F0094CD51}"/>
            </c:ext>
          </c:extLst>
        </c:ser>
        <c:ser>
          <c:idx val="14"/>
          <c:order val="14"/>
          <c:tx>
            <c:strRef>
              <c:f>'[Inventar emisija_Zagreb.xlsx]ukupna potrošnja'!$A$37</c:f>
              <c:strCache>
                <c:ptCount val="1"/>
                <c:pt idx="0">
                  <c:v>Geotermalna</c:v>
                </c:pt>
              </c:strCache>
            </c:strRef>
          </c:tx>
          <c:invertIfNegative val="0"/>
          <c:cat>
            <c:strRef>
              <c:f>'[Inventar emisija_Zagreb.xlsx]ukupna potrošnja'!$B$22:$D$22</c:f>
              <c:strCache>
                <c:ptCount val="3"/>
                <c:pt idx="0">
                  <c:v>Promet</c:v>
                </c:pt>
                <c:pt idx="1">
                  <c:v>Javna rasvjeta</c:v>
                </c:pt>
                <c:pt idx="2">
                  <c:v>Zgradarstvo</c:v>
                </c:pt>
              </c:strCache>
            </c:strRef>
          </c:cat>
          <c:val>
            <c:numRef>
              <c:f>'[Inventar emisija_Zagreb.xlsx]ukupna potrošnja'!$B$37:$D$37</c:f>
              <c:numCache>
                <c:formatCode>General</c:formatCode>
                <c:ptCount val="3"/>
                <c:pt idx="2" formatCode="#,##0.00">
                  <c:v>60.371814902548074</c:v>
                </c:pt>
              </c:numCache>
            </c:numRef>
          </c:val>
          <c:extLst>
            <c:ext xmlns:c16="http://schemas.microsoft.com/office/drawing/2014/chart" uri="{C3380CC4-5D6E-409C-BE32-E72D297353CC}">
              <c16:uniqueId val="{0000000E-9D56-4A19-AFCA-100F0094CD51}"/>
            </c:ext>
          </c:extLst>
        </c:ser>
        <c:dLbls>
          <c:showLegendKey val="0"/>
          <c:showVal val="0"/>
          <c:showCatName val="0"/>
          <c:showSerName val="0"/>
          <c:showPercent val="0"/>
          <c:showBubbleSize val="0"/>
        </c:dLbls>
        <c:gapWidth val="150"/>
        <c:shape val="box"/>
        <c:axId val="262123008"/>
        <c:axId val="201784640"/>
        <c:axId val="0"/>
      </c:bar3DChart>
      <c:catAx>
        <c:axId val="262123008"/>
        <c:scaling>
          <c:orientation val="minMax"/>
        </c:scaling>
        <c:delete val="0"/>
        <c:axPos val="b"/>
        <c:numFmt formatCode="General" sourceLinked="0"/>
        <c:majorTickMark val="out"/>
        <c:minorTickMark val="none"/>
        <c:tickLblPos val="nextTo"/>
        <c:txPr>
          <a:bodyPr/>
          <a:lstStyle/>
          <a:p>
            <a:pPr>
              <a:defRPr sz="900" baseline="0"/>
            </a:pPr>
            <a:endParaRPr lang="sr-Latn-RS"/>
          </a:p>
        </c:txPr>
        <c:crossAx val="201784640"/>
        <c:crosses val="autoZero"/>
        <c:auto val="1"/>
        <c:lblAlgn val="ctr"/>
        <c:lblOffset val="100"/>
        <c:noMultiLvlLbl val="0"/>
      </c:catAx>
      <c:valAx>
        <c:axId val="201784640"/>
        <c:scaling>
          <c:orientation val="minMax"/>
        </c:scaling>
        <c:delete val="0"/>
        <c:axPos val="l"/>
        <c:majorGridlines/>
        <c:title>
          <c:tx>
            <c:rich>
              <a:bodyPr rot="-5400000" vert="horz"/>
              <a:lstStyle/>
              <a:p>
                <a:pPr>
                  <a:defRPr/>
                </a:pPr>
                <a:r>
                  <a:rPr lang="hr-HR"/>
                  <a:t>Potrošnja energije,TJ</a:t>
                </a:r>
              </a:p>
            </c:rich>
          </c:tx>
          <c:layout>
            <c:manualLayout>
              <c:xMode val="edge"/>
              <c:yMode val="edge"/>
              <c:x val="1.132735862562634E-2"/>
              <c:y val="0.29347966545664372"/>
            </c:manualLayout>
          </c:layout>
          <c:overlay val="0"/>
        </c:title>
        <c:numFmt formatCode="#,##0.00" sourceLinked="1"/>
        <c:majorTickMark val="out"/>
        <c:minorTickMark val="none"/>
        <c:tickLblPos val="nextTo"/>
        <c:crossAx val="262123008"/>
        <c:crosses val="autoZero"/>
        <c:crossBetween val="between"/>
      </c:valAx>
    </c:plotArea>
    <c:legend>
      <c:legendPos val="r"/>
      <c:layout>
        <c:manualLayout>
          <c:xMode val="edge"/>
          <c:yMode val="edge"/>
          <c:x val="0.78458152221564903"/>
          <c:y val="0.14552615370379471"/>
          <c:w val="0.21541841088045813"/>
          <c:h val="0.73328403431697209"/>
        </c:manualLayout>
      </c:layout>
      <c:overlay val="0"/>
      <c:txPr>
        <a:bodyPr/>
        <a:lstStyle/>
        <a:p>
          <a:pPr>
            <a:defRPr sz="800"/>
          </a:pPr>
          <a:endParaRPr lang="sr-Latn-RS"/>
        </a:p>
      </c:txPr>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'[Inventar emisija_Zagreb.xlsx]ukupan inventar'!$H$1:$J$1</c:f>
              <c:strCache>
                <c:ptCount val="3"/>
                <c:pt idx="0">
                  <c:v>Emisija, t CO₂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'[Inventar emisija_Zagreb.xlsx]ukupan inventar'!$H$2:$J$2</c:f>
              <c:strCache>
                <c:ptCount val="3"/>
                <c:pt idx="0">
                  <c:v>Zgradarstvo</c:v>
                </c:pt>
                <c:pt idx="1">
                  <c:v>Promet</c:v>
                </c:pt>
                <c:pt idx="2">
                  <c:v>Javna rasvjeta</c:v>
                </c:pt>
              </c:strCache>
            </c:strRef>
          </c:cat>
          <c:val>
            <c:numRef>
              <c:f>'[Inventar emisija_Zagreb.xlsx]ukupan inventar'!$H$3:$J$3</c:f>
              <c:numCache>
                <c:formatCode>#,##0.00</c:formatCode>
                <c:ptCount val="3"/>
                <c:pt idx="0">
                  <c:v>1801942.1545494201</c:v>
                </c:pt>
                <c:pt idx="1">
                  <c:v>1100954.9360400795</c:v>
                </c:pt>
                <c:pt idx="2">
                  <c:v>27411.841873047844</c:v>
                </c:pt>
              </c:numCache>
            </c:numRef>
          </c:val>
          <c:extLst>
            <c:ext xmlns:c16="http://schemas.microsoft.com/office/drawing/2014/chart" uri="{C3380CC4-5D6E-409C-BE32-E72D297353CC}">
              <c16:uniqueId val="{00000000-11EE-4AD2-9519-C5F3CEBE45B0}"/>
            </c:ext>
          </c:extLst>
        </c:ser>
        <c:dLbls>
          <c:showLegendKey val="0"/>
          <c:showVal val="0"/>
          <c:showCatName val="0"/>
          <c:showSerName val="0"/>
          <c:showPercent val="0"/>
          <c:showBubbleSize val="0"/>
        </c:dLbls>
        <c:gapWidth val="150"/>
        <c:shape val="box"/>
        <c:axId val="262426624"/>
        <c:axId val="282461312"/>
        <c:axId val="0"/>
      </c:bar3DChart>
      <c:catAx>
        <c:axId val="262426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82461312"/>
        <c:crosses val="autoZero"/>
        <c:auto val="1"/>
        <c:lblAlgn val="ctr"/>
        <c:lblOffset val="100"/>
        <c:noMultiLvlLbl val="0"/>
      </c:catAx>
      <c:valAx>
        <c:axId val="282461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b="1">
                    <a:solidFill>
                      <a:sysClr val="windowText" lastClr="000000"/>
                    </a:solidFill>
                  </a:rPr>
                  <a:t>Emisija</a:t>
                </a:r>
                <a:r>
                  <a:rPr lang="hr-HR" b="1" baseline="0">
                    <a:solidFill>
                      <a:sysClr val="windowText" lastClr="000000"/>
                    </a:solidFill>
                  </a:rPr>
                  <a:t> t CO</a:t>
                </a:r>
                <a:r>
                  <a:rPr lang="hr-HR" b="1" baseline="-25000">
                    <a:solidFill>
                      <a:sysClr val="windowText" lastClr="000000"/>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r-Latn-R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62426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487322080823448"/>
          <c:y val="3.7898353198545051E-2"/>
          <c:w val="0.82512680042389808"/>
          <c:h val="0.74549587431527953"/>
        </c:manualLayout>
      </c:layout>
      <c:bar3DChart>
        <c:barDir val="col"/>
        <c:grouping val="clustered"/>
        <c:varyColors val="0"/>
        <c:ser>
          <c:idx val="0"/>
          <c:order val="0"/>
          <c:spPr>
            <a:solidFill>
              <a:schemeClr val="accent1"/>
            </a:solidFill>
            <a:ln>
              <a:noFill/>
            </a:ln>
            <a:effectLst/>
            <a:sp3d/>
          </c:spPr>
          <c:invertIfNegative val="0"/>
          <c:cat>
            <c:strRef>
              <c:f>'[Inventar emisija_Zagreb.xlsx]ukupan inventar'!$F$27:$F$38</c:f>
              <c:strCache>
                <c:ptCount val="12"/>
                <c:pt idx="0">
                  <c:v>Dizel</c:v>
                </c:pt>
                <c:pt idx="1">
                  <c:v>Motorni benzin</c:v>
                </c:pt>
                <c:pt idx="2">
                  <c:v>LPG</c:v>
                </c:pt>
                <c:pt idx="3">
                  <c:v>SPP</c:v>
                </c:pt>
                <c:pt idx="4">
                  <c:v>Električna energija</c:v>
                </c:pt>
                <c:pt idx="5">
                  <c:v>Lož ulje</c:v>
                </c:pt>
                <c:pt idx="6">
                  <c:v>Prirodni plin</c:v>
                </c:pt>
                <c:pt idx="7">
                  <c:v>Toplana</c:v>
                </c:pt>
                <c:pt idx="8">
                  <c:v>Plinske boce</c:v>
                </c:pt>
                <c:pt idx="9">
                  <c:v>Mrki ugljen</c:v>
                </c:pt>
                <c:pt idx="10">
                  <c:v>Lignit</c:v>
                </c:pt>
                <c:pt idx="11">
                  <c:v>Petrolej</c:v>
                </c:pt>
              </c:strCache>
            </c:strRef>
          </c:cat>
          <c:val>
            <c:numRef>
              <c:f>'[Inventar emisija_Zagreb.xlsx]ukupan inventar'!$G$27:$G$38</c:f>
              <c:numCache>
                <c:formatCode>#,##0.00</c:formatCode>
                <c:ptCount val="12"/>
                <c:pt idx="0">
                  <c:v>671042.61287155398</c:v>
                </c:pt>
                <c:pt idx="1">
                  <c:v>372278.00852532533</c:v>
                </c:pt>
                <c:pt idx="2">
                  <c:v>46146.899144199997</c:v>
                </c:pt>
                <c:pt idx="3">
                  <c:v>6165.6180432000001</c:v>
                </c:pt>
                <c:pt idx="4">
                  <c:v>710788.75308210007</c:v>
                </c:pt>
                <c:pt idx="5">
                  <c:v>62517.267578220002</c:v>
                </c:pt>
                <c:pt idx="6">
                  <c:v>614975.5174912879</c:v>
                </c:pt>
                <c:pt idx="7">
                  <c:v>444668.42080406006</c:v>
                </c:pt>
                <c:pt idx="8">
                  <c:v>1658.7331000000001</c:v>
                </c:pt>
                <c:pt idx="9">
                  <c:v>657.4</c:v>
                </c:pt>
                <c:pt idx="10">
                  <c:v>436.79999999999995</c:v>
                </c:pt>
                <c:pt idx="11">
                  <c:v>569.16949999999997</c:v>
                </c:pt>
              </c:numCache>
            </c:numRef>
          </c:val>
          <c:extLst>
            <c:ext xmlns:c16="http://schemas.microsoft.com/office/drawing/2014/chart" uri="{C3380CC4-5D6E-409C-BE32-E72D297353CC}">
              <c16:uniqueId val="{00000000-94EB-4D15-9958-BE355B82B0B0}"/>
            </c:ext>
          </c:extLst>
        </c:ser>
        <c:dLbls>
          <c:showLegendKey val="0"/>
          <c:showVal val="0"/>
          <c:showCatName val="0"/>
          <c:showSerName val="0"/>
          <c:showPercent val="0"/>
          <c:showBubbleSize val="0"/>
        </c:dLbls>
        <c:gapWidth val="150"/>
        <c:shape val="box"/>
        <c:axId val="262428160"/>
        <c:axId val="282463040"/>
        <c:axId val="0"/>
      </c:bar3DChart>
      <c:catAx>
        <c:axId val="262428160"/>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82463040"/>
        <c:crosses val="autoZero"/>
        <c:auto val="1"/>
        <c:lblAlgn val="ctr"/>
        <c:lblOffset val="100"/>
        <c:noMultiLvlLbl val="0"/>
      </c:catAx>
      <c:valAx>
        <c:axId val="282463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b="1">
                    <a:solidFill>
                      <a:sysClr val="windowText" lastClr="000000"/>
                    </a:solidFill>
                  </a:rPr>
                  <a:t>Emisija</a:t>
                </a:r>
                <a:r>
                  <a:rPr lang="hr-HR" b="1" baseline="0">
                    <a:solidFill>
                      <a:sysClr val="windowText" lastClr="000000"/>
                    </a:solidFill>
                  </a:rPr>
                  <a:t> t CO</a:t>
                </a:r>
                <a:r>
                  <a:rPr lang="hr-HR" b="1" baseline="-25000">
                    <a:solidFill>
                      <a:sysClr val="windowText" lastClr="000000"/>
                    </a:solidFill>
                  </a:rPr>
                  <a:t>2</a:t>
                </a:r>
              </a:p>
            </c:rich>
          </c:tx>
          <c:layout>
            <c:manualLayout>
              <c:xMode val="edge"/>
              <c:yMode val="edge"/>
              <c:x val="1.6749576814516727E-2"/>
              <c:y val="0.307632082678634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62428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5811308797667898"/>
          <c:y val="0.12214390077814581"/>
          <c:w val="0.54288046948213042"/>
          <c:h val="0.72160815533417799"/>
        </c:manualLayout>
      </c:layout>
      <c:bar3DChart>
        <c:barDir val="col"/>
        <c:grouping val="stacked"/>
        <c:varyColors val="0"/>
        <c:ser>
          <c:idx val="0"/>
          <c:order val="0"/>
          <c:tx>
            <c:strRef>
              <c:f>'[Inventar emisija_Zagreb.xlsx]ukupan inventar'!$A$3</c:f>
              <c:strCache>
                <c:ptCount val="1"/>
                <c:pt idx="0">
                  <c:v>Dizel</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inventar'!$B$3:$D$3</c:f>
              <c:numCache>
                <c:formatCode>General</c:formatCode>
                <c:ptCount val="3"/>
                <c:pt idx="0" formatCode="#,##0.00">
                  <c:v>671042.61287155398</c:v>
                </c:pt>
              </c:numCache>
            </c:numRef>
          </c:val>
          <c:extLst>
            <c:ext xmlns:c16="http://schemas.microsoft.com/office/drawing/2014/chart" uri="{C3380CC4-5D6E-409C-BE32-E72D297353CC}">
              <c16:uniqueId val="{00000000-3127-4E8B-AAD0-714122108CED}"/>
            </c:ext>
          </c:extLst>
        </c:ser>
        <c:ser>
          <c:idx val="1"/>
          <c:order val="1"/>
          <c:tx>
            <c:strRef>
              <c:f>'[Inventar emisija_Zagreb.xlsx]ukupan inventar'!$A$4</c:f>
              <c:strCache>
                <c:ptCount val="1"/>
                <c:pt idx="0">
                  <c:v>Motorni benzin</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inventar'!$B$4:$D$4</c:f>
              <c:numCache>
                <c:formatCode>General</c:formatCode>
                <c:ptCount val="3"/>
                <c:pt idx="0" formatCode="#,##0.00">
                  <c:v>372278.00852532533</c:v>
                </c:pt>
              </c:numCache>
            </c:numRef>
          </c:val>
          <c:extLst>
            <c:ext xmlns:c16="http://schemas.microsoft.com/office/drawing/2014/chart" uri="{C3380CC4-5D6E-409C-BE32-E72D297353CC}">
              <c16:uniqueId val="{00000001-3127-4E8B-AAD0-714122108CED}"/>
            </c:ext>
          </c:extLst>
        </c:ser>
        <c:ser>
          <c:idx val="2"/>
          <c:order val="2"/>
          <c:tx>
            <c:strRef>
              <c:f>'[Inventar emisija_Zagreb.xlsx]ukupan inventar'!$A$5</c:f>
              <c:strCache>
                <c:ptCount val="1"/>
                <c:pt idx="0">
                  <c:v>LPG</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inventar'!$B$5:$D$5</c:f>
              <c:numCache>
                <c:formatCode>General</c:formatCode>
                <c:ptCount val="3"/>
                <c:pt idx="0" formatCode="#,##0.00">
                  <c:v>28042.64703</c:v>
                </c:pt>
                <c:pt idx="2" formatCode="#,##0.00">
                  <c:v>18104.252114200001</c:v>
                </c:pt>
              </c:numCache>
            </c:numRef>
          </c:val>
          <c:extLst>
            <c:ext xmlns:c16="http://schemas.microsoft.com/office/drawing/2014/chart" uri="{C3380CC4-5D6E-409C-BE32-E72D297353CC}">
              <c16:uniqueId val="{00000002-3127-4E8B-AAD0-714122108CED}"/>
            </c:ext>
          </c:extLst>
        </c:ser>
        <c:ser>
          <c:idx val="3"/>
          <c:order val="3"/>
          <c:tx>
            <c:strRef>
              <c:f>'[Inventar emisija_Zagreb.xlsx]ukupan inventar'!$A$6</c:f>
              <c:strCache>
                <c:ptCount val="1"/>
                <c:pt idx="0">
                  <c:v>SPP</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inventar'!$B$6:$D$6</c:f>
              <c:numCache>
                <c:formatCode>General</c:formatCode>
                <c:ptCount val="3"/>
                <c:pt idx="0" formatCode="#,##0.00">
                  <c:v>6165.6180432000001</c:v>
                </c:pt>
              </c:numCache>
            </c:numRef>
          </c:val>
          <c:extLst>
            <c:ext xmlns:c16="http://schemas.microsoft.com/office/drawing/2014/chart" uri="{C3380CC4-5D6E-409C-BE32-E72D297353CC}">
              <c16:uniqueId val="{00000003-3127-4E8B-AAD0-714122108CED}"/>
            </c:ext>
          </c:extLst>
        </c:ser>
        <c:ser>
          <c:idx val="4"/>
          <c:order val="4"/>
          <c:tx>
            <c:strRef>
              <c:f>'[Inventar emisija_Zagreb.xlsx]ukupan inventar'!$A$7</c:f>
              <c:strCache>
                <c:ptCount val="1"/>
                <c:pt idx="0">
                  <c:v>Električna energija</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inventar'!$B$7:$D$7</c:f>
              <c:numCache>
                <c:formatCode>#,##0.00</c:formatCode>
                <c:ptCount val="3"/>
                <c:pt idx="0">
                  <c:v>23426.049569999999</c:v>
                </c:pt>
                <c:pt idx="1">
                  <c:v>26827.02</c:v>
                </c:pt>
                <c:pt idx="2">
                  <c:v>660535.68351210002</c:v>
                </c:pt>
              </c:numCache>
            </c:numRef>
          </c:val>
          <c:extLst>
            <c:ext xmlns:c16="http://schemas.microsoft.com/office/drawing/2014/chart" uri="{C3380CC4-5D6E-409C-BE32-E72D297353CC}">
              <c16:uniqueId val="{00000004-3127-4E8B-AAD0-714122108CED}"/>
            </c:ext>
          </c:extLst>
        </c:ser>
        <c:ser>
          <c:idx val="5"/>
          <c:order val="5"/>
          <c:tx>
            <c:strRef>
              <c:f>'[Inventar emisija_Zagreb.xlsx]ukupan inventar'!$A$8</c:f>
              <c:strCache>
                <c:ptCount val="1"/>
                <c:pt idx="0">
                  <c:v>Lož ulje</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inventar'!$B$8:$D$8</c:f>
              <c:numCache>
                <c:formatCode>General</c:formatCode>
                <c:ptCount val="3"/>
                <c:pt idx="2" formatCode="#,##0.00">
                  <c:v>62517.267578220002</c:v>
                </c:pt>
              </c:numCache>
            </c:numRef>
          </c:val>
          <c:extLst>
            <c:ext xmlns:c16="http://schemas.microsoft.com/office/drawing/2014/chart" uri="{C3380CC4-5D6E-409C-BE32-E72D297353CC}">
              <c16:uniqueId val="{00000005-3127-4E8B-AAD0-714122108CED}"/>
            </c:ext>
          </c:extLst>
        </c:ser>
        <c:ser>
          <c:idx val="6"/>
          <c:order val="6"/>
          <c:tx>
            <c:strRef>
              <c:f>'[Inventar emisija_Zagreb.xlsx]ukupan inventar'!$A$9</c:f>
              <c:strCache>
                <c:ptCount val="1"/>
                <c:pt idx="0">
                  <c:v>Prirodni plin</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inventar'!$B$9:$D$9</c:f>
              <c:numCache>
                <c:formatCode>#,##0.00</c:formatCode>
                <c:ptCount val="3"/>
                <c:pt idx="1">
                  <c:v>584.82187304784316</c:v>
                </c:pt>
                <c:pt idx="2">
                  <c:v>614390.69561824005</c:v>
                </c:pt>
              </c:numCache>
            </c:numRef>
          </c:val>
          <c:extLst>
            <c:ext xmlns:c16="http://schemas.microsoft.com/office/drawing/2014/chart" uri="{C3380CC4-5D6E-409C-BE32-E72D297353CC}">
              <c16:uniqueId val="{00000006-3127-4E8B-AAD0-714122108CED}"/>
            </c:ext>
          </c:extLst>
        </c:ser>
        <c:ser>
          <c:idx val="7"/>
          <c:order val="7"/>
          <c:tx>
            <c:strRef>
              <c:f>'ukupan inventar'!#REF!</c:f>
              <c:strCache>
                <c:ptCount val="1"/>
                <c:pt idx="0">
                  <c:v>#REF!</c:v>
                </c:pt>
              </c:strCache>
            </c:strRef>
          </c:tx>
          <c:invertIfNegative val="0"/>
          <c:cat>
            <c:strRef>
              <c:f>'[Inventar emisija_Zagreb.xlsx]ukupan inventar'!$B$2:$D$2</c:f>
              <c:strCache>
                <c:ptCount val="3"/>
                <c:pt idx="0">
                  <c:v>Promet</c:v>
                </c:pt>
                <c:pt idx="1">
                  <c:v>Javna rasvjeta</c:v>
                </c:pt>
                <c:pt idx="2">
                  <c:v>Zgradarstvo</c:v>
                </c:pt>
              </c:strCache>
            </c:strRef>
          </c:cat>
          <c:val>
            <c:numRef>
              <c:f>'ukupan inventar'!#REF!</c:f>
              <c:numCache>
                <c:formatCode>General</c:formatCode>
                <c:ptCount val="1"/>
                <c:pt idx="0">
                  <c:v>1</c:v>
                </c:pt>
              </c:numCache>
            </c:numRef>
          </c:val>
          <c:extLst>
            <c:ext xmlns:c16="http://schemas.microsoft.com/office/drawing/2014/chart" uri="{C3380CC4-5D6E-409C-BE32-E72D297353CC}">
              <c16:uniqueId val="{00000007-3127-4E8B-AAD0-714122108CED}"/>
            </c:ext>
          </c:extLst>
        </c:ser>
        <c:ser>
          <c:idx val="8"/>
          <c:order val="8"/>
          <c:tx>
            <c:strRef>
              <c:f>'[Inventar emisija_Zagreb.xlsx]ukupan inventar'!$A$10</c:f>
              <c:strCache>
                <c:ptCount val="1"/>
                <c:pt idx="0">
                  <c:v>Toplana</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inventar'!$B$10:$D$10</c:f>
              <c:numCache>
                <c:formatCode>General</c:formatCode>
                <c:ptCount val="3"/>
                <c:pt idx="2" formatCode="#,##0.00">
                  <c:v>444668.42080406006</c:v>
                </c:pt>
              </c:numCache>
            </c:numRef>
          </c:val>
          <c:extLst>
            <c:ext xmlns:c16="http://schemas.microsoft.com/office/drawing/2014/chart" uri="{C3380CC4-5D6E-409C-BE32-E72D297353CC}">
              <c16:uniqueId val="{00000008-3127-4E8B-AAD0-714122108CED}"/>
            </c:ext>
          </c:extLst>
        </c:ser>
        <c:ser>
          <c:idx val="9"/>
          <c:order val="9"/>
          <c:tx>
            <c:strRef>
              <c:f>'[Inventar emisija_Zagreb.xlsx]ukupan inventar'!$A$11</c:f>
              <c:strCache>
                <c:ptCount val="1"/>
                <c:pt idx="0">
                  <c:v>Plinske boce</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inventar'!$B$11:$D$11</c:f>
              <c:numCache>
                <c:formatCode>General</c:formatCode>
                <c:ptCount val="3"/>
                <c:pt idx="2" formatCode="#,##0.00">
                  <c:v>1658.7331000000001</c:v>
                </c:pt>
              </c:numCache>
            </c:numRef>
          </c:val>
          <c:extLst>
            <c:ext xmlns:c16="http://schemas.microsoft.com/office/drawing/2014/chart" uri="{C3380CC4-5D6E-409C-BE32-E72D297353CC}">
              <c16:uniqueId val="{00000009-3127-4E8B-AAD0-714122108CED}"/>
            </c:ext>
          </c:extLst>
        </c:ser>
        <c:ser>
          <c:idx val="10"/>
          <c:order val="10"/>
          <c:tx>
            <c:strRef>
              <c:f>'[Inventar emisija_Zagreb.xlsx]ukupan inventar'!$A$12</c:f>
              <c:strCache>
                <c:ptCount val="1"/>
                <c:pt idx="0">
                  <c:v>Mrki ugljen</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inventar'!$B$12:$D$12</c:f>
              <c:numCache>
                <c:formatCode>General</c:formatCode>
                <c:ptCount val="3"/>
                <c:pt idx="2" formatCode="#,##0.00">
                  <c:v>657.4</c:v>
                </c:pt>
              </c:numCache>
            </c:numRef>
          </c:val>
          <c:extLst>
            <c:ext xmlns:c16="http://schemas.microsoft.com/office/drawing/2014/chart" uri="{C3380CC4-5D6E-409C-BE32-E72D297353CC}">
              <c16:uniqueId val="{0000000A-3127-4E8B-AAD0-714122108CED}"/>
            </c:ext>
          </c:extLst>
        </c:ser>
        <c:ser>
          <c:idx val="11"/>
          <c:order val="11"/>
          <c:tx>
            <c:strRef>
              <c:f>'[Inventar emisija_Zagreb.xlsx]ukupan inventar'!$A$13</c:f>
              <c:strCache>
                <c:ptCount val="1"/>
                <c:pt idx="0">
                  <c:v>Lignit</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inventar'!$B$13:$D$13</c:f>
              <c:numCache>
                <c:formatCode>General</c:formatCode>
                <c:ptCount val="3"/>
                <c:pt idx="2" formatCode="#,##0.00">
                  <c:v>436.79999999999995</c:v>
                </c:pt>
              </c:numCache>
            </c:numRef>
          </c:val>
          <c:extLst>
            <c:ext xmlns:c16="http://schemas.microsoft.com/office/drawing/2014/chart" uri="{C3380CC4-5D6E-409C-BE32-E72D297353CC}">
              <c16:uniqueId val="{0000000B-3127-4E8B-AAD0-714122108CED}"/>
            </c:ext>
          </c:extLst>
        </c:ser>
        <c:ser>
          <c:idx val="12"/>
          <c:order val="12"/>
          <c:tx>
            <c:strRef>
              <c:f>'[Inventar emisija_Zagreb.xlsx]ukupan inventar'!$A$14</c:f>
              <c:strCache>
                <c:ptCount val="1"/>
                <c:pt idx="0">
                  <c:v>Energija Sunca</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inventar'!$B$14:$D$14</c:f>
              <c:numCache>
                <c:formatCode>General</c:formatCode>
                <c:ptCount val="3"/>
                <c:pt idx="2" formatCode="#,##0.00">
                  <c:v>0</c:v>
                </c:pt>
              </c:numCache>
            </c:numRef>
          </c:val>
          <c:extLst>
            <c:ext xmlns:c16="http://schemas.microsoft.com/office/drawing/2014/chart" uri="{C3380CC4-5D6E-409C-BE32-E72D297353CC}">
              <c16:uniqueId val="{0000000C-3127-4E8B-AAD0-714122108CED}"/>
            </c:ext>
          </c:extLst>
        </c:ser>
        <c:ser>
          <c:idx val="13"/>
          <c:order val="13"/>
          <c:tx>
            <c:strRef>
              <c:f>'[Inventar emisija_Zagreb.xlsx]ukupan inventar'!$A$15</c:f>
              <c:strCache>
                <c:ptCount val="1"/>
                <c:pt idx="0">
                  <c:v>Petrolej</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inventar'!$B$15:$D$15</c:f>
              <c:numCache>
                <c:formatCode>General</c:formatCode>
                <c:ptCount val="3"/>
                <c:pt idx="2" formatCode="#,##0.00">
                  <c:v>569.16949999999997</c:v>
                </c:pt>
              </c:numCache>
            </c:numRef>
          </c:val>
          <c:extLst>
            <c:ext xmlns:c16="http://schemas.microsoft.com/office/drawing/2014/chart" uri="{C3380CC4-5D6E-409C-BE32-E72D297353CC}">
              <c16:uniqueId val="{0000000D-3127-4E8B-AAD0-714122108CED}"/>
            </c:ext>
          </c:extLst>
        </c:ser>
        <c:ser>
          <c:idx val="14"/>
          <c:order val="14"/>
          <c:tx>
            <c:strRef>
              <c:f>'[Inventar emisija_Zagreb.xlsx]ukupan inventar'!$A$16</c:f>
              <c:strCache>
                <c:ptCount val="1"/>
                <c:pt idx="0">
                  <c:v>Geotermalna</c:v>
                </c:pt>
              </c:strCache>
            </c:strRef>
          </c:tx>
          <c:invertIfNegative val="0"/>
          <c:cat>
            <c:strRef>
              <c:f>'[Inventar emisija_Zagreb.xlsx]ukupan inventar'!$B$2:$D$2</c:f>
              <c:strCache>
                <c:ptCount val="3"/>
                <c:pt idx="0">
                  <c:v>Promet</c:v>
                </c:pt>
                <c:pt idx="1">
                  <c:v>Javna rasvjeta</c:v>
                </c:pt>
                <c:pt idx="2">
                  <c:v>Zgradarstvo</c:v>
                </c:pt>
              </c:strCache>
            </c:strRef>
          </c:cat>
          <c:val>
            <c:numRef>
              <c:f>'[Inventar emisija_Zagreb.xlsx]ukupan inventar'!$B$16:$D$16</c:f>
              <c:numCache>
                <c:formatCode>General</c:formatCode>
                <c:ptCount val="3"/>
              </c:numCache>
            </c:numRef>
          </c:val>
          <c:extLst>
            <c:ext xmlns:c16="http://schemas.microsoft.com/office/drawing/2014/chart" uri="{C3380CC4-5D6E-409C-BE32-E72D297353CC}">
              <c16:uniqueId val="{0000000E-3127-4E8B-AAD0-714122108CED}"/>
            </c:ext>
          </c:extLst>
        </c:ser>
        <c:dLbls>
          <c:showLegendKey val="0"/>
          <c:showVal val="0"/>
          <c:showCatName val="0"/>
          <c:showSerName val="0"/>
          <c:showPercent val="0"/>
          <c:showBubbleSize val="0"/>
        </c:dLbls>
        <c:gapWidth val="150"/>
        <c:shape val="box"/>
        <c:axId val="262121984"/>
        <c:axId val="282464768"/>
        <c:axId val="0"/>
      </c:bar3DChart>
      <c:catAx>
        <c:axId val="262121984"/>
        <c:scaling>
          <c:orientation val="minMax"/>
        </c:scaling>
        <c:delete val="0"/>
        <c:axPos val="b"/>
        <c:numFmt formatCode="General" sourceLinked="0"/>
        <c:majorTickMark val="out"/>
        <c:minorTickMark val="none"/>
        <c:tickLblPos val="nextTo"/>
        <c:txPr>
          <a:bodyPr/>
          <a:lstStyle/>
          <a:p>
            <a:pPr>
              <a:defRPr sz="900" baseline="0"/>
            </a:pPr>
            <a:endParaRPr lang="sr-Latn-RS"/>
          </a:p>
        </c:txPr>
        <c:crossAx val="282464768"/>
        <c:crosses val="autoZero"/>
        <c:auto val="1"/>
        <c:lblAlgn val="ctr"/>
        <c:lblOffset val="100"/>
        <c:noMultiLvlLbl val="0"/>
      </c:catAx>
      <c:valAx>
        <c:axId val="282464768"/>
        <c:scaling>
          <c:orientation val="minMax"/>
        </c:scaling>
        <c:delete val="0"/>
        <c:axPos val="l"/>
        <c:majorGridlines/>
        <c:title>
          <c:tx>
            <c:rich>
              <a:bodyPr/>
              <a:lstStyle/>
              <a:p>
                <a:pPr>
                  <a:defRPr sz="800"/>
                </a:pPr>
                <a:r>
                  <a:rPr lang="hr-HR" sz="800"/>
                  <a:t>Emisija</a:t>
                </a:r>
                <a:r>
                  <a:rPr lang="hr-HR" sz="800" baseline="0"/>
                  <a:t> t CO</a:t>
                </a:r>
                <a:r>
                  <a:rPr lang="hr-HR" sz="800" baseline="-25000"/>
                  <a:t>2</a:t>
                </a:r>
              </a:p>
            </c:rich>
          </c:tx>
          <c:overlay val="0"/>
        </c:title>
        <c:numFmt formatCode="#,##0.00" sourceLinked="1"/>
        <c:majorTickMark val="out"/>
        <c:minorTickMark val="none"/>
        <c:tickLblPos val="nextTo"/>
        <c:crossAx val="262121984"/>
        <c:crosses val="autoZero"/>
        <c:crossBetween val="between"/>
      </c:valAx>
    </c:plotArea>
    <c:legend>
      <c:legendPos val="r"/>
      <c:legendEntry>
        <c:idx val="0"/>
        <c:delete val="1"/>
      </c:legendEntry>
      <c:legendEntry>
        <c:idx val="2"/>
        <c:delete val="1"/>
      </c:legendEntry>
      <c:legendEntry>
        <c:idx val="7"/>
        <c:delete val="1"/>
      </c:legendEntry>
      <c:layout>
        <c:manualLayout>
          <c:xMode val="edge"/>
          <c:yMode val="edge"/>
          <c:x val="0.79778280190223749"/>
          <c:y val="5.1357007526377077E-2"/>
          <c:w val="0.20027902014689591"/>
          <c:h val="0.90497232849378595"/>
        </c:manualLayout>
      </c:layout>
      <c:overlay val="0"/>
      <c:txPr>
        <a:bodyPr/>
        <a:lstStyle/>
        <a:p>
          <a:pPr>
            <a:defRPr sz="800"/>
          </a:pPr>
          <a:endParaRPr lang="sr-Latn-R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hr-HR" sz="1100"/>
              <a:t>Potrošnja energenta prometnog sektora</a:t>
            </a:r>
          </a:p>
        </c:rich>
      </c:tx>
      <c:overlay val="0"/>
    </c:title>
    <c:autoTitleDeleted val="0"/>
    <c:plotArea>
      <c:layout>
        <c:manualLayout>
          <c:layoutTarget val="inner"/>
          <c:xMode val="edge"/>
          <c:yMode val="edge"/>
          <c:x val="0.27685196066909545"/>
          <c:y val="0.18750617851600668"/>
          <c:w val="0.72314803933090455"/>
          <c:h val="0.59613502691725573"/>
        </c:manualLayout>
      </c:layout>
      <c:barChart>
        <c:barDir val="col"/>
        <c:grouping val="stacked"/>
        <c:varyColors val="1"/>
        <c:ser>
          <c:idx val="0"/>
          <c:order val="0"/>
          <c:invertIfNegative val="0"/>
          <c:cat>
            <c:strRef>
              <c:f>promet!$C$4:$C$6</c:f>
              <c:strCache>
                <c:ptCount val="3"/>
                <c:pt idx="0">
                  <c:v>Vozila u vlasništvu grada</c:v>
                </c:pt>
                <c:pt idx="1">
                  <c:v>Javni prijevoz</c:v>
                </c:pt>
                <c:pt idx="2">
                  <c:v>Osobna i komercijalna vozila</c:v>
                </c:pt>
              </c:strCache>
            </c:strRef>
          </c:cat>
          <c:val>
            <c:numRef>
              <c:f>promet!$D$4:$D$6</c:f>
              <c:numCache>
                <c:formatCode>General</c:formatCode>
                <c:ptCount val="3"/>
                <c:pt idx="0">
                  <c:v>55877.871638888893</c:v>
                </c:pt>
                <c:pt idx="1">
                  <c:v>138029.02259466669</c:v>
                </c:pt>
                <c:pt idx="2">
                  <c:v>3584283.688916666</c:v>
                </c:pt>
              </c:numCache>
            </c:numRef>
          </c:val>
          <c:extLst>
            <c:ext xmlns:c16="http://schemas.microsoft.com/office/drawing/2014/chart" uri="{C3380CC4-5D6E-409C-BE32-E72D297353CC}">
              <c16:uniqueId val="{00000000-F838-4958-B237-7B74932EA781}"/>
            </c:ext>
          </c:extLst>
        </c:ser>
        <c:dLbls>
          <c:showLegendKey val="0"/>
          <c:showVal val="0"/>
          <c:showCatName val="0"/>
          <c:showSerName val="0"/>
          <c:showPercent val="0"/>
          <c:showBubbleSize val="0"/>
        </c:dLbls>
        <c:gapWidth val="150"/>
        <c:overlap val="100"/>
        <c:axId val="391656960"/>
        <c:axId val="391932736"/>
      </c:barChart>
      <c:catAx>
        <c:axId val="391656960"/>
        <c:scaling>
          <c:orientation val="minMax"/>
        </c:scaling>
        <c:delete val="0"/>
        <c:axPos val="b"/>
        <c:numFmt formatCode="General" sourceLinked="0"/>
        <c:majorTickMark val="out"/>
        <c:minorTickMark val="none"/>
        <c:tickLblPos val="nextTo"/>
        <c:txPr>
          <a:bodyPr/>
          <a:lstStyle/>
          <a:p>
            <a:pPr>
              <a:defRPr sz="1000"/>
            </a:pPr>
            <a:endParaRPr lang="sr-Latn-RS"/>
          </a:p>
        </c:txPr>
        <c:crossAx val="391932736"/>
        <c:crosses val="autoZero"/>
        <c:auto val="1"/>
        <c:lblAlgn val="ctr"/>
        <c:lblOffset val="100"/>
        <c:noMultiLvlLbl val="0"/>
      </c:catAx>
      <c:valAx>
        <c:axId val="391932736"/>
        <c:scaling>
          <c:orientation val="minMax"/>
        </c:scaling>
        <c:delete val="0"/>
        <c:axPos val="l"/>
        <c:majorGridlines>
          <c:spPr>
            <a:ln>
              <a:prstDash val="sysDash"/>
            </a:ln>
          </c:spPr>
        </c:majorGridlines>
        <c:title>
          <c:tx>
            <c:rich>
              <a:bodyPr rot="-5400000" vert="horz"/>
              <a:lstStyle/>
              <a:p>
                <a:pPr>
                  <a:defRPr b="0"/>
                </a:pPr>
                <a:r>
                  <a:rPr lang="en-US" b="0"/>
                  <a:t>Potrošnja energenata, MWh</a:t>
                </a:r>
              </a:p>
            </c:rich>
          </c:tx>
          <c:overlay val="0"/>
        </c:title>
        <c:numFmt formatCode="General" sourceLinked="1"/>
        <c:majorTickMark val="out"/>
        <c:minorTickMark val="none"/>
        <c:tickLblPos val="nextTo"/>
        <c:crossAx val="391656960"/>
        <c:crosses val="autoZero"/>
        <c:crossBetween val="between"/>
      </c:valAx>
      <c:spPr>
        <a:noFill/>
        <a:ln w="25400">
          <a:noFill/>
        </a:ln>
      </c:spPr>
    </c:plotArea>
    <c:plotVisOnly val="1"/>
    <c:dispBlanksAs val="gap"/>
    <c:showDLblsOverMax val="0"/>
  </c:chart>
  <c:spPr>
    <a:ln>
      <a:noFill/>
    </a:ln>
  </c:spPr>
  <c:txPr>
    <a:bodyPr/>
    <a:lstStyle/>
    <a:p>
      <a:pPr>
        <a:defRPr sz="1000">
          <a:latin typeface="+mn-lt"/>
          <a:cs typeface="Arial" pitchFamily="34" charset="0"/>
        </a:defRPr>
      </a:pPr>
      <a:endParaRPr lang="sr-Latn-R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'[Usporedba.xlsx]ukupan inventar'!$I$20</c:f>
              <c:strCache>
                <c:ptCount val="1"/>
                <c:pt idx="0">
                  <c:v>Dizel</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inventar'!$J$20:$L$20</c:f>
              <c:numCache>
                <c:formatCode>General</c:formatCode>
                <c:ptCount val="3"/>
                <c:pt idx="0" formatCode="#,##0.00">
                  <c:v>558037.30000000005</c:v>
                </c:pt>
              </c:numCache>
            </c:numRef>
          </c:val>
          <c:extLst>
            <c:ext xmlns:c16="http://schemas.microsoft.com/office/drawing/2014/chart" uri="{C3380CC4-5D6E-409C-BE32-E72D297353CC}">
              <c16:uniqueId val="{00000000-0EDE-4A28-82D0-D6DF2E8240AD}"/>
            </c:ext>
          </c:extLst>
        </c:ser>
        <c:ser>
          <c:idx val="1"/>
          <c:order val="1"/>
          <c:tx>
            <c:strRef>
              <c:f>'[Usporedba.xlsx]ukupan inventar'!$I$21</c:f>
              <c:strCache>
                <c:ptCount val="1"/>
                <c:pt idx="0">
                  <c:v>Motorni benzin</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inventar'!$J$21:$L$21</c:f>
              <c:numCache>
                <c:formatCode>General</c:formatCode>
                <c:ptCount val="3"/>
                <c:pt idx="0" formatCode="#,##0.00">
                  <c:v>417817.8</c:v>
                </c:pt>
              </c:numCache>
            </c:numRef>
          </c:val>
          <c:extLst>
            <c:ext xmlns:c16="http://schemas.microsoft.com/office/drawing/2014/chart" uri="{C3380CC4-5D6E-409C-BE32-E72D297353CC}">
              <c16:uniqueId val="{00000001-0EDE-4A28-82D0-D6DF2E8240AD}"/>
            </c:ext>
          </c:extLst>
        </c:ser>
        <c:ser>
          <c:idx val="2"/>
          <c:order val="2"/>
          <c:tx>
            <c:strRef>
              <c:f>'[Usporedba.xlsx]ukupan inventar'!$I$22</c:f>
              <c:strCache>
                <c:ptCount val="1"/>
                <c:pt idx="0">
                  <c:v>LPG</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inventar'!$J$22:$L$22</c:f>
              <c:numCache>
                <c:formatCode>General</c:formatCode>
                <c:ptCount val="3"/>
                <c:pt idx="0" formatCode="#,##0.00">
                  <c:v>6688.7</c:v>
                </c:pt>
                <c:pt idx="2" formatCode="#,##0.00">
                  <c:v>58.8</c:v>
                </c:pt>
              </c:numCache>
            </c:numRef>
          </c:val>
          <c:extLst>
            <c:ext xmlns:c16="http://schemas.microsoft.com/office/drawing/2014/chart" uri="{C3380CC4-5D6E-409C-BE32-E72D297353CC}">
              <c16:uniqueId val="{00000002-0EDE-4A28-82D0-D6DF2E8240AD}"/>
            </c:ext>
          </c:extLst>
        </c:ser>
        <c:ser>
          <c:idx val="3"/>
          <c:order val="3"/>
          <c:tx>
            <c:strRef>
              <c:f>'[Usporedba.xlsx]ukupan inventar'!$I$23</c:f>
              <c:strCache>
                <c:ptCount val="1"/>
                <c:pt idx="0">
                  <c:v>SPP</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inventar'!$J$23:$L$23</c:f>
              <c:numCache>
                <c:formatCode>General</c:formatCode>
                <c:ptCount val="3"/>
              </c:numCache>
            </c:numRef>
          </c:val>
          <c:extLst>
            <c:ext xmlns:c16="http://schemas.microsoft.com/office/drawing/2014/chart" uri="{C3380CC4-5D6E-409C-BE32-E72D297353CC}">
              <c16:uniqueId val="{00000003-0EDE-4A28-82D0-D6DF2E8240AD}"/>
            </c:ext>
          </c:extLst>
        </c:ser>
        <c:ser>
          <c:idx val="4"/>
          <c:order val="4"/>
          <c:tx>
            <c:strRef>
              <c:f>'[Usporedba.xlsx]ukupan inventar'!$I$24</c:f>
              <c:strCache>
                <c:ptCount val="1"/>
                <c:pt idx="0">
                  <c:v>Električna energija</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inventar'!$J$24:$L$24</c:f>
              <c:numCache>
                <c:formatCode>#,##0.00</c:formatCode>
                <c:ptCount val="3"/>
                <c:pt idx="0">
                  <c:v>22474</c:v>
                </c:pt>
                <c:pt idx="1">
                  <c:v>29102.3</c:v>
                </c:pt>
                <c:pt idx="2">
                  <c:v>559132</c:v>
                </c:pt>
              </c:numCache>
            </c:numRef>
          </c:val>
          <c:extLst>
            <c:ext xmlns:c16="http://schemas.microsoft.com/office/drawing/2014/chart" uri="{C3380CC4-5D6E-409C-BE32-E72D297353CC}">
              <c16:uniqueId val="{00000004-0EDE-4A28-82D0-D6DF2E8240AD}"/>
            </c:ext>
          </c:extLst>
        </c:ser>
        <c:ser>
          <c:idx val="5"/>
          <c:order val="5"/>
          <c:tx>
            <c:strRef>
              <c:f>'[Usporedba.xlsx]ukupan inventar'!$I$25</c:f>
              <c:strCache>
                <c:ptCount val="1"/>
                <c:pt idx="0">
                  <c:v>Lož ulje</c:v>
                </c:pt>
              </c:strCache>
            </c:strRef>
          </c:tx>
          <c:invertIfNegative val="0"/>
          <c:cat>
            <c:strRef>
              <c:f>'[Usporedba.xlsx]ukupan inventar'!$J$19:$L$19</c:f>
              <c:strCache>
                <c:ptCount val="3"/>
                <c:pt idx="0">
                  <c:v>Promet</c:v>
                </c:pt>
                <c:pt idx="1">
                  <c:v>Javna rasvjeta</c:v>
                </c:pt>
                <c:pt idx="2">
                  <c:v>Zgradarstvo</c:v>
                </c:pt>
              </c:strCache>
            </c:strRef>
          </c:cat>
          <c:val>
            <c:numRef>
              <c:f>'[Usporedba.xlsx]ukupan inventar'!$J$25:$L$25</c:f>
              <c:numCache>
                <c:formatCode>General</c:formatCode>
                <c:ptCount val="3"/>
                <c:pt idx="2" formatCode="#,##0.00">
                  <c:v>99316.3</c:v>
                </c:pt>
              </c:numCache>
            </c:numRef>
          </c:val>
          <c:extLst>
            <c:ext xmlns:c16="http://schemas.microsoft.com/office/drawing/2014/chart" uri="{C3380CC4-5D6E-409C-BE32-E72D297353CC}">
              <c16:uniqueId val="{00000005-0EDE-4A28-82D0-D6DF2E8240AD}"/>
            </c:ext>
          </c:extLst>
        </c:ser>
        <c:ser>
          <c:idx val="6"/>
          <c:order val="6"/>
          <c:tx>
            <c:strRef>
              <c:f>'[Usporedba.xlsx]ukupan inventar'!$I$26</c:f>
              <c:strCache>
                <c:ptCount val="1"/>
                <c:pt idx="0">
                  <c:v>Prirodni plin</c:v>
                </c:pt>
              </c:strCache>
            </c:strRef>
          </c:tx>
          <c:spPr>
            <a:solidFill>
              <a:schemeClr val="accent1"/>
            </a:solidFill>
          </c:spPr>
          <c:invertIfNegative val="0"/>
          <c:cat>
            <c:strRef>
              <c:f>'[Usporedba.xlsx]ukupan inventar'!$J$19:$L$19</c:f>
              <c:strCache>
                <c:ptCount val="3"/>
                <c:pt idx="0">
                  <c:v>Promet</c:v>
                </c:pt>
                <c:pt idx="1">
                  <c:v>Javna rasvjeta</c:v>
                </c:pt>
                <c:pt idx="2">
                  <c:v>Zgradarstvo</c:v>
                </c:pt>
              </c:strCache>
            </c:strRef>
          </c:cat>
          <c:val>
            <c:numRef>
              <c:f>'[Usporedba.xlsx]ukupan inventar'!$J$26:$L$26</c:f>
              <c:numCache>
                <c:formatCode>#,##0.00</c:formatCode>
                <c:ptCount val="3"/>
                <c:pt idx="0">
                  <c:v>90.1</c:v>
                </c:pt>
                <c:pt idx="1">
                  <c:v>71.8</c:v>
                </c:pt>
                <c:pt idx="2">
                  <c:v>634876.6</c:v>
                </c:pt>
              </c:numCache>
            </c:numRef>
          </c:val>
          <c:extLst>
            <c:ext xmlns:c16="http://schemas.microsoft.com/office/drawing/2014/chart" uri="{C3380CC4-5D6E-409C-BE32-E72D297353CC}">
              <c16:uniqueId val="{00000006-0EDE-4A28-82D0-D6DF2E8240AD}"/>
            </c:ext>
          </c:extLst>
        </c:ser>
        <c:ser>
          <c:idx val="7"/>
          <c:order val="7"/>
          <c:tx>
            <c:strRef>
              <c:f>'[Usporedba.xlsx]ukupan inventar'!$I$27</c:f>
              <c:strCache>
                <c:ptCount val="1"/>
                <c:pt idx="0">
                  <c:v>Toplana</c:v>
                </c:pt>
              </c:strCache>
            </c:strRef>
          </c:tx>
          <c:spPr>
            <a:solidFill>
              <a:schemeClr val="accent2"/>
            </a:solidFill>
            <a:ln>
              <a:noFill/>
            </a:ln>
          </c:spPr>
          <c:invertIfNegative val="0"/>
          <c:cat>
            <c:strRef>
              <c:f>'[Usporedba.xlsx]ukupan inventar'!$J$19:$L$19</c:f>
              <c:strCache>
                <c:ptCount val="3"/>
                <c:pt idx="0">
                  <c:v>Promet</c:v>
                </c:pt>
                <c:pt idx="1">
                  <c:v>Javna rasvjeta</c:v>
                </c:pt>
                <c:pt idx="2">
                  <c:v>Zgradarstvo</c:v>
                </c:pt>
              </c:strCache>
            </c:strRef>
          </c:cat>
          <c:val>
            <c:numRef>
              <c:f>'[Usporedba.xlsx]ukupan inventar'!$J$27:$L$27</c:f>
              <c:numCache>
                <c:formatCode>General</c:formatCode>
                <c:ptCount val="3"/>
                <c:pt idx="2" formatCode="#,##0.00">
                  <c:v>466137.1</c:v>
                </c:pt>
              </c:numCache>
            </c:numRef>
          </c:val>
          <c:extLst>
            <c:ext xmlns:c16="http://schemas.microsoft.com/office/drawing/2014/chart" uri="{C3380CC4-5D6E-409C-BE32-E72D297353CC}">
              <c16:uniqueId val="{00000007-0EDE-4A28-82D0-D6DF2E8240AD}"/>
            </c:ext>
          </c:extLst>
        </c:ser>
        <c:dLbls>
          <c:showLegendKey val="0"/>
          <c:showVal val="0"/>
          <c:showCatName val="0"/>
          <c:showSerName val="0"/>
          <c:showPercent val="0"/>
          <c:showBubbleSize val="0"/>
        </c:dLbls>
        <c:gapWidth val="150"/>
        <c:shape val="box"/>
        <c:axId val="248227328"/>
        <c:axId val="248365056"/>
        <c:axId val="0"/>
      </c:bar3DChart>
      <c:catAx>
        <c:axId val="248227328"/>
        <c:scaling>
          <c:orientation val="minMax"/>
        </c:scaling>
        <c:delete val="0"/>
        <c:axPos val="b"/>
        <c:numFmt formatCode="General" sourceLinked="0"/>
        <c:majorTickMark val="out"/>
        <c:minorTickMark val="none"/>
        <c:tickLblPos val="nextTo"/>
        <c:crossAx val="248365056"/>
        <c:crosses val="autoZero"/>
        <c:auto val="1"/>
        <c:lblAlgn val="ctr"/>
        <c:lblOffset val="100"/>
        <c:noMultiLvlLbl val="0"/>
      </c:catAx>
      <c:valAx>
        <c:axId val="248365056"/>
        <c:scaling>
          <c:orientation val="minMax"/>
        </c:scaling>
        <c:delete val="0"/>
        <c:axPos val="l"/>
        <c:majorGridlines/>
        <c:title>
          <c:tx>
            <c:rich>
              <a:bodyPr rot="-5400000" vert="horz"/>
              <a:lstStyle/>
              <a:p>
                <a:pPr>
                  <a:defRPr/>
                </a:pPr>
                <a:r>
                  <a:rPr lang="hr-HR"/>
                  <a:t>t</a:t>
                </a:r>
                <a:r>
                  <a:rPr lang="hr-HR" baseline="0"/>
                  <a:t> CO</a:t>
                </a:r>
                <a:r>
                  <a:rPr lang="hr-HR" baseline="-25000"/>
                  <a:t>2</a:t>
                </a:r>
              </a:p>
            </c:rich>
          </c:tx>
          <c:overlay val="0"/>
        </c:title>
        <c:numFmt formatCode="#,##0.00" sourceLinked="1"/>
        <c:majorTickMark val="out"/>
        <c:minorTickMark val="none"/>
        <c:tickLblPos val="nextTo"/>
        <c:crossAx val="248227328"/>
        <c:crosses val="autoZero"/>
        <c:crossBetween val="between"/>
      </c:valAx>
    </c:plotArea>
    <c:legend>
      <c:legendPos val="r"/>
      <c:legendEntry>
        <c:idx val="4"/>
        <c:delete val="1"/>
      </c:legendEntry>
      <c:layout>
        <c:manualLayout>
          <c:xMode val="edge"/>
          <c:yMode val="edge"/>
          <c:x val="0.83971611025257353"/>
          <c:y val="0.16366317764294372"/>
          <c:w val="0.16028386773074127"/>
          <c:h val="0.51044424486726958"/>
        </c:manualLayout>
      </c:layout>
      <c:overlay val="0"/>
      <c:txPr>
        <a:bodyPr/>
        <a:lstStyle/>
        <a:p>
          <a:pPr>
            <a:defRPr sz="800"/>
          </a:pPr>
          <a:endParaRPr lang="sr-Latn-RS"/>
        </a:p>
      </c:txPr>
    </c:legend>
    <c:plotVisOnly val="1"/>
    <c:dispBlanksAs val="gap"/>
    <c:showDLblsOverMax val="0"/>
  </c:chart>
  <c:spPr>
    <a:ln>
      <a:no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'[Usporedba.xlsx]ukupan inventar'!$A$3</c:f>
              <c:strCache>
                <c:ptCount val="1"/>
                <c:pt idx="0">
                  <c:v>Dizel</c:v>
                </c:pt>
              </c:strCache>
            </c:strRef>
          </c:tx>
          <c:invertIfNegative val="0"/>
          <c:cat>
            <c:strRef>
              <c:f>'[Usporedba.xlsx]ukupan inventar'!$B$2:$D$2</c:f>
              <c:strCache>
                <c:ptCount val="3"/>
                <c:pt idx="0">
                  <c:v>Promet</c:v>
                </c:pt>
                <c:pt idx="1">
                  <c:v>Javna rasvjeta</c:v>
                </c:pt>
                <c:pt idx="2">
                  <c:v>Zgradarstvo</c:v>
                </c:pt>
              </c:strCache>
            </c:strRef>
          </c:cat>
          <c:val>
            <c:numRef>
              <c:f>'[Usporedba.xlsx]ukupan inventar'!$B$3:$D$3</c:f>
              <c:numCache>
                <c:formatCode>General</c:formatCode>
                <c:ptCount val="3"/>
                <c:pt idx="0" formatCode="#,##0.00">
                  <c:v>671042.61</c:v>
                </c:pt>
              </c:numCache>
            </c:numRef>
          </c:val>
          <c:extLst>
            <c:ext xmlns:c16="http://schemas.microsoft.com/office/drawing/2014/chart" uri="{C3380CC4-5D6E-409C-BE32-E72D297353CC}">
              <c16:uniqueId val="{00000000-039D-4CA8-96EE-7BA42D12E1BE}"/>
            </c:ext>
          </c:extLst>
        </c:ser>
        <c:ser>
          <c:idx val="1"/>
          <c:order val="1"/>
          <c:tx>
            <c:strRef>
              <c:f>'[Usporedba.xlsx]ukupan inventar'!$A$4</c:f>
              <c:strCache>
                <c:ptCount val="1"/>
                <c:pt idx="0">
                  <c:v>Motorni benzin</c:v>
                </c:pt>
              </c:strCache>
            </c:strRef>
          </c:tx>
          <c:invertIfNegative val="0"/>
          <c:cat>
            <c:strRef>
              <c:f>'[Usporedba.xlsx]ukupan inventar'!$B$2:$D$2</c:f>
              <c:strCache>
                <c:ptCount val="3"/>
                <c:pt idx="0">
                  <c:v>Promet</c:v>
                </c:pt>
                <c:pt idx="1">
                  <c:v>Javna rasvjeta</c:v>
                </c:pt>
                <c:pt idx="2">
                  <c:v>Zgradarstvo</c:v>
                </c:pt>
              </c:strCache>
            </c:strRef>
          </c:cat>
          <c:val>
            <c:numRef>
              <c:f>'[Usporedba.xlsx]ukupan inventar'!$B$4:$D$4</c:f>
              <c:numCache>
                <c:formatCode>General</c:formatCode>
                <c:ptCount val="3"/>
                <c:pt idx="0" formatCode="#,##0.00">
                  <c:v>372278.01</c:v>
                </c:pt>
              </c:numCache>
            </c:numRef>
          </c:val>
          <c:extLst>
            <c:ext xmlns:c16="http://schemas.microsoft.com/office/drawing/2014/chart" uri="{C3380CC4-5D6E-409C-BE32-E72D297353CC}">
              <c16:uniqueId val="{00000001-039D-4CA8-96EE-7BA42D12E1BE}"/>
            </c:ext>
          </c:extLst>
        </c:ser>
        <c:ser>
          <c:idx val="2"/>
          <c:order val="2"/>
          <c:tx>
            <c:strRef>
              <c:f>'[Usporedba.xlsx]ukupan inventar'!$A$5</c:f>
              <c:strCache>
                <c:ptCount val="1"/>
                <c:pt idx="0">
                  <c:v>LPG</c:v>
                </c:pt>
              </c:strCache>
            </c:strRef>
          </c:tx>
          <c:invertIfNegative val="0"/>
          <c:cat>
            <c:strRef>
              <c:f>'[Usporedba.xlsx]ukupan inventar'!$B$2:$D$2</c:f>
              <c:strCache>
                <c:ptCount val="3"/>
                <c:pt idx="0">
                  <c:v>Promet</c:v>
                </c:pt>
                <c:pt idx="1">
                  <c:v>Javna rasvjeta</c:v>
                </c:pt>
                <c:pt idx="2">
                  <c:v>Zgradarstvo</c:v>
                </c:pt>
              </c:strCache>
            </c:strRef>
          </c:cat>
          <c:val>
            <c:numRef>
              <c:f>'[Usporedba.xlsx]ukupan inventar'!$B$5:$D$5</c:f>
              <c:numCache>
                <c:formatCode>General</c:formatCode>
                <c:ptCount val="3"/>
                <c:pt idx="0" formatCode="#,##0.00">
                  <c:v>28042.65</c:v>
                </c:pt>
                <c:pt idx="2" formatCode="#,##0.00">
                  <c:v>16507.984436800001</c:v>
                </c:pt>
              </c:numCache>
            </c:numRef>
          </c:val>
          <c:extLst>
            <c:ext xmlns:c16="http://schemas.microsoft.com/office/drawing/2014/chart" uri="{C3380CC4-5D6E-409C-BE32-E72D297353CC}">
              <c16:uniqueId val="{00000002-039D-4CA8-96EE-7BA42D12E1BE}"/>
            </c:ext>
          </c:extLst>
        </c:ser>
        <c:ser>
          <c:idx val="3"/>
          <c:order val="3"/>
          <c:tx>
            <c:strRef>
              <c:f>'[Usporedba.xlsx]ukupan inventar'!$A$6</c:f>
              <c:strCache>
                <c:ptCount val="1"/>
                <c:pt idx="0">
                  <c:v>SPP</c:v>
                </c:pt>
              </c:strCache>
            </c:strRef>
          </c:tx>
          <c:invertIfNegative val="0"/>
          <c:cat>
            <c:strRef>
              <c:f>'[Usporedba.xlsx]ukupan inventar'!$B$2:$D$2</c:f>
              <c:strCache>
                <c:ptCount val="3"/>
                <c:pt idx="0">
                  <c:v>Promet</c:v>
                </c:pt>
                <c:pt idx="1">
                  <c:v>Javna rasvjeta</c:v>
                </c:pt>
                <c:pt idx="2">
                  <c:v>Zgradarstvo</c:v>
                </c:pt>
              </c:strCache>
            </c:strRef>
          </c:cat>
          <c:val>
            <c:numRef>
              <c:f>'[Usporedba.xlsx]ukupan inventar'!$B$6:$D$6</c:f>
              <c:numCache>
                <c:formatCode>General</c:formatCode>
                <c:ptCount val="3"/>
                <c:pt idx="0" formatCode="#,##0.00">
                  <c:v>6165.62</c:v>
                </c:pt>
              </c:numCache>
            </c:numRef>
          </c:val>
          <c:extLst>
            <c:ext xmlns:c16="http://schemas.microsoft.com/office/drawing/2014/chart" uri="{C3380CC4-5D6E-409C-BE32-E72D297353CC}">
              <c16:uniqueId val="{00000003-039D-4CA8-96EE-7BA42D12E1BE}"/>
            </c:ext>
          </c:extLst>
        </c:ser>
        <c:ser>
          <c:idx val="4"/>
          <c:order val="4"/>
          <c:tx>
            <c:strRef>
              <c:f>'[Usporedba.xlsx]ukupan inventar'!$A$7</c:f>
              <c:strCache>
                <c:ptCount val="1"/>
                <c:pt idx="0">
                  <c:v>Električna energija</c:v>
                </c:pt>
              </c:strCache>
            </c:strRef>
          </c:tx>
          <c:invertIfNegative val="0"/>
          <c:cat>
            <c:strRef>
              <c:f>'[Usporedba.xlsx]ukupan inventar'!$B$2:$D$2</c:f>
              <c:strCache>
                <c:ptCount val="3"/>
                <c:pt idx="0">
                  <c:v>Promet</c:v>
                </c:pt>
                <c:pt idx="1">
                  <c:v>Javna rasvjeta</c:v>
                </c:pt>
                <c:pt idx="2">
                  <c:v>Zgradarstvo</c:v>
                </c:pt>
              </c:strCache>
            </c:strRef>
          </c:cat>
          <c:val>
            <c:numRef>
              <c:f>'[Usporedba.xlsx]ukupan inventar'!$B$7:$D$7</c:f>
              <c:numCache>
                <c:formatCode>#,##0.00</c:formatCode>
                <c:ptCount val="3"/>
                <c:pt idx="0">
                  <c:v>23426.05</c:v>
                </c:pt>
                <c:pt idx="1">
                  <c:v>26827.02</c:v>
                </c:pt>
                <c:pt idx="2">
                  <c:v>659933.17634640005</c:v>
                </c:pt>
              </c:numCache>
            </c:numRef>
          </c:val>
          <c:extLst>
            <c:ext xmlns:c16="http://schemas.microsoft.com/office/drawing/2014/chart" uri="{C3380CC4-5D6E-409C-BE32-E72D297353CC}">
              <c16:uniqueId val="{00000004-039D-4CA8-96EE-7BA42D12E1BE}"/>
            </c:ext>
          </c:extLst>
        </c:ser>
        <c:ser>
          <c:idx val="5"/>
          <c:order val="5"/>
          <c:tx>
            <c:strRef>
              <c:f>'[Usporedba.xlsx]ukupan inventar'!$A$8</c:f>
              <c:strCache>
                <c:ptCount val="1"/>
                <c:pt idx="0">
                  <c:v>Lož ulje</c:v>
                </c:pt>
              </c:strCache>
            </c:strRef>
          </c:tx>
          <c:invertIfNegative val="0"/>
          <c:cat>
            <c:strRef>
              <c:f>'[Usporedba.xlsx]ukupan inventar'!$B$2:$D$2</c:f>
              <c:strCache>
                <c:ptCount val="3"/>
                <c:pt idx="0">
                  <c:v>Promet</c:v>
                </c:pt>
                <c:pt idx="1">
                  <c:v>Javna rasvjeta</c:v>
                </c:pt>
                <c:pt idx="2">
                  <c:v>Zgradarstvo</c:v>
                </c:pt>
              </c:strCache>
            </c:strRef>
          </c:cat>
          <c:val>
            <c:numRef>
              <c:f>'[Usporedba.xlsx]ukupan inventar'!$B$8:$D$8</c:f>
              <c:numCache>
                <c:formatCode>General</c:formatCode>
                <c:ptCount val="3"/>
                <c:pt idx="2" formatCode="#,##0.00">
                  <c:v>62517.267578220002</c:v>
                </c:pt>
              </c:numCache>
            </c:numRef>
          </c:val>
          <c:extLst>
            <c:ext xmlns:c16="http://schemas.microsoft.com/office/drawing/2014/chart" uri="{C3380CC4-5D6E-409C-BE32-E72D297353CC}">
              <c16:uniqueId val="{00000005-039D-4CA8-96EE-7BA42D12E1BE}"/>
            </c:ext>
          </c:extLst>
        </c:ser>
        <c:ser>
          <c:idx val="6"/>
          <c:order val="6"/>
          <c:tx>
            <c:strRef>
              <c:f>'[Usporedba.xlsx]ukupan inventar'!$A$9</c:f>
              <c:strCache>
                <c:ptCount val="1"/>
                <c:pt idx="0">
                  <c:v>Prirodni plin</c:v>
                </c:pt>
              </c:strCache>
            </c:strRef>
          </c:tx>
          <c:invertIfNegative val="0"/>
          <c:cat>
            <c:strRef>
              <c:f>'[Usporedba.xlsx]ukupan inventar'!$B$2:$D$2</c:f>
              <c:strCache>
                <c:ptCount val="3"/>
                <c:pt idx="0">
                  <c:v>Promet</c:v>
                </c:pt>
                <c:pt idx="1">
                  <c:v>Javna rasvjeta</c:v>
                </c:pt>
                <c:pt idx="2">
                  <c:v>Zgradarstvo</c:v>
                </c:pt>
              </c:strCache>
            </c:strRef>
          </c:cat>
          <c:val>
            <c:numRef>
              <c:f>'[Usporedba.xlsx]ukupan inventar'!$B$9:$D$9</c:f>
              <c:numCache>
                <c:formatCode>#,##0.00</c:formatCode>
                <c:ptCount val="3"/>
                <c:pt idx="1">
                  <c:v>584.82187304784316</c:v>
                </c:pt>
                <c:pt idx="2">
                  <c:v>614076.17993760004</c:v>
                </c:pt>
              </c:numCache>
            </c:numRef>
          </c:val>
          <c:extLst>
            <c:ext xmlns:c16="http://schemas.microsoft.com/office/drawing/2014/chart" uri="{C3380CC4-5D6E-409C-BE32-E72D297353CC}">
              <c16:uniqueId val="{00000006-039D-4CA8-96EE-7BA42D12E1BE}"/>
            </c:ext>
          </c:extLst>
        </c:ser>
        <c:ser>
          <c:idx val="7"/>
          <c:order val="7"/>
          <c:tx>
            <c:strRef>
              <c:f>'[Usporedba.xlsx]ukupan inventar'!$A$10</c:f>
              <c:strCache>
                <c:ptCount val="1"/>
                <c:pt idx="0">
                  <c:v>Toplana</c:v>
                </c:pt>
              </c:strCache>
            </c:strRef>
          </c:tx>
          <c:invertIfNegative val="0"/>
          <c:cat>
            <c:strRef>
              <c:f>'[Usporedba.xlsx]ukupan inventar'!$B$2:$D$2</c:f>
              <c:strCache>
                <c:ptCount val="3"/>
                <c:pt idx="0">
                  <c:v>Promet</c:v>
                </c:pt>
                <c:pt idx="1">
                  <c:v>Javna rasvjeta</c:v>
                </c:pt>
                <c:pt idx="2">
                  <c:v>Zgradarstvo</c:v>
                </c:pt>
              </c:strCache>
            </c:strRef>
          </c:cat>
          <c:val>
            <c:numRef>
              <c:f>'[Usporedba.xlsx]ukupan inventar'!$B$10:$D$10</c:f>
              <c:numCache>
                <c:formatCode>General</c:formatCode>
                <c:ptCount val="3"/>
                <c:pt idx="2" formatCode="#,##0.00">
                  <c:v>446248.58831460006</c:v>
                </c:pt>
              </c:numCache>
            </c:numRef>
          </c:val>
          <c:extLst>
            <c:ext xmlns:c16="http://schemas.microsoft.com/office/drawing/2014/chart" uri="{C3380CC4-5D6E-409C-BE32-E72D297353CC}">
              <c16:uniqueId val="{00000007-039D-4CA8-96EE-7BA42D12E1BE}"/>
            </c:ext>
          </c:extLst>
        </c:ser>
        <c:ser>
          <c:idx val="8"/>
          <c:order val="8"/>
          <c:tx>
            <c:strRef>
              <c:f>'[Usporedba.xlsx]ukupan inventar'!$A$11</c:f>
              <c:strCache>
                <c:ptCount val="1"/>
                <c:pt idx="0">
                  <c:v>Plinske boce</c:v>
                </c:pt>
              </c:strCache>
            </c:strRef>
          </c:tx>
          <c:invertIfNegative val="0"/>
          <c:cat>
            <c:strRef>
              <c:f>'[Usporedba.xlsx]ukupan inventar'!$B$2:$D$2</c:f>
              <c:strCache>
                <c:ptCount val="3"/>
                <c:pt idx="0">
                  <c:v>Promet</c:v>
                </c:pt>
                <c:pt idx="1">
                  <c:v>Javna rasvjeta</c:v>
                </c:pt>
                <c:pt idx="2">
                  <c:v>Zgradarstvo</c:v>
                </c:pt>
              </c:strCache>
            </c:strRef>
          </c:cat>
          <c:val>
            <c:numRef>
              <c:f>'[Usporedba.xlsx]ukupan inventar'!$B$11:$D$11</c:f>
              <c:numCache>
                <c:formatCode>General</c:formatCode>
                <c:ptCount val="3"/>
                <c:pt idx="2" formatCode="#,##0.00">
                  <c:v>1658.7331000000001</c:v>
                </c:pt>
              </c:numCache>
            </c:numRef>
          </c:val>
          <c:extLst>
            <c:ext xmlns:c16="http://schemas.microsoft.com/office/drawing/2014/chart" uri="{C3380CC4-5D6E-409C-BE32-E72D297353CC}">
              <c16:uniqueId val="{00000008-039D-4CA8-96EE-7BA42D12E1BE}"/>
            </c:ext>
          </c:extLst>
        </c:ser>
        <c:ser>
          <c:idx val="9"/>
          <c:order val="9"/>
          <c:tx>
            <c:strRef>
              <c:f>'[Usporedba.xlsx]ukupan inventar'!$A$12</c:f>
              <c:strCache>
                <c:ptCount val="1"/>
                <c:pt idx="0">
                  <c:v>Mrki ugljen</c:v>
                </c:pt>
              </c:strCache>
            </c:strRef>
          </c:tx>
          <c:invertIfNegative val="0"/>
          <c:cat>
            <c:strRef>
              <c:f>'[Usporedba.xlsx]ukupan inventar'!$B$2:$D$2</c:f>
              <c:strCache>
                <c:ptCount val="3"/>
                <c:pt idx="0">
                  <c:v>Promet</c:v>
                </c:pt>
                <c:pt idx="1">
                  <c:v>Javna rasvjeta</c:v>
                </c:pt>
                <c:pt idx="2">
                  <c:v>Zgradarstvo</c:v>
                </c:pt>
              </c:strCache>
            </c:strRef>
          </c:cat>
          <c:val>
            <c:numRef>
              <c:f>'[Usporedba.xlsx]ukupan inventar'!$B$12:$D$12</c:f>
              <c:numCache>
                <c:formatCode>General</c:formatCode>
                <c:ptCount val="3"/>
                <c:pt idx="2" formatCode="#,##0.00">
                  <c:v>657.4</c:v>
                </c:pt>
              </c:numCache>
            </c:numRef>
          </c:val>
          <c:extLst>
            <c:ext xmlns:c16="http://schemas.microsoft.com/office/drawing/2014/chart" uri="{C3380CC4-5D6E-409C-BE32-E72D297353CC}">
              <c16:uniqueId val="{00000009-039D-4CA8-96EE-7BA42D12E1BE}"/>
            </c:ext>
          </c:extLst>
        </c:ser>
        <c:ser>
          <c:idx val="10"/>
          <c:order val="10"/>
          <c:tx>
            <c:strRef>
              <c:f>'[Usporedba.xlsx]ukupan inventar'!$A$13</c:f>
              <c:strCache>
                <c:ptCount val="1"/>
                <c:pt idx="0">
                  <c:v>Lignit</c:v>
                </c:pt>
              </c:strCache>
            </c:strRef>
          </c:tx>
          <c:invertIfNegative val="0"/>
          <c:cat>
            <c:strRef>
              <c:f>'[Usporedba.xlsx]ukupan inventar'!$B$2:$D$2</c:f>
              <c:strCache>
                <c:ptCount val="3"/>
                <c:pt idx="0">
                  <c:v>Promet</c:v>
                </c:pt>
                <c:pt idx="1">
                  <c:v>Javna rasvjeta</c:v>
                </c:pt>
                <c:pt idx="2">
                  <c:v>Zgradarstvo</c:v>
                </c:pt>
              </c:strCache>
            </c:strRef>
          </c:cat>
          <c:val>
            <c:numRef>
              <c:f>'[Usporedba.xlsx]ukupan inventar'!$B$13:$D$13</c:f>
              <c:numCache>
                <c:formatCode>General</c:formatCode>
                <c:ptCount val="3"/>
                <c:pt idx="2" formatCode="#,##0.00">
                  <c:v>436.79999999999995</c:v>
                </c:pt>
              </c:numCache>
            </c:numRef>
          </c:val>
          <c:extLst>
            <c:ext xmlns:c16="http://schemas.microsoft.com/office/drawing/2014/chart" uri="{C3380CC4-5D6E-409C-BE32-E72D297353CC}">
              <c16:uniqueId val="{0000000A-039D-4CA8-96EE-7BA42D12E1BE}"/>
            </c:ext>
          </c:extLst>
        </c:ser>
        <c:ser>
          <c:idx val="11"/>
          <c:order val="11"/>
          <c:tx>
            <c:strRef>
              <c:f>'[Usporedba.xlsx]ukupan inventar'!$A$13</c:f>
              <c:strCache>
                <c:ptCount val="1"/>
                <c:pt idx="0">
                  <c:v>Lignit</c:v>
                </c:pt>
              </c:strCache>
            </c:strRef>
          </c:tx>
          <c:invertIfNegative val="0"/>
          <c:cat>
            <c:strRef>
              <c:f>'[Usporedba.xlsx]ukupan inventar'!$B$2:$D$2</c:f>
              <c:strCache>
                <c:ptCount val="3"/>
                <c:pt idx="0">
                  <c:v>Promet</c:v>
                </c:pt>
                <c:pt idx="1">
                  <c:v>Javna rasvjeta</c:v>
                </c:pt>
                <c:pt idx="2">
                  <c:v>Zgradarstvo</c:v>
                </c:pt>
              </c:strCache>
            </c:strRef>
          </c:cat>
          <c:val>
            <c:numRef>
              <c:f>'[Usporedba.xlsx]ukupan inventar'!$B$13:$D$13</c:f>
              <c:numCache>
                <c:formatCode>General</c:formatCode>
                <c:ptCount val="3"/>
                <c:pt idx="2" formatCode="#,##0.00">
                  <c:v>436.79999999999995</c:v>
                </c:pt>
              </c:numCache>
            </c:numRef>
          </c:val>
          <c:extLst>
            <c:ext xmlns:c16="http://schemas.microsoft.com/office/drawing/2014/chart" uri="{C3380CC4-5D6E-409C-BE32-E72D297353CC}">
              <c16:uniqueId val="{0000000B-039D-4CA8-96EE-7BA42D12E1BE}"/>
            </c:ext>
          </c:extLst>
        </c:ser>
        <c:ser>
          <c:idx val="12"/>
          <c:order val="12"/>
          <c:tx>
            <c:strRef>
              <c:f>'[Usporedba.xlsx]ukupan inventar'!$A$14</c:f>
              <c:strCache>
                <c:ptCount val="1"/>
                <c:pt idx="0">
                  <c:v>Petrolej</c:v>
                </c:pt>
              </c:strCache>
            </c:strRef>
          </c:tx>
          <c:invertIfNegative val="0"/>
          <c:cat>
            <c:strRef>
              <c:f>'[Usporedba.xlsx]ukupan inventar'!$B$2:$D$2</c:f>
              <c:strCache>
                <c:ptCount val="3"/>
                <c:pt idx="0">
                  <c:v>Promet</c:v>
                </c:pt>
                <c:pt idx="1">
                  <c:v>Javna rasvjeta</c:v>
                </c:pt>
                <c:pt idx="2">
                  <c:v>Zgradarstvo</c:v>
                </c:pt>
              </c:strCache>
            </c:strRef>
          </c:cat>
          <c:val>
            <c:numRef>
              <c:f>'[Usporedba.xlsx]ukupan inventar'!$B$14:$D$14</c:f>
              <c:numCache>
                <c:formatCode>General</c:formatCode>
                <c:ptCount val="3"/>
                <c:pt idx="2" formatCode="#,##0.00">
                  <c:v>569.16949999999997</c:v>
                </c:pt>
              </c:numCache>
            </c:numRef>
          </c:val>
          <c:extLst>
            <c:ext xmlns:c16="http://schemas.microsoft.com/office/drawing/2014/chart" uri="{C3380CC4-5D6E-409C-BE32-E72D297353CC}">
              <c16:uniqueId val="{0000000C-039D-4CA8-96EE-7BA42D12E1BE}"/>
            </c:ext>
          </c:extLst>
        </c:ser>
        <c:dLbls>
          <c:showLegendKey val="0"/>
          <c:showVal val="0"/>
          <c:showCatName val="0"/>
          <c:showSerName val="0"/>
          <c:showPercent val="0"/>
          <c:showBubbleSize val="0"/>
        </c:dLbls>
        <c:gapWidth val="150"/>
        <c:shape val="box"/>
        <c:axId val="248228352"/>
        <c:axId val="248365632"/>
        <c:axId val="0"/>
      </c:bar3DChart>
      <c:catAx>
        <c:axId val="248228352"/>
        <c:scaling>
          <c:orientation val="minMax"/>
        </c:scaling>
        <c:delete val="0"/>
        <c:axPos val="b"/>
        <c:numFmt formatCode="General" sourceLinked="0"/>
        <c:majorTickMark val="out"/>
        <c:minorTickMark val="none"/>
        <c:tickLblPos val="nextTo"/>
        <c:crossAx val="248365632"/>
        <c:crosses val="autoZero"/>
        <c:auto val="1"/>
        <c:lblAlgn val="ctr"/>
        <c:lblOffset val="100"/>
        <c:noMultiLvlLbl val="0"/>
      </c:catAx>
      <c:valAx>
        <c:axId val="248365632"/>
        <c:scaling>
          <c:orientation val="minMax"/>
        </c:scaling>
        <c:delete val="0"/>
        <c:axPos val="l"/>
        <c:majorGridlines/>
        <c:title>
          <c:tx>
            <c:rich>
              <a:bodyPr rot="-5400000" vert="horz"/>
              <a:lstStyle/>
              <a:p>
                <a:pPr>
                  <a:defRPr/>
                </a:pPr>
                <a:r>
                  <a:rPr lang="hr-HR"/>
                  <a:t>t</a:t>
                </a:r>
                <a:r>
                  <a:rPr lang="hr-HR" baseline="0"/>
                  <a:t> CO</a:t>
                </a:r>
                <a:r>
                  <a:rPr lang="hr-HR" baseline="-25000"/>
                  <a:t>2</a:t>
                </a:r>
              </a:p>
            </c:rich>
          </c:tx>
          <c:overlay val="0"/>
        </c:title>
        <c:numFmt formatCode="#,##0.00" sourceLinked="1"/>
        <c:majorTickMark val="out"/>
        <c:minorTickMark val="none"/>
        <c:tickLblPos val="nextTo"/>
        <c:crossAx val="248228352"/>
        <c:crosses val="autoZero"/>
        <c:crossBetween val="between"/>
      </c:valAx>
    </c:plotArea>
    <c:legend>
      <c:legendPos val="r"/>
      <c:layout>
        <c:manualLayout>
          <c:xMode val="edge"/>
          <c:yMode val="edge"/>
          <c:x val="0.83971611025257353"/>
          <c:y val="0.16366317764294372"/>
          <c:w val="0.16028386773074127"/>
          <c:h val="0.81820860341779611"/>
        </c:manualLayout>
      </c:layout>
      <c:overlay val="0"/>
      <c:txPr>
        <a:bodyPr/>
        <a:lstStyle/>
        <a:p>
          <a:pPr>
            <a:defRPr sz="800"/>
          </a:pPr>
          <a:endParaRPr lang="sr-Latn-RS"/>
        </a:p>
      </c:txPr>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'[Usporedba.xlsx]ukupan inventar'!$A$20</c:f>
              <c:strCache>
                <c:ptCount val="1"/>
                <c:pt idx="0">
                  <c:v>Dizel</c:v>
                </c:pt>
              </c:strCache>
            </c:strRef>
          </c:tx>
          <c:invertIfNegative val="0"/>
          <c:cat>
            <c:strRef>
              <c:f>'[Usporedba.xlsx]ukupan inventar'!$B$18:$C$19</c:f>
              <c:strCache>
                <c:ptCount val="2"/>
                <c:pt idx="0">
                  <c:v>2008.</c:v>
                </c:pt>
                <c:pt idx="1">
                  <c:v>2015.</c:v>
                </c:pt>
              </c:strCache>
            </c:strRef>
          </c:cat>
          <c:val>
            <c:numRef>
              <c:f>'[Usporedba.xlsx]ukupan inventar'!$B$20:$C$20</c:f>
              <c:numCache>
                <c:formatCode>#,##0.00</c:formatCode>
                <c:ptCount val="2"/>
                <c:pt idx="0">
                  <c:v>558037.30000000005</c:v>
                </c:pt>
                <c:pt idx="1">
                  <c:v>671042.61</c:v>
                </c:pt>
              </c:numCache>
            </c:numRef>
          </c:val>
          <c:extLst>
            <c:ext xmlns:c16="http://schemas.microsoft.com/office/drawing/2014/chart" uri="{C3380CC4-5D6E-409C-BE32-E72D297353CC}">
              <c16:uniqueId val="{00000000-CCED-4714-8847-AC007ED43A91}"/>
            </c:ext>
          </c:extLst>
        </c:ser>
        <c:ser>
          <c:idx val="1"/>
          <c:order val="1"/>
          <c:tx>
            <c:strRef>
              <c:f>'[Usporedba.xlsx]ukupan inventar'!$A$21</c:f>
              <c:strCache>
                <c:ptCount val="1"/>
                <c:pt idx="0">
                  <c:v>Motorni benzin</c:v>
                </c:pt>
              </c:strCache>
            </c:strRef>
          </c:tx>
          <c:invertIfNegative val="0"/>
          <c:cat>
            <c:strRef>
              <c:f>'[Usporedba.xlsx]ukupan inventar'!$B$18:$C$19</c:f>
              <c:strCache>
                <c:ptCount val="2"/>
                <c:pt idx="0">
                  <c:v>2008.</c:v>
                </c:pt>
                <c:pt idx="1">
                  <c:v>2015.</c:v>
                </c:pt>
              </c:strCache>
            </c:strRef>
          </c:cat>
          <c:val>
            <c:numRef>
              <c:f>'[Usporedba.xlsx]ukupan inventar'!$B$21:$C$21</c:f>
              <c:numCache>
                <c:formatCode>#,##0.00</c:formatCode>
                <c:ptCount val="2"/>
                <c:pt idx="0">
                  <c:v>417817.8</c:v>
                </c:pt>
                <c:pt idx="1">
                  <c:v>372278.01</c:v>
                </c:pt>
              </c:numCache>
            </c:numRef>
          </c:val>
          <c:extLst>
            <c:ext xmlns:c16="http://schemas.microsoft.com/office/drawing/2014/chart" uri="{C3380CC4-5D6E-409C-BE32-E72D297353CC}">
              <c16:uniqueId val="{00000001-CCED-4714-8847-AC007ED43A91}"/>
            </c:ext>
          </c:extLst>
        </c:ser>
        <c:ser>
          <c:idx val="2"/>
          <c:order val="2"/>
          <c:tx>
            <c:strRef>
              <c:f>'[Usporedba.xlsx]ukupan inventar'!$A$22</c:f>
              <c:strCache>
                <c:ptCount val="1"/>
                <c:pt idx="0">
                  <c:v>UNP</c:v>
                </c:pt>
              </c:strCache>
            </c:strRef>
          </c:tx>
          <c:invertIfNegative val="0"/>
          <c:cat>
            <c:strRef>
              <c:f>'[Usporedba.xlsx]ukupan inventar'!$B$18:$C$19</c:f>
              <c:strCache>
                <c:ptCount val="2"/>
                <c:pt idx="0">
                  <c:v>2008.</c:v>
                </c:pt>
                <c:pt idx="1">
                  <c:v>2015.</c:v>
                </c:pt>
              </c:strCache>
            </c:strRef>
          </c:cat>
          <c:val>
            <c:numRef>
              <c:f>'[Usporedba.xlsx]ukupan inventar'!$B$22:$C$22</c:f>
              <c:numCache>
                <c:formatCode>#,##0.00</c:formatCode>
                <c:ptCount val="2"/>
                <c:pt idx="0">
                  <c:v>6747.5</c:v>
                </c:pt>
                <c:pt idx="1">
                  <c:v>46146.902114199998</c:v>
                </c:pt>
              </c:numCache>
            </c:numRef>
          </c:val>
          <c:extLst>
            <c:ext xmlns:c16="http://schemas.microsoft.com/office/drawing/2014/chart" uri="{C3380CC4-5D6E-409C-BE32-E72D297353CC}">
              <c16:uniqueId val="{00000002-CCED-4714-8847-AC007ED43A91}"/>
            </c:ext>
          </c:extLst>
        </c:ser>
        <c:ser>
          <c:idx val="3"/>
          <c:order val="3"/>
          <c:tx>
            <c:strRef>
              <c:f>'[Usporedba.xlsx]ukupan inventar'!$A$23</c:f>
              <c:strCache>
                <c:ptCount val="1"/>
                <c:pt idx="0">
                  <c:v>SPP</c:v>
                </c:pt>
              </c:strCache>
            </c:strRef>
          </c:tx>
          <c:invertIfNegative val="0"/>
          <c:cat>
            <c:strRef>
              <c:f>'[Usporedba.xlsx]ukupan inventar'!$B$18:$C$19</c:f>
              <c:strCache>
                <c:ptCount val="2"/>
                <c:pt idx="0">
                  <c:v>2008.</c:v>
                </c:pt>
                <c:pt idx="1">
                  <c:v>2015.</c:v>
                </c:pt>
              </c:strCache>
            </c:strRef>
          </c:cat>
          <c:val>
            <c:numRef>
              <c:f>'[Usporedba.xlsx]ukupan inventar'!$B$23:$C$23</c:f>
              <c:numCache>
                <c:formatCode>#,##0.00</c:formatCode>
                <c:ptCount val="2"/>
                <c:pt idx="1">
                  <c:v>6165.62</c:v>
                </c:pt>
              </c:numCache>
            </c:numRef>
          </c:val>
          <c:extLst>
            <c:ext xmlns:c16="http://schemas.microsoft.com/office/drawing/2014/chart" uri="{C3380CC4-5D6E-409C-BE32-E72D297353CC}">
              <c16:uniqueId val="{00000003-CCED-4714-8847-AC007ED43A91}"/>
            </c:ext>
          </c:extLst>
        </c:ser>
        <c:ser>
          <c:idx val="4"/>
          <c:order val="4"/>
          <c:tx>
            <c:strRef>
              <c:f>'[Usporedba.xlsx]ukupan inventar'!$A$24</c:f>
              <c:strCache>
                <c:ptCount val="1"/>
                <c:pt idx="0">
                  <c:v>Električna energija</c:v>
                </c:pt>
              </c:strCache>
            </c:strRef>
          </c:tx>
          <c:invertIfNegative val="0"/>
          <c:cat>
            <c:strRef>
              <c:f>'[Usporedba.xlsx]ukupan inventar'!$B$18:$C$19</c:f>
              <c:strCache>
                <c:ptCount val="2"/>
                <c:pt idx="0">
                  <c:v>2008.</c:v>
                </c:pt>
                <c:pt idx="1">
                  <c:v>2015.</c:v>
                </c:pt>
              </c:strCache>
            </c:strRef>
          </c:cat>
          <c:val>
            <c:numRef>
              <c:f>'[Usporedba.xlsx]ukupan inventar'!$B$24:$C$24</c:f>
              <c:numCache>
                <c:formatCode>#,##0.00</c:formatCode>
                <c:ptCount val="2"/>
                <c:pt idx="0">
                  <c:v>610708.30000000005</c:v>
                </c:pt>
                <c:pt idx="1">
                  <c:v>710788.75351209997</c:v>
                </c:pt>
              </c:numCache>
            </c:numRef>
          </c:val>
          <c:extLst>
            <c:ext xmlns:c16="http://schemas.microsoft.com/office/drawing/2014/chart" uri="{C3380CC4-5D6E-409C-BE32-E72D297353CC}">
              <c16:uniqueId val="{00000004-CCED-4714-8847-AC007ED43A91}"/>
            </c:ext>
          </c:extLst>
        </c:ser>
        <c:ser>
          <c:idx val="5"/>
          <c:order val="5"/>
          <c:tx>
            <c:strRef>
              <c:f>'[Usporedba.xlsx]ukupan inventar'!$A$25</c:f>
              <c:strCache>
                <c:ptCount val="1"/>
                <c:pt idx="0">
                  <c:v>Lož ulje</c:v>
                </c:pt>
              </c:strCache>
            </c:strRef>
          </c:tx>
          <c:invertIfNegative val="0"/>
          <c:cat>
            <c:strRef>
              <c:f>'[Usporedba.xlsx]ukupan inventar'!$B$18:$C$19</c:f>
              <c:strCache>
                <c:ptCount val="2"/>
                <c:pt idx="0">
                  <c:v>2008.</c:v>
                </c:pt>
                <c:pt idx="1">
                  <c:v>2015.</c:v>
                </c:pt>
              </c:strCache>
            </c:strRef>
          </c:cat>
          <c:val>
            <c:numRef>
              <c:f>'[Usporedba.xlsx]ukupan inventar'!$B$25:$C$25</c:f>
              <c:numCache>
                <c:formatCode>#,##0.00</c:formatCode>
                <c:ptCount val="2"/>
                <c:pt idx="0">
                  <c:v>99316.3</c:v>
                </c:pt>
                <c:pt idx="1">
                  <c:v>62517.267578220002</c:v>
                </c:pt>
              </c:numCache>
            </c:numRef>
          </c:val>
          <c:extLst>
            <c:ext xmlns:c16="http://schemas.microsoft.com/office/drawing/2014/chart" uri="{C3380CC4-5D6E-409C-BE32-E72D297353CC}">
              <c16:uniqueId val="{00000005-CCED-4714-8847-AC007ED43A91}"/>
            </c:ext>
          </c:extLst>
        </c:ser>
        <c:ser>
          <c:idx val="6"/>
          <c:order val="6"/>
          <c:tx>
            <c:strRef>
              <c:f>'[Usporedba.xlsx]ukupan inventar'!$A$26</c:f>
              <c:strCache>
                <c:ptCount val="1"/>
                <c:pt idx="0">
                  <c:v>Prirodni plin</c:v>
                </c:pt>
              </c:strCache>
            </c:strRef>
          </c:tx>
          <c:invertIfNegative val="0"/>
          <c:cat>
            <c:strRef>
              <c:f>'[Usporedba.xlsx]ukupan inventar'!$B$18:$C$19</c:f>
              <c:strCache>
                <c:ptCount val="2"/>
                <c:pt idx="0">
                  <c:v>2008.</c:v>
                </c:pt>
                <c:pt idx="1">
                  <c:v>2015.</c:v>
                </c:pt>
              </c:strCache>
            </c:strRef>
          </c:cat>
          <c:val>
            <c:numRef>
              <c:f>'[Usporedba.xlsx]ukupan inventar'!$B$26:$C$26</c:f>
              <c:numCache>
                <c:formatCode>#,##0.00</c:formatCode>
                <c:ptCount val="2"/>
                <c:pt idx="0">
                  <c:v>635038.5</c:v>
                </c:pt>
                <c:pt idx="1">
                  <c:v>614975.5174912879</c:v>
                </c:pt>
              </c:numCache>
            </c:numRef>
          </c:val>
          <c:extLst>
            <c:ext xmlns:c16="http://schemas.microsoft.com/office/drawing/2014/chart" uri="{C3380CC4-5D6E-409C-BE32-E72D297353CC}">
              <c16:uniqueId val="{00000006-CCED-4714-8847-AC007ED43A91}"/>
            </c:ext>
          </c:extLst>
        </c:ser>
        <c:ser>
          <c:idx val="7"/>
          <c:order val="7"/>
          <c:tx>
            <c:strRef>
              <c:f>'[Usporedba.xlsx]ukupan inventar'!$A$27</c:f>
              <c:strCache>
                <c:ptCount val="1"/>
                <c:pt idx="0">
                  <c:v>Toplana</c:v>
                </c:pt>
              </c:strCache>
            </c:strRef>
          </c:tx>
          <c:invertIfNegative val="0"/>
          <c:cat>
            <c:strRef>
              <c:f>'[Usporedba.xlsx]ukupan inventar'!$B$18:$C$19</c:f>
              <c:strCache>
                <c:ptCount val="2"/>
                <c:pt idx="0">
                  <c:v>2008.</c:v>
                </c:pt>
                <c:pt idx="1">
                  <c:v>2015.</c:v>
                </c:pt>
              </c:strCache>
            </c:strRef>
          </c:cat>
          <c:val>
            <c:numRef>
              <c:f>'[Usporedba.xlsx]ukupan inventar'!$B$27:$C$27</c:f>
              <c:numCache>
                <c:formatCode>#,##0.00</c:formatCode>
                <c:ptCount val="2"/>
                <c:pt idx="0">
                  <c:v>466080.7</c:v>
                </c:pt>
                <c:pt idx="1">
                  <c:v>444668.42080406006</c:v>
                </c:pt>
              </c:numCache>
            </c:numRef>
          </c:val>
          <c:extLst>
            <c:ext xmlns:c16="http://schemas.microsoft.com/office/drawing/2014/chart" uri="{C3380CC4-5D6E-409C-BE32-E72D297353CC}">
              <c16:uniqueId val="{00000007-CCED-4714-8847-AC007ED43A91}"/>
            </c:ext>
          </c:extLst>
        </c:ser>
        <c:ser>
          <c:idx val="8"/>
          <c:order val="8"/>
          <c:tx>
            <c:strRef>
              <c:f>'[Usporedba.xlsx]ukupan inventar'!$A$28</c:f>
              <c:strCache>
                <c:ptCount val="1"/>
                <c:pt idx="0">
                  <c:v>Plinske boce</c:v>
                </c:pt>
              </c:strCache>
            </c:strRef>
          </c:tx>
          <c:invertIfNegative val="0"/>
          <c:cat>
            <c:strRef>
              <c:f>'[Usporedba.xlsx]ukupan inventar'!$B$18:$C$19</c:f>
              <c:strCache>
                <c:ptCount val="2"/>
                <c:pt idx="0">
                  <c:v>2008.</c:v>
                </c:pt>
                <c:pt idx="1">
                  <c:v>2015.</c:v>
                </c:pt>
              </c:strCache>
            </c:strRef>
          </c:cat>
          <c:val>
            <c:numRef>
              <c:f>'[Usporedba.xlsx]ukupan inventar'!$B$28:$C$28</c:f>
              <c:numCache>
                <c:formatCode>#,##0.00</c:formatCode>
                <c:ptCount val="2"/>
                <c:pt idx="1">
                  <c:v>1658.7331000000001</c:v>
                </c:pt>
              </c:numCache>
            </c:numRef>
          </c:val>
          <c:extLst>
            <c:ext xmlns:c16="http://schemas.microsoft.com/office/drawing/2014/chart" uri="{C3380CC4-5D6E-409C-BE32-E72D297353CC}">
              <c16:uniqueId val="{00000008-CCED-4714-8847-AC007ED43A91}"/>
            </c:ext>
          </c:extLst>
        </c:ser>
        <c:ser>
          <c:idx val="9"/>
          <c:order val="9"/>
          <c:tx>
            <c:strRef>
              <c:f>'[Usporedba.xlsx]ukupan inventar'!$A$29</c:f>
              <c:strCache>
                <c:ptCount val="1"/>
                <c:pt idx="0">
                  <c:v>Mrki ugljen</c:v>
                </c:pt>
              </c:strCache>
            </c:strRef>
          </c:tx>
          <c:invertIfNegative val="0"/>
          <c:cat>
            <c:strRef>
              <c:f>'[Usporedba.xlsx]ukupan inventar'!$B$18:$C$19</c:f>
              <c:strCache>
                <c:ptCount val="2"/>
                <c:pt idx="0">
                  <c:v>2008.</c:v>
                </c:pt>
                <c:pt idx="1">
                  <c:v>2015.</c:v>
                </c:pt>
              </c:strCache>
            </c:strRef>
          </c:cat>
          <c:val>
            <c:numRef>
              <c:f>'[Usporedba.xlsx]ukupan inventar'!$B$29:$C$29</c:f>
              <c:numCache>
                <c:formatCode>#,##0.00</c:formatCode>
                <c:ptCount val="2"/>
                <c:pt idx="1">
                  <c:v>657.4</c:v>
                </c:pt>
              </c:numCache>
            </c:numRef>
          </c:val>
          <c:extLst>
            <c:ext xmlns:c16="http://schemas.microsoft.com/office/drawing/2014/chart" uri="{C3380CC4-5D6E-409C-BE32-E72D297353CC}">
              <c16:uniqueId val="{00000009-CCED-4714-8847-AC007ED43A91}"/>
            </c:ext>
          </c:extLst>
        </c:ser>
        <c:ser>
          <c:idx val="10"/>
          <c:order val="10"/>
          <c:tx>
            <c:strRef>
              <c:f>'[Usporedba.xlsx]ukupan inventar'!$A$30</c:f>
              <c:strCache>
                <c:ptCount val="1"/>
                <c:pt idx="0">
                  <c:v>Lignit</c:v>
                </c:pt>
              </c:strCache>
            </c:strRef>
          </c:tx>
          <c:invertIfNegative val="0"/>
          <c:cat>
            <c:strRef>
              <c:f>'[Usporedba.xlsx]ukupan inventar'!$B$18:$C$19</c:f>
              <c:strCache>
                <c:ptCount val="2"/>
                <c:pt idx="0">
                  <c:v>2008.</c:v>
                </c:pt>
                <c:pt idx="1">
                  <c:v>2015.</c:v>
                </c:pt>
              </c:strCache>
            </c:strRef>
          </c:cat>
          <c:val>
            <c:numRef>
              <c:f>'[Usporedba.xlsx]ukupan inventar'!$B$30:$C$30</c:f>
              <c:numCache>
                <c:formatCode>#,##0.00</c:formatCode>
                <c:ptCount val="2"/>
                <c:pt idx="1">
                  <c:v>436.79999999999995</c:v>
                </c:pt>
              </c:numCache>
            </c:numRef>
          </c:val>
          <c:extLst>
            <c:ext xmlns:c16="http://schemas.microsoft.com/office/drawing/2014/chart" uri="{C3380CC4-5D6E-409C-BE32-E72D297353CC}">
              <c16:uniqueId val="{0000000A-CCED-4714-8847-AC007ED43A91}"/>
            </c:ext>
          </c:extLst>
        </c:ser>
        <c:ser>
          <c:idx val="11"/>
          <c:order val="11"/>
          <c:tx>
            <c:strRef>
              <c:f>'[Usporedba.xlsx]ukupan inventar'!$A$31</c:f>
              <c:strCache>
                <c:ptCount val="1"/>
                <c:pt idx="0">
                  <c:v>Petrolej</c:v>
                </c:pt>
              </c:strCache>
            </c:strRef>
          </c:tx>
          <c:invertIfNegative val="0"/>
          <c:cat>
            <c:strRef>
              <c:f>'[Usporedba.xlsx]ukupan inventar'!$B$18:$C$19</c:f>
              <c:strCache>
                <c:ptCount val="2"/>
                <c:pt idx="0">
                  <c:v>2008.</c:v>
                </c:pt>
                <c:pt idx="1">
                  <c:v>2015.</c:v>
                </c:pt>
              </c:strCache>
            </c:strRef>
          </c:cat>
          <c:val>
            <c:numRef>
              <c:f>'[Usporedba.xlsx]ukupan inventar'!$B$31:$C$31</c:f>
              <c:numCache>
                <c:formatCode>#,##0.00</c:formatCode>
                <c:ptCount val="2"/>
                <c:pt idx="1">
                  <c:v>569.16949999999997</c:v>
                </c:pt>
              </c:numCache>
            </c:numRef>
          </c:val>
          <c:extLst>
            <c:ext xmlns:c16="http://schemas.microsoft.com/office/drawing/2014/chart" uri="{C3380CC4-5D6E-409C-BE32-E72D297353CC}">
              <c16:uniqueId val="{0000000B-CCED-4714-8847-AC007ED43A91}"/>
            </c:ext>
          </c:extLst>
        </c:ser>
        <c:dLbls>
          <c:showLegendKey val="0"/>
          <c:showVal val="0"/>
          <c:showCatName val="0"/>
          <c:showSerName val="0"/>
          <c:showPercent val="0"/>
          <c:showBubbleSize val="0"/>
        </c:dLbls>
        <c:gapWidth val="150"/>
        <c:shape val="box"/>
        <c:axId val="248787456"/>
        <c:axId val="248367360"/>
        <c:axId val="0"/>
      </c:bar3DChart>
      <c:catAx>
        <c:axId val="248787456"/>
        <c:scaling>
          <c:orientation val="minMax"/>
        </c:scaling>
        <c:delete val="0"/>
        <c:axPos val="b"/>
        <c:numFmt formatCode="General" sourceLinked="0"/>
        <c:majorTickMark val="out"/>
        <c:minorTickMark val="none"/>
        <c:tickLblPos val="nextTo"/>
        <c:crossAx val="248367360"/>
        <c:crosses val="autoZero"/>
        <c:auto val="1"/>
        <c:lblAlgn val="ctr"/>
        <c:lblOffset val="100"/>
        <c:noMultiLvlLbl val="0"/>
      </c:catAx>
      <c:valAx>
        <c:axId val="248367360"/>
        <c:scaling>
          <c:orientation val="minMax"/>
        </c:scaling>
        <c:delete val="0"/>
        <c:axPos val="l"/>
        <c:majorGridlines/>
        <c:title>
          <c:tx>
            <c:rich>
              <a:bodyPr rot="-5400000" vert="horz"/>
              <a:lstStyle/>
              <a:p>
                <a:pPr>
                  <a:defRPr/>
                </a:pPr>
                <a:r>
                  <a:rPr lang="hr-HR"/>
                  <a:t>t</a:t>
                </a:r>
                <a:r>
                  <a:rPr lang="hr-HR" baseline="0"/>
                  <a:t> CO</a:t>
                </a:r>
                <a:r>
                  <a:rPr lang="hr-HR" baseline="-25000"/>
                  <a:t>2</a:t>
                </a:r>
              </a:p>
            </c:rich>
          </c:tx>
          <c:overlay val="0"/>
        </c:title>
        <c:numFmt formatCode="#,##0.00" sourceLinked="1"/>
        <c:majorTickMark val="out"/>
        <c:minorTickMark val="none"/>
        <c:tickLblPos val="nextTo"/>
        <c:crossAx val="248787456"/>
        <c:crosses val="autoZero"/>
        <c:crossBetween val="between"/>
      </c:valAx>
    </c:plotArea>
    <c:legend>
      <c:legendPos val="r"/>
      <c:overlay val="0"/>
      <c:txPr>
        <a:bodyPr/>
        <a:lstStyle/>
        <a:p>
          <a:pPr>
            <a:defRPr sz="900"/>
          </a:pPr>
          <a:endParaRPr lang="sr-Latn-RS"/>
        </a:p>
      </c:txPr>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Referetni inventar emisija po sektorima</a:t>
            </a:r>
          </a:p>
        </c:rich>
      </c:tx>
      <c:layout>
        <c:manualLayout>
          <c:xMode val="edge"/>
          <c:yMode val="edge"/>
          <c:x val="0.20167414050822119"/>
          <c:y val="7.4626865671641784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'[Usporedba.xlsx]ukupan inventar'!$J$2:$L$2</c:f>
              <c:strCache>
                <c:ptCount val="1"/>
                <c:pt idx="0">
                  <c:v>Promet Javna rasvjeta Zgradarstvo</c:v>
                </c:pt>
              </c:strCache>
            </c:strRef>
          </c:tx>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'[Usporedba.xlsx]ukupan inventar'!$J$2:$L$2</c:f>
              <c:strCache>
                <c:ptCount val="3"/>
                <c:pt idx="0">
                  <c:v>Promet</c:v>
                </c:pt>
                <c:pt idx="1">
                  <c:v>Javna rasvjeta</c:v>
                </c:pt>
                <c:pt idx="2">
                  <c:v>Zgradarstvo</c:v>
                </c:pt>
              </c:strCache>
            </c:strRef>
          </c:cat>
          <c:val>
            <c:numRef>
              <c:f>'[Usporedba.xlsx]ukupan inventar'!$J$10:$L$10</c:f>
              <c:numCache>
                <c:formatCode>#,##0.00</c:formatCode>
                <c:ptCount val="3"/>
                <c:pt idx="0">
                  <c:v>1005107.9</c:v>
                </c:pt>
                <c:pt idx="1">
                  <c:v>29174.1</c:v>
                </c:pt>
                <c:pt idx="2">
                  <c:v>1759520.8</c:v>
                </c:pt>
              </c:numCache>
            </c:numRef>
          </c:val>
          <c:extLst>
            <c:ext xmlns:c16="http://schemas.microsoft.com/office/drawing/2014/chart" uri="{C3380CC4-5D6E-409C-BE32-E72D297353CC}">
              <c16:uniqueId val="{00000000-FB09-4D5B-AFBD-ED5DE14B8BD1}"/>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sr-Latn-RS"/>
        </a:p>
      </c:txPr>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Kontrolni inventar emisija po</a:t>
            </a:r>
            <a:r>
              <a:rPr lang="en-US" sz="1200" baseline="0"/>
              <a:t> sektorima</a:t>
            </a:r>
            <a:endParaRPr lang="en-US" sz="12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'[Usporedba.xlsx]ukupan inventar'!$B$2:$D$2</c:f>
              <c:strCache>
                <c:ptCount val="3"/>
                <c:pt idx="0">
                  <c:v>Promet</c:v>
                </c:pt>
                <c:pt idx="1">
                  <c:v>Javna rasvjeta</c:v>
                </c:pt>
                <c:pt idx="2">
                  <c:v>Zgradarstvo</c:v>
                </c:pt>
              </c:strCache>
            </c:strRef>
          </c:cat>
          <c:val>
            <c:numRef>
              <c:f>'[Usporedba.xlsx]ukupan inventar'!$B$15:$D$15</c:f>
              <c:numCache>
                <c:formatCode>#,##0.00</c:formatCode>
                <c:ptCount val="3"/>
                <c:pt idx="0">
                  <c:v>1100954.9400000002</c:v>
                </c:pt>
                <c:pt idx="1">
                  <c:v>27411.841873047844</c:v>
                </c:pt>
                <c:pt idx="2">
                  <c:v>1803538.4222268204</c:v>
                </c:pt>
              </c:numCache>
            </c:numRef>
          </c:val>
          <c:extLst>
            <c:ext xmlns:c16="http://schemas.microsoft.com/office/drawing/2014/chart" uri="{C3380CC4-5D6E-409C-BE32-E72D297353CC}">
              <c16:uniqueId val="{00000000-D778-49FA-B0D2-E3238B2595DD}"/>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7.8992841273759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D7-4007-B1AA-0FAF0F356D19}"/>
                </c:ext>
              </c:extLst>
            </c:dLbl>
            <c:dLbl>
              <c:idx val="1"/>
              <c:layout>
                <c:manualLayout>
                  <c:x val="-1.0696103586667905E-16"/>
                  <c:y val="-8.0240710469078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AE-46AF-8BC4-A9AE4F482C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'[Inventar emisija_Zagreb.xlsx]ukupan inventar'!$B$50:$C$50</c:f>
              <c:strCache>
                <c:ptCount val="2"/>
                <c:pt idx="0">
                  <c:v>2008.</c:v>
                </c:pt>
                <c:pt idx="1">
                  <c:v>2015.</c:v>
                </c:pt>
              </c:strCache>
            </c:strRef>
          </c:cat>
          <c:val>
            <c:numRef>
              <c:f>'[Inventar emisija_Zagreb.xlsx]ukupan inventar'!$B$51:$C$51</c:f>
              <c:numCache>
                <c:formatCode>#,##0.00</c:formatCode>
                <c:ptCount val="2"/>
                <c:pt idx="0">
                  <c:v>1759.5208</c:v>
                </c:pt>
                <c:pt idx="1">
                  <c:v>1801.9421545494201</c:v>
                </c:pt>
              </c:numCache>
            </c:numRef>
          </c:val>
          <c:extLst>
            <c:ext xmlns:c16="http://schemas.microsoft.com/office/drawing/2014/chart" uri="{C3380CC4-5D6E-409C-BE32-E72D297353CC}">
              <c16:uniqueId val="{00000000-38AE-46AF-8BC4-A9AE4F482C66}"/>
            </c:ext>
          </c:extLst>
        </c:ser>
        <c:dLbls>
          <c:showLegendKey val="0"/>
          <c:showVal val="0"/>
          <c:showCatName val="0"/>
          <c:showSerName val="0"/>
          <c:showPercent val="0"/>
          <c:showBubbleSize val="0"/>
        </c:dLbls>
        <c:gapWidth val="150"/>
        <c:shape val="box"/>
        <c:axId val="248790528"/>
        <c:axId val="248371968"/>
        <c:axId val="0"/>
      </c:bar3DChart>
      <c:catAx>
        <c:axId val="248790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48371968"/>
        <c:crosses val="autoZero"/>
        <c:auto val="1"/>
        <c:lblAlgn val="ctr"/>
        <c:lblOffset val="100"/>
        <c:noMultiLvlLbl val="0"/>
      </c:catAx>
      <c:valAx>
        <c:axId val="24837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b="1">
                    <a:solidFill>
                      <a:sysClr val="windowText" lastClr="000000"/>
                    </a:solidFill>
                  </a:rPr>
                  <a:t>kt</a:t>
                </a:r>
                <a:r>
                  <a:rPr lang="hr-HR" b="1" baseline="0">
                    <a:solidFill>
                      <a:sysClr val="windowText" lastClr="000000"/>
                    </a:solidFill>
                  </a:rPr>
                  <a:t> CO</a:t>
                </a:r>
                <a:r>
                  <a:rPr lang="hr-HR" b="1" baseline="-25000">
                    <a:solidFill>
                      <a:sysClr val="windowText" lastClr="000000"/>
                    </a:solidFill>
                  </a:rPr>
                  <a:t>2</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48790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'[Usporedba.xlsx]Po sektorima'!$B$5:$C$5</c:f>
              <c:strCache>
                <c:ptCount val="1"/>
                <c:pt idx="0">
                  <c:v>2008. 2015.</c:v>
                </c:pt>
              </c:strCache>
            </c:strRef>
          </c:tx>
          <c:invertIfNegative val="0"/>
          <c:dLbls>
            <c:dLbl>
              <c:idx val="0"/>
              <c:layout>
                <c:manualLayout>
                  <c:x val="0"/>
                  <c:y val="-5.2208835341365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08-43B8-A26B-A39A505A3FC6}"/>
                </c:ext>
              </c:extLst>
            </c:dLbl>
            <c:dLbl>
              <c:idx val="1"/>
              <c:layout>
                <c:manualLayout>
                  <c:x val="-1.0018099206310814E-16"/>
                  <c:y val="-6.0240963855421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08-43B8-A26B-A39A505A3FC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'[Usporedba.xlsx]Po sektorima'!$B$5:$C$5</c:f>
              <c:strCache>
                <c:ptCount val="2"/>
                <c:pt idx="0">
                  <c:v>2008.</c:v>
                </c:pt>
                <c:pt idx="1">
                  <c:v>2015.</c:v>
                </c:pt>
              </c:strCache>
            </c:strRef>
          </c:cat>
          <c:val>
            <c:numRef>
              <c:f>'[Usporedba.xlsx]Po sektorima'!$B$6:$C$6</c:f>
              <c:numCache>
                <c:formatCode>#,##0.00</c:formatCode>
                <c:ptCount val="2"/>
                <c:pt idx="0">
                  <c:v>1005107.9</c:v>
                </c:pt>
                <c:pt idx="1">
                  <c:v>1100954.9400000002</c:v>
                </c:pt>
              </c:numCache>
            </c:numRef>
          </c:val>
          <c:extLst>
            <c:ext xmlns:c16="http://schemas.microsoft.com/office/drawing/2014/chart" uri="{C3380CC4-5D6E-409C-BE32-E72D297353CC}">
              <c16:uniqueId val="{00000000-A863-4AC3-AF7E-7CF08DCA508B}"/>
            </c:ext>
          </c:extLst>
        </c:ser>
        <c:dLbls>
          <c:showLegendKey val="0"/>
          <c:showVal val="0"/>
          <c:showCatName val="0"/>
          <c:showSerName val="0"/>
          <c:showPercent val="0"/>
          <c:showBubbleSize val="0"/>
        </c:dLbls>
        <c:gapWidth val="150"/>
        <c:shape val="box"/>
        <c:axId val="248950784"/>
        <c:axId val="248742464"/>
        <c:axId val="0"/>
      </c:bar3DChart>
      <c:catAx>
        <c:axId val="248950784"/>
        <c:scaling>
          <c:orientation val="minMax"/>
        </c:scaling>
        <c:delete val="0"/>
        <c:axPos val="b"/>
        <c:numFmt formatCode="General" sourceLinked="0"/>
        <c:majorTickMark val="out"/>
        <c:minorTickMark val="none"/>
        <c:tickLblPos val="nextTo"/>
        <c:crossAx val="248742464"/>
        <c:crosses val="autoZero"/>
        <c:auto val="1"/>
        <c:lblAlgn val="ctr"/>
        <c:lblOffset val="100"/>
        <c:noMultiLvlLbl val="0"/>
      </c:catAx>
      <c:valAx>
        <c:axId val="248742464"/>
        <c:scaling>
          <c:orientation val="minMax"/>
        </c:scaling>
        <c:delete val="0"/>
        <c:axPos val="l"/>
        <c:majorGridlines/>
        <c:title>
          <c:tx>
            <c:rich>
              <a:bodyPr rot="-5400000" vert="horz"/>
              <a:lstStyle/>
              <a:p>
                <a:pPr>
                  <a:defRPr/>
                </a:pPr>
                <a:r>
                  <a:rPr lang="hr-HR"/>
                  <a:t>t</a:t>
                </a:r>
                <a:r>
                  <a:rPr lang="hr-HR" baseline="0"/>
                  <a:t> CO</a:t>
                </a:r>
                <a:r>
                  <a:rPr lang="hr-HR" baseline="-25000"/>
                  <a:t>2</a:t>
                </a:r>
              </a:p>
            </c:rich>
          </c:tx>
          <c:overlay val="0"/>
        </c:title>
        <c:numFmt formatCode="#,##0.00" sourceLinked="1"/>
        <c:majorTickMark val="out"/>
        <c:minorTickMark val="none"/>
        <c:tickLblPos val="nextTo"/>
        <c:crossAx val="248950784"/>
        <c:crosses val="autoZero"/>
        <c:crossBetween val="between"/>
      </c:valAx>
    </c:plotArea>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304724787099808"/>
          <c:y val="4.2236122335642411E-2"/>
          <c:w val="0.7695274185313391"/>
          <c:h val="0.88147846366075078"/>
        </c:manualLayout>
      </c:layout>
      <c:bar3DChart>
        <c:barDir val="col"/>
        <c:grouping val="clustered"/>
        <c:varyColors val="0"/>
        <c:ser>
          <c:idx val="0"/>
          <c:order val="0"/>
          <c:tx>
            <c:strRef>
              <c:f>'[Usporedba.xlsx]Po sektorima'!$B$8:$C$8</c:f>
              <c:strCache>
                <c:ptCount val="1"/>
                <c:pt idx="0">
                  <c:v>2008. 2015.</c:v>
                </c:pt>
              </c:strCache>
            </c:strRef>
          </c:tx>
          <c:invertIfNegative val="0"/>
          <c:dLbls>
            <c:dLbl>
              <c:idx val="0"/>
              <c:layout>
                <c:manualLayout>
                  <c:x val="0"/>
                  <c:y val="-3.4240060871219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B-4381-B042-8A93EEF20497}"/>
                </c:ext>
              </c:extLst>
            </c:dLbl>
            <c:dLbl>
              <c:idx val="1"/>
              <c:layout>
                <c:manualLayout>
                  <c:x val="0"/>
                  <c:y val="-6.0871219326612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CB-4381-B042-8A93EEF2049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'[Usporedba.xlsx]Po sektorima'!$B$8:$C$8</c:f>
              <c:strCache>
                <c:ptCount val="2"/>
                <c:pt idx="0">
                  <c:v>2008.</c:v>
                </c:pt>
                <c:pt idx="1">
                  <c:v>2015.</c:v>
                </c:pt>
              </c:strCache>
            </c:strRef>
          </c:cat>
          <c:val>
            <c:numRef>
              <c:f>'[Usporedba.xlsx]Po sektorima'!$B$9:$C$9</c:f>
              <c:numCache>
                <c:formatCode>#,##0.00</c:formatCode>
                <c:ptCount val="2"/>
                <c:pt idx="0">
                  <c:v>29174.1</c:v>
                </c:pt>
                <c:pt idx="1">
                  <c:v>27411.841873047844</c:v>
                </c:pt>
              </c:numCache>
            </c:numRef>
          </c:val>
          <c:extLst>
            <c:ext xmlns:c16="http://schemas.microsoft.com/office/drawing/2014/chart" uri="{C3380CC4-5D6E-409C-BE32-E72D297353CC}">
              <c16:uniqueId val="{00000000-7307-45BD-AC95-3B754009FB83}"/>
            </c:ext>
          </c:extLst>
        </c:ser>
        <c:dLbls>
          <c:showLegendKey val="0"/>
          <c:showVal val="0"/>
          <c:showCatName val="0"/>
          <c:showSerName val="0"/>
          <c:showPercent val="0"/>
          <c:showBubbleSize val="0"/>
        </c:dLbls>
        <c:gapWidth val="150"/>
        <c:shape val="box"/>
        <c:axId val="248952320"/>
        <c:axId val="248744192"/>
        <c:axId val="0"/>
      </c:bar3DChart>
      <c:catAx>
        <c:axId val="248952320"/>
        <c:scaling>
          <c:orientation val="minMax"/>
        </c:scaling>
        <c:delete val="0"/>
        <c:axPos val="b"/>
        <c:numFmt formatCode="General" sourceLinked="0"/>
        <c:majorTickMark val="out"/>
        <c:minorTickMark val="none"/>
        <c:tickLblPos val="nextTo"/>
        <c:crossAx val="248744192"/>
        <c:crosses val="autoZero"/>
        <c:auto val="1"/>
        <c:lblAlgn val="ctr"/>
        <c:lblOffset val="100"/>
        <c:noMultiLvlLbl val="0"/>
      </c:catAx>
      <c:valAx>
        <c:axId val="248744192"/>
        <c:scaling>
          <c:orientation val="minMax"/>
        </c:scaling>
        <c:delete val="0"/>
        <c:axPos val="l"/>
        <c:majorGridlines/>
        <c:title>
          <c:tx>
            <c:rich>
              <a:bodyPr rot="-5400000" vert="horz"/>
              <a:lstStyle/>
              <a:p>
                <a:pPr>
                  <a:defRPr/>
                </a:pPr>
                <a:r>
                  <a:rPr lang="hr-HR"/>
                  <a:t>t</a:t>
                </a:r>
                <a:r>
                  <a:rPr lang="hr-HR" baseline="0"/>
                  <a:t> CO</a:t>
                </a:r>
                <a:r>
                  <a:rPr lang="hr-HR" baseline="-25000"/>
                  <a:t>2</a:t>
                </a:r>
              </a:p>
            </c:rich>
          </c:tx>
          <c:overlay val="0"/>
        </c:title>
        <c:numFmt formatCode="#,##0.00" sourceLinked="1"/>
        <c:majorTickMark val="out"/>
        <c:minorTickMark val="none"/>
        <c:tickLblPos val="nextTo"/>
        <c:crossAx val="248952320"/>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7.1466097987751526E-2"/>
          <c:y val="0.11342592592592593"/>
          <c:w val="0.58941535433070869"/>
          <c:h val="0.77314814814814814"/>
        </c:manualLayout>
      </c:layout>
      <c:pie3DChart>
        <c:varyColors val="1"/>
        <c:ser>
          <c:idx val="0"/>
          <c:order val="0"/>
          <c:explosion val="25"/>
          <c:dPt>
            <c:idx val="0"/>
            <c:bubble3D val="0"/>
            <c:extLst>
              <c:ext xmlns:c16="http://schemas.microsoft.com/office/drawing/2014/chart" uri="{C3380CC4-5D6E-409C-BE32-E72D297353CC}">
                <c16:uniqueId val="{00000000-AEB9-490F-9FB7-A1D04CC1F7FF}"/>
              </c:ext>
            </c:extLst>
          </c:dPt>
          <c:dPt>
            <c:idx val="1"/>
            <c:bubble3D val="0"/>
            <c:extLst>
              <c:ext xmlns:c16="http://schemas.microsoft.com/office/drawing/2014/chart" uri="{C3380CC4-5D6E-409C-BE32-E72D297353CC}">
                <c16:uniqueId val="{00000001-AEB9-490F-9FB7-A1D04CC1F7FF}"/>
              </c:ext>
            </c:extLst>
          </c:dPt>
          <c:dPt>
            <c:idx val="2"/>
            <c:bubble3D val="0"/>
            <c:extLst>
              <c:ext xmlns:c16="http://schemas.microsoft.com/office/drawing/2014/chart" uri="{C3380CC4-5D6E-409C-BE32-E72D297353CC}">
                <c16:uniqueId val="{00000002-AEB9-490F-9FB7-A1D04CC1F7FF}"/>
              </c:ext>
            </c:extLst>
          </c:dPt>
          <c:dLbls>
            <c:dLbl>
              <c:idx val="2"/>
              <c:layout>
                <c:manualLayout>
                  <c:x val="1.2341614198036163E-2"/>
                  <c:y val="-1.115520099461251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EB9-490F-9FB7-A1D04CC1F7FF}"/>
                </c:ext>
              </c:extLst>
            </c:dLbl>
            <c:numFmt formatCode="0.00%" sourceLinked="0"/>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'[Realizirane mjere (2).xls]Ukupan pregled'!$A$77:$A$79</c:f>
              <c:strCache>
                <c:ptCount val="3"/>
                <c:pt idx="0">
                  <c:v>ZGRADARSTVO</c:v>
                </c:pt>
                <c:pt idx="1">
                  <c:v>PROMET</c:v>
                </c:pt>
                <c:pt idx="2">
                  <c:v>JAVNA RASVJETA</c:v>
                </c:pt>
              </c:strCache>
            </c:strRef>
          </c:cat>
          <c:val>
            <c:numRef>
              <c:f>'[Realizirane mjere (2).xls]Ukupan pregled'!$B$77:$B$79</c:f>
              <c:numCache>
                <c:formatCode>#,##0.00</c:formatCode>
                <c:ptCount val="3"/>
                <c:pt idx="0">
                  <c:v>209115.8587506933</c:v>
                </c:pt>
                <c:pt idx="1">
                  <c:v>91018.512471354014</c:v>
                </c:pt>
                <c:pt idx="2">
                  <c:v>2830.3264902000005</c:v>
                </c:pt>
              </c:numCache>
            </c:numRef>
          </c:val>
          <c:extLst>
            <c:ext xmlns:c16="http://schemas.microsoft.com/office/drawing/2014/chart" uri="{C3380CC4-5D6E-409C-BE32-E72D297353CC}">
              <c16:uniqueId val="{00000003-AEB9-490F-9FB7-A1D04CC1F7FF}"/>
            </c:ext>
          </c:extLst>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1.6334294846807515E-3"/>
          <c:y val="3.7637613637395671E-2"/>
          <c:w val="0.63591607262109984"/>
          <c:h val="0.95778909989192529"/>
        </c:manualLayout>
      </c:layout>
      <c:pie3DChart>
        <c:varyColors val="1"/>
        <c:ser>
          <c:idx val="0"/>
          <c:order val="0"/>
          <c:explosion val="25"/>
          <c:dPt>
            <c:idx val="0"/>
            <c:bubble3D val="0"/>
            <c:extLst>
              <c:ext xmlns:c16="http://schemas.microsoft.com/office/drawing/2014/chart" uri="{C3380CC4-5D6E-409C-BE32-E72D297353CC}">
                <c16:uniqueId val="{00000000-8E46-4390-BFB0-340FA6AF14C1}"/>
              </c:ext>
            </c:extLst>
          </c:dPt>
          <c:dPt>
            <c:idx val="1"/>
            <c:bubble3D val="0"/>
            <c:extLst>
              <c:ext xmlns:c16="http://schemas.microsoft.com/office/drawing/2014/chart" uri="{C3380CC4-5D6E-409C-BE32-E72D297353CC}">
                <c16:uniqueId val="{00000001-8E46-4390-BFB0-340FA6AF14C1}"/>
              </c:ext>
            </c:extLst>
          </c:dPt>
          <c:dPt>
            <c:idx val="2"/>
            <c:bubble3D val="0"/>
            <c:extLst>
              <c:ext xmlns:c16="http://schemas.microsoft.com/office/drawing/2014/chart" uri="{C3380CC4-5D6E-409C-BE32-E72D297353CC}">
                <c16:uniqueId val="{00000002-8E46-4390-BFB0-340FA6AF14C1}"/>
              </c:ext>
            </c:extLst>
          </c:dPt>
          <c:dPt>
            <c:idx val="3"/>
            <c:bubble3D val="0"/>
            <c:extLst>
              <c:ext xmlns:c16="http://schemas.microsoft.com/office/drawing/2014/chart" uri="{C3380CC4-5D6E-409C-BE32-E72D297353CC}">
                <c16:uniqueId val="{00000003-8E46-4390-BFB0-340FA6AF14C1}"/>
              </c:ext>
            </c:extLst>
          </c:dPt>
          <c:dPt>
            <c:idx val="4"/>
            <c:bubble3D val="0"/>
            <c:extLst>
              <c:ext xmlns:c16="http://schemas.microsoft.com/office/drawing/2014/chart" uri="{C3380CC4-5D6E-409C-BE32-E72D297353CC}">
                <c16:uniqueId val="{00000004-8E46-4390-BFB0-340FA6AF14C1}"/>
              </c:ext>
            </c:extLst>
          </c:dPt>
          <c:dPt>
            <c:idx val="5"/>
            <c:bubble3D val="0"/>
            <c:extLst>
              <c:ext xmlns:c16="http://schemas.microsoft.com/office/drawing/2014/chart" uri="{C3380CC4-5D6E-409C-BE32-E72D297353CC}">
                <c16:uniqueId val="{00000005-8E46-4390-BFB0-340FA6AF14C1}"/>
              </c:ext>
            </c:extLst>
          </c:dPt>
          <c:dPt>
            <c:idx val="6"/>
            <c:bubble3D val="0"/>
            <c:extLst>
              <c:ext xmlns:c16="http://schemas.microsoft.com/office/drawing/2014/chart" uri="{C3380CC4-5D6E-409C-BE32-E72D297353CC}">
                <c16:uniqueId val="{00000006-8E46-4390-BFB0-340FA6AF14C1}"/>
              </c:ext>
            </c:extLst>
          </c:dPt>
          <c:dLbls>
            <c:numFmt formatCode="0.00%" sourceLinked="0"/>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'[Realizirane mjere (2).xls]Ukupan pregled'!$A$100:$A$106</c:f>
              <c:strCache>
                <c:ptCount val="7"/>
                <c:pt idx="0">
                  <c:v>ZGRADE U VLASNIŠTVU GRADA ZAGREBA</c:v>
                </c:pt>
                <c:pt idx="1">
                  <c:v>KUĆANSTVA</c:v>
                </c:pt>
                <c:pt idx="2">
                  <c:v>ZGRADE KOMERCIJALNIH I USLUŽNIH DJELATNOSTI</c:v>
                </c:pt>
                <c:pt idx="3">
                  <c:v>VOZILA U VLASNIŠTVU GRADA</c:v>
                </c:pt>
                <c:pt idx="4">
                  <c:v>OSOBNA I KOMERCIJALNA VOZILA</c:v>
                </c:pt>
                <c:pt idx="5">
                  <c:v>JAVNI PRIJEVOZ</c:v>
                </c:pt>
                <c:pt idx="6">
                  <c:v>JAVNA RASVJETA</c:v>
                </c:pt>
              </c:strCache>
            </c:strRef>
          </c:cat>
          <c:val>
            <c:numRef>
              <c:f>'[Realizirane mjere (2).xls]Ukupan pregled'!$B$100:$B$106</c:f>
              <c:numCache>
                <c:formatCode>0.00%</c:formatCode>
                <c:ptCount val="7"/>
                <c:pt idx="0">
                  <c:v>8.3765372832262153E-2</c:v>
                </c:pt>
                <c:pt idx="1">
                  <c:v>0.44373861236785722</c:v>
                </c:pt>
                <c:pt idx="2">
                  <c:v>0.16272778216344763</c:v>
                </c:pt>
                <c:pt idx="3">
                  <c:v>4.6264015197284118E-3</c:v>
                </c:pt>
                <c:pt idx="4">
                  <c:v>0.28228886934499997</c:v>
                </c:pt>
                <c:pt idx="5">
                  <c:v>1.3510861812295325E-2</c:v>
                </c:pt>
                <c:pt idx="6">
                  <c:v>9.3420999594091819E-3</c:v>
                </c:pt>
              </c:numCache>
            </c:numRef>
          </c:val>
          <c:extLst>
            <c:ext xmlns:c16="http://schemas.microsoft.com/office/drawing/2014/chart" uri="{C3380CC4-5D6E-409C-BE32-E72D297353CC}">
              <c16:uniqueId val="{00000007-8E46-4390-BFB0-340FA6AF14C1}"/>
            </c:ext>
          </c:extLst>
        </c:ser>
        <c:dLbls>
          <c:showLegendKey val="0"/>
          <c:showVal val="0"/>
          <c:showCatName val="0"/>
          <c:showSerName val="0"/>
          <c:showPercent val="0"/>
          <c:showBubbleSize val="0"/>
          <c:showLeaderLines val="1"/>
        </c:dLbls>
      </c:pie3DChart>
      <c:spPr>
        <a:noFill/>
        <a:ln w="25400">
          <a:noFill/>
        </a:ln>
      </c:spPr>
    </c:plotArea>
    <c:legend>
      <c:legendPos val="r"/>
      <c:overlay val="0"/>
      <c:txPr>
        <a:bodyPr/>
        <a:lstStyle/>
        <a:p>
          <a:pPr>
            <a:defRPr sz="900"/>
          </a:pPr>
          <a:endParaRPr lang="sr-Latn-R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mn-lt"/>
              </a:defRPr>
            </a:pPr>
            <a:r>
              <a:rPr lang="hr-HR" sz="1100">
                <a:latin typeface="+mn-lt"/>
              </a:rPr>
              <a:t>Emisije</a:t>
            </a:r>
            <a:r>
              <a:rPr lang="hr-HR" sz="1100" baseline="0">
                <a:latin typeface="+mn-lt"/>
              </a:rPr>
              <a:t> CO₂ prometnog sektora</a:t>
            </a:r>
            <a:endParaRPr lang="hr-HR" sz="1100">
              <a:latin typeface="+mn-lt"/>
            </a:endParaRPr>
          </a:p>
        </c:rich>
      </c:tx>
      <c:overlay val="0"/>
    </c:title>
    <c:autoTitleDeleted val="0"/>
    <c:plotArea>
      <c:layout/>
      <c:barChart>
        <c:barDir val="col"/>
        <c:grouping val="stacked"/>
        <c:varyColors val="1"/>
        <c:ser>
          <c:idx val="0"/>
          <c:order val="0"/>
          <c:invertIfNegative val="0"/>
          <c:cat>
            <c:strRef>
              <c:f>promet!$C$4:$C$6</c:f>
              <c:strCache>
                <c:ptCount val="3"/>
                <c:pt idx="0">
                  <c:v>Vozila u vlasništvu grada</c:v>
                </c:pt>
                <c:pt idx="1">
                  <c:v>Javni prijevoz</c:v>
                </c:pt>
                <c:pt idx="2">
                  <c:v>Osobna i komercijalna vozila</c:v>
                </c:pt>
              </c:strCache>
            </c:strRef>
          </c:cat>
          <c:val>
            <c:numRef>
              <c:f>promet!$E$4:$E$6</c:f>
              <c:numCache>
                <c:formatCode>General</c:formatCode>
                <c:ptCount val="3"/>
                <c:pt idx="0">
                  <c:v>14658.93</c:v>
                </c:pt>
                <c:pt idx="1">
                  <c:v>56320.9</c:v>
                </c:pt>
                <c:pt idx="2">
                  <c:v>936463.24</c:v>
                </c:pt>
              </c:numCache>
            </c:numRef>
          </c:val>
          <c:extLst>
            <c:ext xmlns:c16="http://schemas.microsoft.com/office/drawing/2014/chart" uri="{C3380CC4-5D6E-409C-BE32-E72D297353CC}">
              <c16:uniqueId val="{00000000-8C95-46BD-BC8C-BA3DDA47644A}"/>
            </c:ext>
          </c:extLst>
        </c:ser>
        <c:dLbls>
          <c:showLegendKey val="0"/>
          <c:showVal val="0"/>
          <c:showCatName val="0"/>
          <c:showSerName val="0"/>
          <c:showPercent val="0"/>
          <c:showBubbleSize val="0"/>
        </c:dLbls>
        <c:gapWidth val="150"/>
        <c:overlap val="100"/>
        <c:axId val="390999552"/>
        <c:axId val="391935040"/>
      </c:barChart>
      <c:catAx>
        <c:axId val="390999552"/>
        <c:scaling>
          <c:orientation val="minMax"/>
        </c:scaling>
        <c:delete val="0"/>
        <c:axPos val="b"/>
        <c:numFmt formatCode="General" sourceLinked="0"/>
        <c:majorTickMark val="out"/>
        <c:minorTickMark val="none"/>
        <c:tickLblPos val="nextTo"/>
        <c:txPr>
          <a:bodyPr/>
          <a:lstStyle/>
          <a:p>
            <a:pPr>
              <a:defRPr sz="1000">
                <a:latin typeface="+mn-lt"/>
              </a:defRPr>
            </a:pPr>
            <a:endParaRPr lang="sr-Latn-RS"/>
          </a:p>
        </c:txPr>
        <c:crossAx val="391935040"/>
        <c:crosses val="autoZero"/>
        <c:auto val="1"/>
        <c:lblAlgn val="ctr"/>
        <c:lblOffset val="100"/>
        <c:noMultiLvlLbl val="0"/>
      </c:catAx>
      <c:valAx>
        <c:axId val="391935040"/>
        <c:scaling>
          <c:orientation val="minMax"/>
        </c:scaling>
        <c:delete val="0"/>
        <c:axPos val="l"/>
        <c:majorGridlines>
          <c:spPr>
            <a:ln>
              <a:prstDash val="sysDash"/>
            </a:ln>
          </c:spPr>
        </c:majorGridlines>
        <c:title>
          <c:tx>
            <c:rich>
              <a:bodyPr rot="-5400000" vert="horz"/>
              <a:lstStyle/>
              <a:p>
                <a:pPr>
                  <a:defRPr sz="1000" b="0">
                    <a:latin typeface="+mn-lt"/>
                  </a:defRPr>
                </a:pPr>
                <a:r>
                  <a:rPr lang="hr-HR" sz="1000" b="0">
                    <a:latin typeface="+mn-lt"/>
                  </a:rPr>
                  <a:t>Emisija CO</a:t>
                </a:r>
                <a:r>
                  <a:rPr lang="hr-HR" sz="1000" b="0" baseline="-25000">
                    <a:latin typeface="+mn-lt"/>
                  </a:rPr>
                  <a:t>2</a:t>
                </a:r>
                <a:r>
                  <a:rPr lang="hr-HR" sz="1000" b="0">
                    <a:latin typeface="+mn-lt"/>
                  </a:rPr>
                  <a:t>, t</a:t>
                </a:r>
              </a:p>
            </c:rich>
          </c:tx>
          <c:overlay val="0"/>
        </c:title>
        <c:numFmt formatCode="General" sourceLinked="1"/>
        <c:majorTickMark val="out"/>
        <c:minorTickMark val="none"/>
        <c:tickLblPos val="nextTo"/>
        <c:txPr>
          <a:bodyPr/>
          <a:lstStyle/>
          <a:p>
            <a:pPr>
              <a:defRPr sz="1000">
                <a:latin typeface="+mn-lt"/>
              </a:defRPr>
            </a:pPr>
            <a:endParaRPr lang="sr-Latn-RS"/>
          </a:p>
        </c:txPr>
        <c:crossAx val="390999552"/>
        <c:crosses val="autoZero"/>
        <c:crossBetween val="between"/>
      </c:valAx>
    </c:plotArea>
    <c:plotVisOnly val="1"/>
    <c:dispBlanksAs val="gap"/>
    <c:showDLblsOverMax val="0"/>
  </c:chart>
  <c:spPr>
    <a:ln>
      <a:noFill/>
    </a:ln>
  </c:spPr>
  <c:txPr>
    <a:bodyPr/>
    <a:lstStyle/>
    <a:p>
      <a:pPr>
        <a:defRPr sz="1100">
          <a:latin typeface="Arial" pitchFamily="34" charset="0"/>
          <a:cs typeface="Arial" pitchFamily="34" charset="0"/>
        </a:defRPr>
      </a:pPr>
      <a:endParaRPr lang="sr-Latn-R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25"/>
          <c:dPt>
            <c:idx val="0"/>
            <c:bubble3D val="0"/>
            <c:extLst>
              <c:ext xmlns:c16="http://schemas.microsoft.com/office/drawing/2014/chart" uri="{C3380CC4-5D6E-409C-BE32-E72D297353CC}">
                <c16:uniqueId val="{00000000-C07F-49AC-9299-F3276582ADEC}"/>
              </c:ext>
            </c:extLst>
          </c:dPt>
          <c:dPt>
            <c:idx val="1"/>
            <c:bubble3D val="0"/>
            <c:extLst>
              <c:ext xmlns:c16="http://schemas.microsoft.com/office/drawing/2014/chart" uri="{C3380CC4-5D6E-409C-BE32-E72D297353CC}">
                <c16:uniqueId val="{00000001-C07F-49AC-9299-F3276582ADEC}"/>
              </c:ext>
            </c:extLst>
          </c:dPt>
          <c:dLbls>
            <c:numFmt formatCode="0.00%" sourceLinked="0"/>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'[Realizirane mjere (2).xls]Ukupan pregled'!$C$109:$C$110</c:f>
              <c:strCache>
                <c:ptCount val="2"/>
                <c:pt idx="0">
                  <c:v>Potrebno smanjenje emisije CO2 do cilja</c:v>
                </c:pt>
                <c:pt idx="1">
                  <c:v>Ostvareno smanjenje emisije CO2</c:v>
                </c:pt>
              </c:strCache>
            </c:strRef>
          </c:cat>
          <c:val>
            <c:numRef>
              <c:f>'[Realizirane mjere (2).xls]Ukupan pregled'!$E$109:$E$110</c:f>
              <c:numCache>
                <c:formatCode>#,##0.00</c:formatCode>
                <c:ptCount val="2"/>
                <c:pt idx="0">
                  <c:v>284205.99228775263</c:v>
                </c:pt>
                <c:pt idx="1">
                  <c:v>302964.69771224732</c:v>
                </c:pt>
              </c:numCache>
            </c:numRef>
          </c:val>
          <c:extLst>
            <c:ext xmlns:c16="http://schemas.microsoft.com/office/drawing/2014/chart" uri="{C3380CC4-5D6E-409C-BE32-E72D297353CC}">
              <c16:uniqueId val="{00000002-C07F-49AC-9299-F3276582ADEC}"/>
            </c:ext>
          </c:extLst>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'[Realizirane mjere (2).xls]Prognoza'!$B$11</c:f>
              <c:strCache>
                <c:ptCount val="1"/>
                <c:pt idx="0">
                  <c:v>Emisija, t CO2</c:v>
                </c:pt>
              </c:strCache>
            </c:strRef>
          </c:tx>
          <c:invertIfNegative val="0"/>
          <c:dLbls>
            <c:dLbl>
              <c:idx val="0"/>
              <c:layout>
                <c:manualLayout>
                  <c:x val="-2.2050716648291274E-3"/>
                  <c:y val="-9.3476144109055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C2-4DF5-917E-950DDD6B4DF3}"/>
                </c:ext>
              </c:extLst>
            </c:dLbl>
            <c:dLbl>
              <c:idx val="1"/>
              <c:layout>
                <c:manualLayout>
                  <c:x val="1.10253583241455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C2-4DF5-917E-950DDD6B4DF3}"/>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'[Realizirane mjere (2).xls]Prognoza'!$A$12:$A$14</c:f>
              <c:strCache>
                <c:ptCount val="3"/>
                <c:pt idx="0">
                  <c:v>2008.</c:v>
                </c:pt>
                <c:pt idx="1">
                  <c:v>2015.</c:v>
                </c:pt>
                <c:pt idx="2">
                  <c:v>2020.</c:v>
                </c:pt>
              </c:strCache>
            </c:strRef>
          </c:cat>
          <c:val>
            <c:numRef>
              <c:f>'[Realizirane mjere (2).xls]Prognoza'!$B$12:$B$14</c:f>
              <c:numCache>
                <c:formatCode>#,##0.00</c:formatCode>
                <c:ptCount val="3"/>
                <c:pt idx="0">
                  <c:v>2793746.4</c:v>
                </c:pt>
                <c:pt idx="1">
                  <c:v>2930972.08</c:v>
                </c:pt>
                <c:pt idx="2">
                  <c:v>2208880.2000000002</c:v>
                </c:pt>
              </c:numCache>
            </c:numRef>
          </c:val>
          <c:extLst>
            <c:ext xmlns:c16="http://schemas.microsoft.com/office/drawing/2014/chart" uri="{C3380CC4-5D6E-409C-BE32-E72D297353CC}">
              <c16:uniqueId val="{00000000-8051-4DFD-8E24-B6758310CD76}"/>
            </c:ext>
          </c:extLst>
        </c:ser>
        <c:ser>
          <c:idx val="1"/>
          <c:order val="1"/>
          <c:tx>
            <c:strRef>
              <c:f>'[Realizirane mjere (2).xls]Prognoza'!$C$11</c:f>
              <c:strCache>
                <c:ptCount val="1"/>
                <c:pt idx="0">
                  <c:v>Smanjenje emisije, t CO2</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'[Realizirane mjere (2).xls]Prognoza'!$A$12:$A$14</c:f>
              <c:strCache>
                <c:ptCount val="3"/>
                <c:pt idx="0">
                  <c:v>2008.</c:v>
                </c:pt>
                <c:pt idx="1">
                  <c:v>2015.</c:v>
                </c:pt>
                <c:pt idx="2">
                  <c:v>2020.</c:v>
                </c:pt>
              </c:strCache>
            </c:strRef>
          </c:cat>
          <c:val>
            <c:numRef>
              <c:f>'[Realizirane mjere (2).xls]Prognoza'!$C$12:$C$14</c:f>
              <c:numCache>
                <c:formatCode>#,##0.00</c:formatCode>
                <c:ptCount val="3"/>
                <c:pt idx="1">
                  <c:v>302964.69771224732</c:v>
                </c:pt>
              </c:numCache>
            </c:numRef>
          </c:val>
          <c:extLst>
            <c:ext xmlns:c16="http://schemas.microsoft.com/office/drawing/2014/chart" uri="{C3380CC4-5D6E-409C-BE32-E72D297353CC}">
              <c16:uniqueId val="{00000001-8051-4DFD-8E24-B6758310CD76}"/>
            </c:ext>
          </c:extLst>
        </c:ser>
        <c:ser>
          <c:idx val="2"/>
          <c:order val="2"/>
          <c:tx>
            <c:strRef>
              <c:f>'[Realizirane mjere (2).xls]Prognoza'!$D$11</c:f>
              <c:strCache>
                <c:ptCount val="1"/>
                <c:pt idx="0">
                  <c:v>Cilj smanjenja emisije, t CO2</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'[Realizirane mjere (2).xls]Prognoza'!$A$12:$A$14</c:f>
              <c:strCache>
                <c:ptCount val="3"/>
                <c:pt idx="0">
                  <c:v>2008.</c:v>
                </c:pt>
                <c:pt idx="1">
                  <c:v>2015.</c:v>
                </c:pt>
                <c:pt idx="2">
                  <c:v>2020.</c:v>
                </c:pt>
              </c:strCache>
            </c:strRef>
          </c:cat>
          <c:val>
            <c:numRef>
              <c:f>'[Realizirane mjere (2).xls]Prognoza'!$D$12:$D$14</c:f>
              <c:numCache>
                <c:formatCode>General</c:formatCode>
                <c:ptCount val="3"/>
                <c:pt idx="2" formatCode="#,##0.00">
                  <c:v>587170.68999999994</c:v>
                </c:pt>
              </c:numCache>
            </c:numRef>
          </c:val>
          <c:extLst>
            <c:ext xmlns:c16="http://schemas.microsoft.com/office/drawing/2014/chart" uri="{C3380CC4-5D6E-409C-BE32-E72D297353CC}">
              <c16:uniqueId val="{00000002-8051-4DFD-8E24-B6758310CD76}"/>
            </c:ext>
          </c:extLst>
        </c:ser>
        <c:dLbls>
          <c:showLegendKey val="0"/>
          <c:showVal val="0"/>
          <c:showCatName val="0"/>
          <c:showSerName val="0"/>
          <c:showPercent val="0"/>
          <c:showBubbleSize val="0"/>
        </c:dLbls>
        <c:gapWidth val="150"/>
        <c:shape val="box"/>
        <c:axId val="248952832"/>
        <c:axId val="248749376"/>
        <c:axId val="0"/>
      </c:bar3DChart>
      <c:catAx>
        <c:axId val="248952832"/>
        <c:scaling>
          <c:orientation val="minMax"/>
        </c:scaling>
        <c:delete val="0"/>
        <c:axPos val="b"/>
        <c:numFmt formatCode="General" sourceLinked="1"/>
        <c:majorTickMark val="out"/>
        <c:minorTickMark val="none"/>
        <c:tickLblPos val="nextTo"/>
        <c:crossAx val="248749376"/>
        <c:crosses val="autoZero"/>
        <c:auto val="1"/>
        <c:lblAlgn val="ctr"/>
        <c:lblOffset val="100"/>
        <c:noMultiLvlLbl val="0"/>
      </c:catAx>
      <c:valAx>
        <c:axId val="248749376"/>
        <c:scaling>
          <c:orientation val="minMax"/>
        </c:scaling>
        <c:delete val="0"/>
        <c:axPos val="l"/>
        <c:majorGridlines/>
        <c:numFmt formatCode="#,##0.00" sourceLinked="1"/>
        <c:majorTickMark val="out"/>
        <c:minorTickMark val="none"/>
        <c:tickLblPos val="nextTo"/>
        <c:crossAx val="248952832"/>
        <c:crosses val="autoZero"/>
        <c:crossBetween val="between"/>
      </c:valAx>
      <c:spPr>
        <a:noFill/>
        <a:ln w="25400">
          <a:noFill/>
        </a:ln>
      </c:spPr>
    </c:plotArea>
    <c:legend>
      <c:legendPos val="r"/>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hr-HR" sz="1100"/>
              <a:t>Udio</a:t>
            </a:r>
            <a:r>
              <a:rPr lang="hr-HR" sz="1100" baseline="0"/>
              <a:t> sektora u potencijalu smanjenja emisije CO</a:t>
            </a:r>
            <a:r>
              <a:rPr lang="hr-HR" sz="1100" baseline="0">
                <a:latin typeface="Calibri"/>
              </a:rPr>
              <a:t>₂</a:t>
            </a:r>
            <a:endParaRPr lang="hr-HR" sz="1100"/>
          </a:p>
        </c:rich>
      </c:tx>
      <c:layout>
        <c:manualLayout>
          <c:xMode val="edge"/>
          <c:yMode val="edge"/>
          <c:x val="0.17773570756485629"/>
          <c:y val="7.3394495412844041E-2"/>
        </c:manualLayout>
      </c:layout>
      <c:overlay val="0"/>
      <c:spPr>
        <a:ln>
          <a:noFill/>
        </a:ln>
      </c:spPr>
    </c:title>
    <c:autoTitleDeleted val="0"/>
    <c:view3D>
      <c:rotX val="30"/>
      <c:rotY val="45"/>
      <c:rAngAx val="0"/>
    </c:view3D>
    <c:floor>
      <c:thickness val="0"/>
    </c:floor>
    <c:sideWall>
      <c:thickness val="0"/>
    </c:sideWall>
    <c:backWall>
      <c:thickness val="0"/>
    </c:backWall>
    <c:plotArea>
      <c:layout/>
      <c:pie3DChart>
        <c:varyColors val="1"/>
        <c:ser>
          <c:idx val="0"/>
          <c:order val="0"/>
          <c:dLbls>
            <c:dLbl>
              <c:idx val="2"/>
              <c:layout>
                <c:manualLayout>
                  <c:x val="3.0008639545056871E-2"/>
                  <c:y val="-2.440361621463984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CC9-4E35-9B60-EFE50735F72D}"/>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('Tablica 9.17.'!$A$2,'Tablica 9.17.'!$A$3,'Tablica 9.17.'!$A$4)</c:f>
              <c:strCache>
                <c:ptCount val="3"/>
                <c:pt idx="0">
                  <c:v>Promet</c:v>
                </c:pt>
                <c:pt idx="1">
                  <c:v>Zgradarstvo</c:v>
                </c:pt>
                <c:pt idx="2">
                  <c:v>Javna rasvjeta</c:v>
                </c:pt>
              </c:strCache>
            </c:strRef>
          </c:cat>
          <c:val>
            <c:numRef>
              <c:f>('Tablica 9.17.'!$C$2,'Tablica 9.17.'!$C$3,'Tablica 9.17.'!$C$4)</c:f>
              <c:numCache>
                <c:formatCode>#,##0.00</c:formatCode>
                <c:ptCount val="3"/>
                <c:pt idx="0">
                  <c:v>25.845744793591326</c:v>
                </c:pt>
                <c:pt idx="1">
                  <c:v>73.813635035796793</c:v>
                </c:pt>
                <c:pt idx="2">
                  <c:v>0.34062017061188604</c:v>
                </c:pt>
              </c:numCache>
            </c:numRef>
          </c:val>
          <c:extLst>
            <c:ext xmlns:c16="http://schemas.microsoft.com/office/drawing/2014/chart" uri="{C3380CC4-5D6E-409C-BE32-E72D297353CC}">
              <c16:uniqueId val="{00000001-FCC9-4E35-9B60-EFE50735F72D}"/>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hr-HR" sz="1100"/>
              <a:t>Ukupne</a:t>
            </a:r>
            <a:r>
              <a:rPr lang="hr-HR" sz="1100" baseline="0"/>
              <a:t> emisije CO</a:t>
            </a:r>
            <a:r>
              <a:rPr lang="hr-HR" sz="1100" baseline="0">
                <a:latin typeface="Calibri"/>
              </a:rPr>
              <a:t>₂ po scenarijama</a:t>
            </a:r>
            <a:endParaRPr lang="hr-HR" sz="1100"/>
          </a:p>
        </c:rich>
      </c:tx>
      <c:overlay val="0"/>
    </c:title>
    <c:autoTitleDeleted val="0"/>
    <c:plotArea>
      <c:layout/>
      <c:barChart>
        <c:barDir val="col"/>
        <c:grouping val="stacked"/>
        <c:varyColors val="0"/>
        <c:ser>
          <c:idx val="0"/>
          <c:order val="0"/>
          <c:tx>
            <c:strRef>
              <c:f>'[Copy of SECAP ZAGREB proračun procjena emisija tablice_NM.xlsx]Tablica 9.16.'!$B$32</c:f>
              <c:strCache>
                <c:ptCount val="1"/>
                <c:pt idx="0">
                  <c:v>Promet</c:v>
                </c:pt>
              </c:strCache>
            </c:strRef>
          </c:tx>
          <c:invertIfNegative val="0"/>
          <c:cat>
            <c:strRef>
              <c:f>'[Copy of SECAP ZAGREB proračun procjena emisija tablice_NM.xlsx]Tablica 9.16.'!$A$33:$A$35</c:f>
              <c:strCache>
                <c:ptCount val="3"/>
                <c:pt idx="0">
                  <c:v>Emisija bazne godine</c:v>
                </c:pt>
                <c:pt idx="1">
                  <c:v>Scenarij bez mjera</c:v>
                </c:pt>
                <c:pt idx="2">
                  <c:v>Scenarij s mjerama</c:v>
                </c:pt>
              </c:strCache>
            </c:strRef>
          </c:cat>
          <c:val>
            <c:numRef>
              <c:f>'[Copy of SECAP ZAGREB proračun procjena emisija tablice_NM.xlsx]Tablica 9.16.'!$B$33:$B$35</c:f>
              <c:numCache>
                <c:formatCode>#,##0.00</c:formatCode>
                <c:ptCount val="3"/>
                <c:pt idx="0">
                  <c:v>1007443.07</c:v>
                </c:pt>
                <c:pt idx="1">
                  <c:v>1091901.1000000001</c:v>
                </c:pt>
                <c:pt idx="2">
                  <c:v>876356.82</c:v>
                </c:pt>
              </c:numCache>
            </c:numRef>
          </c:val>
          <c:extLst>
            <c:ext xmlns:c16="http://schemas.microsoft.com/office/drawing/2014/chart" uri="{C3380CC4-5D6E-409C-BE32-E72D297353CC}">
              <c16:uniqueId val="{00000000-0167-4516-80EC-0321020883B7}"/>
            </c:ext>
          </c:extLst>
        </c:ser>
        <c:ser>
          <c:idx val="1"/>
          <c:order val="1"/>
          <c:tx>
            <c:strRef>
              <c:f>'[Copy of SECAP ZAGREB proračun procjena emisija tablice_NM.xlsx]Tablica 9.16.'!$C$32</c:f>
              <c:strCache>
                <c:ptCount val="1"/>
                <c:pt idx="0">
                  <c:v>Zgradarstvo</c:v>
                </c:pt>
              </c:strCache>
            </c:strRef>
          </c:tx>
          <c:invertIfNegative val="0"/>
          <c:cat>
            <c:strRef>
              <c:f>'[Copy of SECAP ZAGREB proračun procjena emisija tablice_NM.xlsx]Tablica 9.16.'!$A$33:$A$35</c:f>
              <c:strCache>
                <c:ptCount val="3"/>
                <c:pt idx="0">
                  <c:v>Emisija bazne godine</c:v>
                </c:pt>
                <c:pt idx="1">
                  <c:v>Scenarij bez mjera</c:v>
                </c:pt>
                <c:pt idx="2">
                  <c:v>Scenarij s mjerama</c:v>
                </c:pt>
              </c:strCache>
            </c:strRef>
          </c:cat>
          <c:val>
            <c:numRef>
              <c:f>'[Copy of SECAP ZAGREB proračun procjena emisija tablice_NM.xlsx]Tablica 9.16.'!$C$33:$C$35</c:f>
              <c:numCache>
                <c:formatCode>#,##0.00</c:formatCode>
                <c:ptCount val="3"/>
                <c:pt idx="0">
                  <c:v>1759432.26</c:v>
                </c:pt>
                <c:pt idx="1">
                  <c:v>1400681.4</c:v>
                </c:pt>
                <c:pt idx="2">
                  <c:v>759888.7</c:v>
                </c:pt>
              </c:numCache>
            </c:numRef>
          </c:val>
          <c:extLst>
            <c:ext xmlns:c16="http://schemas.microsoft.com/office/drawing/2014/chart" uri="{C3380CC4-5D6E-409C-BE32-E72D297353CC}">
              <c16:uniqueId val="{00000001-0167-4516-80EC-0321020883B7}"/>
            </c:ext>
          </c:extLst>
        </c:ser>
        <c:ser>
          <c:idx val="2"/>
          <c:order val="2"/>
          <c:tx>
            <c:strRef>
              <c:f>'[Copy of SECAP ZAGREB proračun procjena emisija tablice_NM.xlsx]Tablica 9.16.'!$D$32</c:f>
              <c:strCache>
                <c:ptCount val="1"/>
                <c:pt idx="0">
                  <c:v>Javna rasvjeta</c:v>
                </c:pt>
              </c:strCache>
            </c:strRef>
          </c:tx>
          <c:invertIfNegative val="0"/>
          <c:cat>
            <c:strRef>
              <c:f>'[Copy of SECAP ZAGREB proračun procjena emisija tablice_NM.xlsx]Tablica 9.16.'!$A$33:$A$35</c:f>
              <c:strCache>
                <c:ptCount val="3"/>
                <c:pt idx="0">
                  <c:v>Emisija bazne godine</c:v>
                </c:pt>
                <c:pt idx="1">
                  <c:v>Scenarij bez mjera</c:v>
                </c:pt>
                <c:pt idx="2">
                  <c:v>Scenarij s mjerama</c:v>
                </c:pt>
              </c:strCache>
            </c:strRef>
          </c:cat>
          <c:val>
            <c:numRef>
              <c:f>'[Copy of SECAP ZAGREB proračun procjena emisija tablice_NM.xlsx]Tablica 9.16.'!$D$33:$D$35</c:f>
              <c:numCache>
                <c:formatCode>#,##0.00</c:formatCode>
                <c:ptCount val="3"/>
                <c:pt idx="0">
                  <c:v>29175.56</c:v>
                </c:pt>
                <c:pt idx="1">
                  <c:v>7076.2</c:v>
                </c:pt>
                <c:pt idx="2">
                  <c:v>4119.2</c:v>
                </c:pt>
              </c:numCache>
            </c:numRef>
          </c:val>
          <c:extLst>
            <c:ext xmlns:c16="http://schemas.microsoft.com/office/drawing/2014/chart" uri="{C3380CC4-5D6E-409C-BE32-E72D297353CC}">
              <c16:uniqueId val="{00000002-0167-4516-80EC-0321020883B7}"/>
            </c:ext>
          </c:extLst>
        </c:ser>
        <c:dLbls>
          <c:showLegendKey val="0"/>
          <c:showVal val="0"/>
          <c:showCatName val="0"/>
          <c:showSerName val="0"/>
          <c:showPercent val="0"/>
          <c:showBubbleSize val="0"/>
        </c:dLbls>
        <c:gapWidth val="150"/>
        <c:overlap val="100"/>
        <c:axId val="89858432"/>
        <c:axId val="89859968"/>
      </c:barChart>
      <c:lineChart>
        <c:grouping val="standard"/>
        <c:varyColors val="0"/>
        <c:ser>
          <c:idx val="3"/>
          <c:order val="3"/>
          <c:tx>
            <c:strRef>
              <c:f>'[Copy of SECAP ZAGREB proračun procjena emisija tablice_NM.xlsx]Tablica 9.16.'!$E$32</c:f>
              <c:strCache>
                <c:ptCount val="1"/>
                <c:pt idx="0">
                  <c:v>Indikativni cilj</c:v>
                </c:pt>
              </c:strCache>
            </c:strRef>
          </c:tx>
          <c:spPr>
            <a:ln>
              <a:solidFill>
                <a:schemeClr val="tx1"/>
              </a:solidFill>
            </a:ln>
          </c:spPr>
          <c:marker>
            <c:symbol val="none"/>
          </c:marker>
          <c:trendline>
            <c:trendlineType val="linear"/>
            <c:dispRSqr val="0"/>
            <c:dispEq val="0"/>
          </c:trendline>
          <c:cat>
            <c:strRef>
              <c:f>'[Copy of SECAP ZAGREB proračun procjena emisija tablice_NM.xlsx]Tablica 9.16.'!$A$33:$A$35</c:f>
              <c:strCache>
                <c:ptCount val="3"/>
                <c:pt idx="0">
                  <c:v>Emisija bazne godine</c:v>
                </c:pt>
                <c:pt idx="1">
                  <c:v>Scenarij bez mjera</c:v>
                </c:pt>
                <c:pt idx="2">
                  <c:v>Scenarij s mjerama</c:v>
                </c:pt>
              </c:strCache>
            </c:strRef>
          </c:cat>
          <c:val>
            <c:numRef>
              <c:f>'[Copy of SECAP ZAGREB proračun procjena emisija tablice_NM.xlsx]Tablica 9.16.'!$E$33:$E$35</c:f>
              <c:numCache>
                <c:formatCode>General</c:formatCode>
                <c:ptCount val="3"/>
                <c:pt idx="0">
                  <c:v>1677630.534</c:v>
                </c:pt>
                <c:pt idx="1">
                  <c:v>1677630.534</c:v>
                </c:pt>
                <c:pt idx="2">
                  <c:v>1677630.534</c:v>
                </c:pt>
              </c:numCache>
            </c:numRef>
          </c:val>
          <c:smooth val="0"/>
          <c:extLst>
            <c:ext xmlns:c16="http://schemas.microsoft.com/office/drawing/2014/chart" uri="{C3380CC4-5D6E-409C-BE32-E72D297353CC}">
              <c16:uniqueId val="{00000004-0167-4516-80EC-0321020883B7}"/>
            </c:ext>
          </c:extLst>
        </c:ser>
        <c:dLbls>
          <c:showLegendKey val="0"/>
          <c:showVal val="0"/>
          <c:showCatName val="0"/>
          <c:showSerName val="0"/>
          <c:showPercent val="0"/>
          <c:showBubbleSize val="0"/>
        </c:dLbls>
        <c:marker val="1"/>
        <c:smooth val="0"/>
        <c:axId val="89858432"/>
        <c:axId val="89859968"/>
      </c:lineChart>
      <c:catAx>
        <c:axId val="89858432"/>
        <c:scaling>
          <c:orientation val="minMax"/>
        </c:scaling>
        <c:delete val="0"/>
        <c:axPos val="b"/>
        <c:numFmt formatCode="General" sourceLinked="0"/>
        <c:majorTickMark val="out"/>
        <c:minorTickMark val="none"/>
        <c:tickLblPos val="nextTo"/>
        <c:crossAx val="89859968"/>
        <c:crosses val="autoZero"/>
        <c:auto val="1"/>
        <c:lblAlgn val="ctr"/>
        <c:lblOffset val="100"/>
        <c:noMultiLvlLbl val="0"/>
      </c:catAx>
      <c:valAx>
        <c:axId val="89859968"/>
        <c:scaling>
          <c:orientation val="minMax"/>
        </c:scaling>
        <c:delete val="0"/>
        <c:axPos val="l"/>
        <c:majorGridlines/>
        <c:title>
          <c:tx>
            <c:rich>
              <a:bodyPr rot="-5400000" vert="horz"/>
              <a:lstStyle/>
              <a:p>
                <a:pPr>
                  <a:defRPr/>
                </a:pPr>
                <a:r>
                  <a:rPr lang="hr-HR"/>
                  <a:t>Emisija, t CO</a:t>
                </a:r>
                <a:r>
                  <a:rPr lang="hr-HR">
                    <a:latin typeface="Calibri"/>
                  </a:rPr>
                  <a:t>₂</a:t>
                </a:r>
                <a:endParaRPr lang="hr-HR"/>
              </a:p>
            </c:rich>
          </c:tx>
          <c:overlay val="0"/>
        </c:title>
        <c:numFmt formatCode="#,##0.00" sourceLinked="1"/>
        <c:majorTickMark val="out"/>
        <c:minorTickMark val="none"/>
        <c:tickLblPos val="nextTo"/>
        <c:crossAx val="89858432"/>
        <c:crosses val="autoZero"/>
        <c:crossBetween val="between"/>
      </c:valAx>
    </c:plotArea>
    <c:legend>
      <c:legendPos val="r"/>
      <c:legendEntry>
        <c:idx val="4"/>
        <c:delete val="1"/>
      </c:legendEntry>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sz="1000" b="1"/>
              <a:t>Energetska potrošnja po</a:t>
            </a:r>
            <a:r>
              <a:rPr lang="hr-HR" sz="1000" b="1" baseline="0"/>
              <a:t> energentima</a:t>
            </a:r>
            <a:endParaRPr lang="hr-HR" sz="1000" b="1"/>
          </a:p>
        </c:rich>
      </c:tx>
      <c:overlay val="0"/>
    </c:title>
    <c:autoTitleDeleted val="0"/>
    <c:plotArea>
      <c:layout>
        <c:manualLayout>
          <c:layoutTarget val="inner"/>
          <c:xMode val="edge"/>
          <c:yMode val="edge"/>
          <c:x val="0.15561579970808823"/>
          <c:y val="0.10712199849111582"/>
          <c:w val="0.80118995542223881"/>
          <c:h val="0.73591599677410979"/>
        </c:manualLayout>
      </c:layout>
      <c:barChart>
        <c:barDir val="col"/>
        <c:grouping val="clustered"/>
        <c:varyColors val="1"/>
        <c:ser>
          <c:idx val="0"/>
          <c:order val="0"/>
          <c:invertIfNegative val="0"/>
          <c:cat>
            <c:strRef>
              <c:f>'X:\iselanec\Grad Zagreb\Proracun\[ukupno emisije inventara-10_02_2010.xlsx]sumarna-goriva'!$C$95:$C$103</c:f>
              <c:strCache>
                <c:ptCount val="9"/>
                <c:pt idx="0">
                  <c:v>Prirodni plin</c:v>
                </c:pt>
                <c:pt idx="1">
                  <c:v>Dizel</c:v>
                </c:pt>
                <c:pt idx="2">
                  <c:v>Toplina</c:v>
                </c:pt>
                <c:pt idx="3">
                  <c:v>Električna energija</c:v>
                </c:pt>
                <c:pt idx="4">
                  <c:v>Motorni benzin</c:v>
                </c:pt>
                <c:pt idx="5">
                  <c:v>Loživo ulje</c:v>
                </c:pt>
                <c:pt idx="6">
                  <c:v>Ogrjevno drvo</c:v>
                </c:pt>
                <c:pt idx="7">
                  <c:v>UNP</c:v>
                </c:pt>
                <c:pt idx="8">
                  <c:v>Biodizel</c:v>
                </c:pt>
              </c:strCache>
            </c:strRef>
          </c:cat>
          <c:val>
            <c:numRef>
              <c:f>'X:\iselanec\Grad Zagreb\Proracun\[ukupno emisije inventara-10_02_2010.xlsx]sumarna-goriva'!$D$95:$D$103</c:f>
              <c:numCache>
                <c:formatCode>General</c:formatCode>
                <c:ptCount val="9"/>
                <c:pt idx="0">
                  <c:v>3157035.5799404718</c:v>
                </c:pt>
                <c:pt idx="1">
                  <c:v>2061493.061111111</c:v>
                </c:pt>
                <c:pt idx="2">
                  <c:v>1909679.6219534066</c:v>
                </c:pt>
                <c:pt idx="3">
                  <c:v>1822792.2434147578</c:v>
                </c:pt>
                <c:pt idx="4">
                  <c:v>1686583.6888888888</c:v>
                </c:pt>
                <c:pt idx="5">
                  <c:v>262917.00958943454</c:v>
                </c:pt>
                <c:pt idx="6">
                  <c:v>187200.96143807002</c:v>
                </c:pt>
                <c:pt idx="7">
                  <c:v>29996.391610833329</c:v>
                </c:pt>
                <c:pt idx="8">
                  <c:v>2739.4227777777774</c:v>
                </c:pt>
              </c:numCache>
            </c:numRef>
          </c:val>
          <c:extLst>
            <c:ext xmlns:c16="http://schemas.microsoft.com/office/drawing/2014/chart" uri="{C3380CC4-5D6E-409C-BE32-E72D297353CC}">
              <c16:uniqueId val="{00000000-4BE9-44F5-A30D-4103491DAD35}"/>
            </c:ext>
          </c:extLst>
        </c:ser>
        <c:dLbls>
          <c:showLegendKey val="0"/>
          <c:showVal val="0"/>
          <c:showCatName val="0"/>
          <c:showSerName val="0"/>
          <c:showPercent val="0"/>
          <c:showBubbleSize val="0"/>
        </c:dLbls>
        <c:gapWidth val="150"/>
        <c:axId val="391657472"/>
        <c:axId val="391936768"/>
      </c:barChart>
      <c:catAx>
        <c:axId val="3916574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sr-Latn-RS"/>
          </a:p>
        </c:txPr>
        <c:crossAx val="391936768"/>
        <c:crosses val="autoZero"/>
        <c:auto val="1"/>
        <c:lblAlgn val="ctr"/>
        <c:lblOffset val="100"/>
        <c:tickLblSkip val="1"/>
        <c:tickMarkSkip val="1"/>
        <c:noMultiLvlLbl val="0"/>
      </c:catAx>
      <c:valAx>
        <c:axId val="391936768"/>
        <c:scaling>
          <c:orientation val="minMax"/>
        </c:scaling>
        <c:delete val="0"/>
        <c:axPos val="l"/>
        <c:majorGridlines>
          <c:spPr>
            <a:ln w="3175">
              <a:solidFill>
                <a:srgbClr val="969696"/>
              </a:solidFill>
              <a:prstDash val="sysDash"/>
            </a:ln>
          </c:spPr>
        </c:majorGridlines>
        <c:title>
          <c:tx>
            <c:rich>
              <a:bodyPr/>
              <a:lstStyle/>
              <a:p>
                <a:pPr>
                  <a:defRPr/>
                </a:pPr>
                <a:r>
                  <a:rPr lang="en-US"/>
                  <a:t>Potrošnja energije, MWh</a:t>
                </a:r>
              </a:p>
            </c:rich>
          </c:tx>
          <c:layout>
            <c:manualLayout>
              <c:xMode val="edge"/>
              <c:yMode val="edge"/>
              <c:x val="9.0211998195760413E-3"/>
              <c:y val="0.2303797468354430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91657472"/>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hr-HR" sz="1000" b="1"/>
              <a:t>Energetska potrošnja</a:t>
            </a:r>
          </a:p>
        </c:rich>
      </c:tx>
      <c:overlay val="0"/>
    </c:title>
    <c:autoTitleDeleted val="0"/>
    <c:plotArea>
      <c:layout>
        <c:manualLayout>
          <c:layoutTarget val="inner"/>
          <c:xMode val="edge"/>
          <c:yMode val="edge"/>
          <c:x val="0.21679207157978092"/>
          <c:y val="0.12953159102356035"/>
          <c:w val="0.76014437764505105"/>
          <c:h val="0.7309582437261658"/>
        </c:manualLayout>
      </c:layout>
      <c:barChart>
        <c:barDir val="col"/>
        <c:grouping val="clustered"/>
        <c:varyColors val="1"/>
        <c:ser>
          <c:idx val="0"/>
          <c:order val="0"/>
          <c:invertIfNegative val="0"/>
          <c:cat>
            <c:strRef>
              <c:f>'X:\iselanec\Grad Zagreb\Proracun\[ukupno emisije inventara-10_02_2010.xlsx]sumarna-goriva'!$D$63:$F$63</c:f>
              <c:strCache>
                <c:ptCount val="3"/>
                <c:pt idx="0">
                  <c:v>Zgradarstvo</c:v>
                </c:pt>
                <c:pt idx="1">
                  <c:v>Promet</c:v>
                </c:pt>
                <c:pt idx="2">
                  <c:v>Javna rasvjeta</c:v>
                </c:pt>
              </c:strCache>
            </c:strRef>
          </c:cat>
          <c:val>
            <c:numRef>
              <c:f>'X:\iselanec\Grad Zagreb\Proracun\[ukupno emisije inventara-10_02_2010.xlsx]sumarna-goriva'!$D$64:$F$64</c:f>
              <c:numCache>
                <c:formatCode>General</c:formatCode>
                <c:ptCount val="3"/>
                <c:pt idx="0">
                  <c:v>7436864.0915932935</c:v>
                </c:pt>
                <c:pt idx="1">
                  <c:v>3780930.005927999</c:v>
                </c:pt>
                <c:pt idx="2">
                  <c:v>90463.888888888905</c:v>
                </c:pt>
              </c:numCache>
            </c:numRef>
          </c:val>
          <c:extLst>
            <c:ext xmlns:c16="http://schemas.microsoft.com/office/drawing/2014/chart" uri="{C3380CC4-5D6E-409C-BE32-E72D297353CC}">
              <c16:uniqueId val="{00000000-7FF4-4C69-AEF1-BB6C827A94F6}"/>
            </c:ext>
          </c:extLst>
        </c:ser>
        <c:dLbls>
          <c:showLegendKey val="0"/>
          <c:showVal val="0"/>
          <c:showCatName val="0"/>
          <c:showSerName val="0"/>
          <c:showPercent val="0"/>
          <c:showBubbleSize val="0"/>
        </c:dLbls>
        <c:gapWidth val="150"/>
        <c:axId val="391657984"/>
        <c:axId val="391971392"/>
      </c:barChart>
      <c:catAx>
        <c:axId val="391657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391971392"/>
        <c:crosses val="autoZero"/>
        <c:auto val="1"/>
        <c:lblAlgn val="ctr"/>
        <c:lblOffset val="100"/>
        <c:tickLblSkip val="1"/>
        <c:tickMarkSkip val="1"/>
        <c:noMultiLvlLbl val="0"/>
      </c:catAx>
      <c:valAx>
        <c:axId val="391971392"/>
        <c:scaling>
          <c:orientation val="minMax"/>
        </c:scaling>
        <c:delete val="0"/>
        <c:axPos val="l"/>
        <c:majorGridlines>
          <c:spPr>
            <a:ln w="3175">
              <a:solidFill>
                <a:srgbClr val="969696"/>
              </a:solidFill>
              <a:prstDash val="sysDash"/>
            </a:ln>
          </c:spPr>
        </c:majorGridlines>
        <c:title>
          <c:tx>
            <c:rich>
              <a:bodyPr/>
              <a:lstStyle/>
              <a:p>
                <a:pPr>
                  <a:defRPr/>
                </a:pPr>
                <a:r>
                  <a:rPr lang="en-US"/>
                  <a:t>Potrošnja energije, MWh</a:t>
                </a:r>
              </a:p>
            </c:rich>
          </c:tx>
          <c:layout>
            <c:manualLayout>
              <c:xMode val="edge"/>
              <c:yMode val="edge"/>
              <c:x val="1.4277869302581001E-2"/>
              <c:y val="0.1861257444342299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91657984"/>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hr-HR" sz="1100"/>
              <a:t>Ukupna potrošnja energenata</a:t>
            </a:r>
          </a:p>
        </c:rich>
      </c:tx>
      <c:overlay val="0"/>
    </c:title>
    <c:autoTitleDeleted val="0"/>
    <c:plotArea>
      <c:layout>
        <c:manualLayout>
          <c:layoutTarget val="inner"/>
          <c:xMode val="edge"/>
          <c:yMode val="edge"/>
          <c:x val="0.20856658771097641"/>
          <c:y val="0.11713353155069472"/>
          <c:w val="0.58140880027523056"/>
          <c:h val="0.75358666780310191"/>
        </c:manualLayout>
      </c:layout>
      <c:barChart>
        <c:barDir val="col"/>
        <c:grouping val="stacked"/>
        <c:varyColors val="0"/>
        <c:ser>
          <c:idx val="0"/>
          <c:order val="0"/>
          <c:tx>
            <c:strRef>
              <c:f>'X:\Projekti\Grad Zagreb\SEAP\Radno\Radno_ivan\ivan_tekst\[ukupno emisije inventara-08_01_2010.xlsx]sumarna-goriva'!$C$82</c:f>
              <c:strCache>
                <c:ptCount val="1"/>
                <c:pt idx="0">
                  <c:v>Dizel</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inventara-08_01_2010.xlsx]sumarna-goriva'!$D$82:$F$82</c:f>
              <c:numCache>
                <c:formatCode>General</c:formatCode>
                <c:ptCount val="3"/>
                <c:pt idx="0">
                  <c:v>0</c:v>
                </c:pt>
                <c:pt idx="1">
                  <c:v>2061493.061111111</c:v>
                </c:pt>
                <c:pt idx="2">
                  <c:v>0</c:v>
                </c:pt>
              </c:numCache>
            </c:numRef>
          </c:val>
          <c:extLst>
            <c:ext xmlns:c16="http://schemas.microsoft.com/office/drawing/2014/chart" uri="{C3380CC4-5D6E-409C-BE32-E72D297353CC}">
              <c16:uniqueId val="{00000000-C1AD-41FF-8E11-CBE2E8475006}"/>
            </c:ext>
          </c:extLst>
        </c:ser>
        <c:ser>
          <c:idx val="1"/>
          <c:order val="1"/>
          <c:tx>
            <c:strRef>
              <c:f>'X:\Projekti\Grad Zagreb\SEAP\Radno\Radno_ivan\ivan_tekst\[ukupno emisije inventara-08_01_2010.xlsx]sumarna-goriva'!$C$83</c:f>
              <c:strCache>
                <c:ptCount val="1"/>
                <c:pt idx="0">
                  <c:v>Loživo ulje</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inventara-08_01_2010.xlsx]sumarna-goriva'!$D$83:$F$83</c:f>
              <c:numCache>
                <c:formatCode>General</c:formatCode>
                <c:ptCount val="3"/>
                <c:pt idx="0">
                  <c:v>262917.00958943606</c:v>
                </c:pt>
                <c:pt idx="1">
                  <c:v>0</c:v>
                </c:pt>
                <c:pt idx="2">
                  <c:v>0</c:v>
                </c:pt>
              </c:numCache>
            </c:numRef>
          </c:val>
          <c:extLst>
            <c:ext xmlns:c16="http://schemas.microsoft.com/office/drawing/2014/chart" uri="{C3380CC4-5D6E-409C-BE32-E72D297353CC}">
              <c16:uniqueId val="{00000001-C1AD-41FF-8E11-CBE2E8475006}"/>
            </c:ext>
          </c:extLst>
        </c:ser>
        <c:ser>
          <c:idx val="2"/>
          <c:order val="2"/>
          <c:tx>
            <c:strRef>
              <c:f>'X:\Projekti\Grad Zagreb\SEAP\Radno\Radno_ivan\ivan_tekst\[ukupno emisije inventara-08_01_2010.xlsx]sumarna-goriva'!$C$84</c:f>
              <c:strCache>
                <c:ptCount val="1"/>
                <c:pt idx="0">
                  <c:v>Motorni benzin</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inventara-08_01_2010.xlsx]sumarna-goriva'!$D$84:$F$84</c:f>
              <c:numCache>
                <c:formatCode>General</c:formatCode>
                <c:ptCount val="3"/>
                <c:pt idx="0">
                  <c:v>0</c:v>
                </c:pt>
                <c:pt idx="1">
                  <c:v>1686583.6888888888</c:v>
                </c:pt>
                <c:pt idx="2">
                  <c:v>0</c:v>
                </c:pt>
              </c:numCache>
            </c:numRef>
          </c:val>
          <c:extLst>
            <c:ext xmlns:c16="http://schemas.microsoft.com/office/drawing/2014/chart" uri="{C3380CC4-5D6E-409C-BE32-E72D297353CC}">
              <c16:uniqueId val="{00000002-C1AD-41FF-8E11-CBE2E8475006}"/>
            </c:ext>
          </c:extLst>
        </c:ser>
        <c:ser>
          <c:idx val="3"/>
          <c:order val="3"/>
          <c:tx>
            <c:strRef>
              <c:f>'X:\Projekti\Grad Zagreb\SEAP\Radno\Radno_ivan\ivan_tekst\[ukupno emisije inventara-08_01_2010.xlsx]sumarna-goriva'!$C$85</c:f>
              <c:strCache>
                <c:ptCount val="1"/>
                <c:pt idx="0">
                  <c:v>Biodizel</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inventara-08_01_2010.xlsx]sumarna-goriva'!$D$85:$F$85</c:f>
              <c:numCache>
                <c:formatCode>General</c:formatCode>
                <c:ptCount val="3"/>
                <c:pt idx="0">
                  <c:v>0</c:v>
                </c:pt>
                <c:pt idx="1">
                  <c:v>2739.4227777777774</c:v>
                </c:pt>
                <c:pt idx="2">
                  <c:v>0</c:v>
                </c:pt>
              </c:numCache>
            </c:numRef>
          </c:val>
          <c:extLst>
            <c:ext xmlns:c16="http://schemas.microsoft.com/office/drawing/2014/chart" uri="{C3380CC4-5D6E-409C-BE32-E72D297353CC}">
              <c16:uniqueId val="{00000003-C1AD-41FF-8E11-CBE2E8475006}"/>
            </c:ext>
          </c:extLst>
        </c:ser>
        <c:ser>
          <c:idx val="4"/>
          <c:order val="4"/>
          <c:tx>
            <c:strRef>
              <c:f>'X:\Projekti\Grad Zagreb\SEAP\Radno\Radno_ivan\ivan_tekst\[ukupno emisije inventara-08_01_2010.xlsx]sumarna-goriva'!$C$86</c:f>
              <c:strCache>
                <c:ptCount val="1"/>
                <c:pt idx="0">
                  <c:v>UNP</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inventara-08_01_2010.xlsx]sumarna-goriva'!$D$86:$F$86</c:f>
              <c:numCache>
                <c:formatCode>General</c:formatCode>
                <c:ptCount val="3"/>
                <c:pt idx="0">
                  <c:v>257.88327749999894</c:v>
                </c:pt>
                <c:pt idx="1">
                  <c:v>29738.508333333317</c:v>
                </c:pt>
                <c:pt idx="2">
                  <c:v>0</c:v>
                </c:pt>
              </c:numCache>
            </c:numRef>
          </c:val>
          <c:extLst>
            <c:ext xmlns:c16="http://schemas.microsoft.com/office/drawing/2014/chart" uri="{C3380CC4-5D6E-409C-BE32-E72D297353CC}">
              <c16:uniqueId val="{00000004-C1AD-41FF-8E11-CBE2E8475006}"/>
            </c:ext>
          </c:extLst>
        </c:ser>
        <c:ser>
          <c:idx val="5"/>
          <c:order val="5"/>
          <c:tx>
            <c:strRef>
              <c:f>'X:\Projekti\Grad Zagreb\SEAP\Radno\Radno_ivan\ivan_tekst\[ukupno emisije inventara-08_01_2010.xlsx]sumarna-goriva'!$C$87</c:f>
              <c:strCache>
                <c:ptCount val="1"/>
                <c:pt idx="0">
                  <c:v>Prirodni plin</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inventara-08_01_2010.xlsx]sumarna-goriva'!$D$87:$F$87</c:f>
              <c:numCache>
                <c:formatCode>General</c:formatCode>
                <c:ptCount val="3"/>
                <c:pt idx="0">
                  <c:v>3156357.8521626717</c:v>
                </c:pt>
                <c:pt idx="1">
                  <c:v>313.8388888888889</c:v>
                </c:pt>
                <c:pt idx="2">
                  <c:v>363.88888888888886</c:v>
                </c:pt>
              </c:numCache>
            </c:numRef>
          </c:val>
          <c:extLst>
            <c:ext xmlns:c16="http://schemas.microsoft.com/office/drawing/2014/chart" uri="{C3380CC4-5D6E-409C-BE32-E72D297353CC}">
              <c16:uniqueId val="{00000005-C1AD-41FF-8E11-CBE2E8475006}"/>
            </c:ext>
          </c:extLst>
        </c:ser>
        <c:ser>
          <c:idx val="6"/>
          <c:order val="6"/>
          <c:tx>
            <c:strRef>
              <c:f>'X:\Projekti\Grad Zagreb\SEAP\Radno\Radno_ivan\ivan_tekst\[ukupno emisije inventara-08_01_2010.xlsx]sumarna-goriva'!$C$88</c:f>
              <c:strCache>
                <c:ptCount val="1"/>
                <c:pt idx="0">
                  <c:v>Ogrjevno drvo</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inventara-08_01_2010.xlsx]sumarna-goriva'!$D$88:$F$88</c:f>
              <c:numCache>
                <c:formatCode>General</c:formatCode>
                <c:ptCount val="3"/>
                <c:pt idx="0">
                  <c:v>187200.96143806938</c:v>
                </c:pt>
                <c:pt idx="1">
                  <c:v>0</c:v>
                </c:pt>
                <c:pt idx="2">
                  <c:v>0</c:v>
                </c:pt>
              </c:numCache>
            </c:numRef>
          </c:val>
          <c:extLst>
            <c:ext xmlns:c16="http://schemas.microsoft.com/office/drawing/2014/chart" uri="{C3380CC4-5D6E-409C-BE32-E72D297353CC}">
              <c16:uniqueId val="{00000006-C1AD-41FF-8E11-CBE2E8475006}"/>
            </c:ext>
          </c:extLst>
        </c:ser>
        <c:ser>
          <c:idx val="7"/>
          <c:order val="7"/>
          <c:tx>
            <c:strRef>
              <c:f>'X:\Projekti\Grad Zagreb\SEAP\Radno\Radno_ivan\ivan_tekst\[ukupno emisije inventara-08_01_2010.xlsx]sumarna-goriva'!$C$89</c:f>
              <c:strCache>
                <c:ptCount val="1"/>
                <c:pt idx="0">
                  <c:v>Električna energija</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inventara-08_01_2010.xlsx]sumarna-goriva'!$D$89:$F$89</c:f>
              <c:numCache>
                <c:formatCode>General</c:formatCode>
                <c:ptCount val="3"/>
                <c:pt idx="0">
                  <c:v>1732630.7574867576</c:v>
                </c:pt>
                <c:pt idx="1">
                  <c:v>61.485928000000001</c:v>
                </c:pt>
                <c:pt idx="2">
                  <c:v>90100</c:v>
                </c:pt>
              </c:numCache>
            </c:numRef>
          </c:val>
          <c:extLst>
            <c:ext xmlns:c16="http://schemas.microsoft.com/office/drawing/2014/chart" uri="{C3380CC4-5D6E-409C-BE32-E72D297353CC}">
              <c16:uniqueId val="{00000007-C1AD-41FF-8E11-CBE2E8475006}"/>
            </c:ext>
          </c:extLst>
        </c:ser>
        <c:ser>
          <c:idx val="8"/>
          <c:order val="8"/>
          <c:tx>
            <c:strRef>
              <c:f>'X:\Projekti\Grad Zagreb\SEAP\Radno\Radno_ivan\ivan_tekst\[ukupno emisije inventara-08_01_2010.xlsx]sumarna-goriva'!$C$90</c:f>
              <c:strCache>
                <c:ptCount val="1"/>
                <c:pt idx="0">
                  <c:v>Toplina</c:v>
                </c:pt>
              </c:strCache>
            </c:strRef>
          </c:tx>
          <c:invertIfNegative val="0"/>
          <c:cat>
            <c:strRef>
              <c:f>'X:\Projekti\Grad Zagreb\SEAP\Radno\Radno_ivan\ivan_tekst\[ukupno emisije inventara-08_01_2010.xlsx]sumarna-goriva'!$D$81:$F$81</c:f>
              <c:strCache>
                <c:ptCount val="3"/>
                <c:pt idx="0">
                  <c:v>Zgradarstvo</c:v>
                </c:pt>
                <c:pt idx="1">
                  <c:v>Promet</c:v>
                </c:pt>
                <c:pt idx="2">
                  <c:v>Javna rasvjeta</c:v>
                </c:pt>
              </c:strCache>
            </c:strRef>
          </c:cat>
          <c:val>
            <c:numRef>
              <c:f>'X:\Projekti\Grad Zagreb\SEAP\Radno\Radno_ivan\ivan_tekst\[ukupno emisije inventara-08_01_2010.xlsx]sumarna-goriva'!$D$90:$F$90</c:f>
              <c:numCache>
                <c:formatCode>General</c:formatCode>
                <c:ptCount val="3"/>
                <c:pt idx="0">
                  <c:v>1909679.6219534068</c:v>
                </c:pt>
                <c:pt idx="1">
                  <c:v>0</c:v>
                </c:pt>
                <c:pt idx="2">
                  <c:v>0</c:v>
                </c:pt>
              </c:numCache>
            </c:numRef>
          </c:val>
          <c:extLst>
            <c:ext xmlns:c16="http://schemas.microsoft.com/office/drawing/2014/chart" uri="{C3380CC4-5D6E-409C-BE32-E72D297353CC}">
              <c16:uniqueId val="{00000008-C1AD-41FF-8E11-CBE2E8475006}"/>
            </c:ext>
          </c:extLst>
        </c:ser>
        <c:dLbls>
          <c:showLegendKey val="0"/>
          <c:showVal val="0"/>
          <c:showCatName val="0"/>
          <c:showSerName val="0"/>
          <c:showPercent val="0"/>
          <c:showBubbleSize val="0"/>
        </c:dLbls>
        <c:gapWidth val="150"/>
        <c:overlap val="100"/>
        <c:axId val="391659008"/>
        <c:axId val="391973120"/>
      </c:barChart>
      <c:catAx>
        <c:axId val="391659008"/>
        <c:scaling>
          <c:orientation val="minMax"/>
        </c:scaling>
        <c:delete val="0"/>
        <c:axPos val="b"/>
        <c:numFmt formatCode="General" sourceLinked="1"/>
        <c:majorTickMark val="out"/>
        <c:minorTickMark val="none"/>
        <c:tickLblPos val="nextTo"/>
        <c:txPr>
          <a:bodyPr rot="0" vert="horz"/>
          <a:lstStyle/>
          <a:p>
            <a:pPr>
              <a:defRPr/>
            </a:pPr>
            <a:endParaRPr lang="sr-Latn-RS"/>
          </a:p>
        </c:txPr>
        <c:crossAx val="391973120"/>
        <c:crosses val="autoZero"/>
        <c:auto val="1"/>
        <c:lblAlgn val="ctr"/>
        <c:lblOffset val="100"/>
        <c:tickLblSkip val="1"/>
        <c:tickMarkSkip val="1"/>
        <c:noMultiLvlLbl val="0"/>
      </c:catAx>
      <c:valAx>
        <c:axId val="391973120"/>
        <c:scaling>
          <c:orientation val="minMax"/>
        </c:scaling>
        <c:delete val="0"/>
        <c:axPos val="l"/>
        <c:majorGridlines/>
        <c:title>
          <c:tx>
            <c:rich>
              <a:bodyPr/>
              <a:lstStyle/>
              <a:p>
                <a:pPr>
                  <a:defRPr b="0"/>
                </a:pPr>
                <a:r>
                  <a:rPr lang="en-US" b="0"/>
                  <a:t>Potrošnja energije, MWh</a:t>
                </a:r>
              </a:p>
            </c:rich>
          </c:tx>
          <c:layout>
            <c:manualLayout>
              <c:xMode val="edge"/>
              <c:yMode val="edge"/>
              <c:x val="3.8557679254834963E-2"/>
              <c:y val="0.20626711086460944"/>
            </c:manualLayout>
          </c:layout>
          <c:overlay val="0"/>
        </c:title>
        <c:numFmt formatCode="#,##0" sourceLinked="0"/>
        <c:majorTickMark val="out"/>
        <c:minorTickMark val="none"/>
        <c:tickLblPos val="nextTo"/>
        <c:txPr>
          <a:bodyPr rot="0" vert="horz"/>
          <a:lstStyle/>
          <a:p>
            <a:pPr>
              <a:defRPr/>
            </a:pPr>
            <a:endParaRPr lang="sr-Latn-RS"/>
          </a:p>
        </c:txPr>
        <c:crossAx val="391659008"/>
        <c:crosses val="autoZero"/>
        <c:crossBetween val="between"/>
      </c:valAx>
      <c:spPr>
        <a:noFill/>
      </c:spPr>
    </c:plotArea>
    <c:legend>
      <c:legendPos val="r"/>
      <c:layout>
        <c:manualLayout>
          <c:xMode val="edge"/>
          <c:yMode val="edge"/>
          <c:x val="0.80620256758035458"/>
          <c:y val="5.2579373636136302E-2"/>
          <c:w val="0.18346276377630091"/>
          <c:h val="0.85102510803094733"/>
        </c:manualLayout>
      </c:layout>
      <c:overlay val="0"/>
      <c:txPr>
        <a:bodyPr/>
        <a:lstStyle/>
        <a:p>
          <a:pPr>
            <a:defRPr sz="800"/>
          </a:pPr>
          <a:endParaRPr lang="sr-Latn-RS"/>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hr-HR" sz="1100" b="1"/>
              <a:t>Emisija CO</a:t>
            </a:r>
            <a:r>
              <a:rPr lang="hr-HR" sz="1100" b="1">
                <a:latin typeface="Calibri"/>
              </a:rPr>
              <a:t>₂ po sektorima</a:t>
            </a:r>
            <a:endParaRPr lang="hr-HR" sz="1100" b="1"/>
          </a:p>
        </c:rich>
      </c:tx>
      <c:layout>
        <c:manualLayout>
          <c:xMode val="edge"/>
          <c:yMode val="edge"/>
          <c:x val="0.35834765044296646"/>
          <c:y val="1.9236682384197443E-2"/>
        </c:manualLayout>
      </c:layout>
      <c:overlay val="0"/>
    </c:title>
    <c:autoTitleDeleted val="0"/>
    <c:plotArea>
      <c:layout>
        <c:manualLayout>
          <c:layoutTarget val="inner"/>
          <c:xMode val="edge"/>
          <c:yMode val="edge"/>
          <c:x val="0.25468872281095434"/>
          <c:y val="0.11844229828369419"/>
          <c:w val="0.71918582700173961"/>
          <c:h val="0.7493975283135218"/>
        </c:manualLayout>
      </c:layout>
      <c:barChart>
        <c:barDir val="col"/>
        <c:grouping val="clustered"/>
        <c:varyColors val="1"/>
        <c:ser>
          <c:idx val="0"/>
          <c:order val="0"/>
          <c:invertIfNegative val="0"/>
          <c:cat>
            <c:strRef>
              <c:f>'X:\Projekti\Grad Zagreb\SEAP\Radno\Radno_ivan\ivan_tekst\[ukupno emisije inventara-08_01_2010.xlsx]sumarna-emisije'!$D$63:$F$63</c:f>
              <c:strCache>
                <c:ptCount val="3"/>
                <c:pt idx="0">
                  <c:v>Zgradarstvo</c:v>
                </c:pt>
                <c:pt idx="1">
                  <c:v>Promet</c:v>
                </c:pt>
                <c:pt idx="2">
                  <c:v>Javna rasvjeta</c:v>
                </c:pt>
              </c:strCache>
            </c:strRef>
          </c:cat>
          <c:val>
            <c:numRef>
              <c:f>'X:\Projekti\Grad Zagreb\SEAP\Radno\Radno_ivan\ivan_tekst\[ukupno emisije inventara-08_01_2010.xlsx]sumarna-emisije'!$D$64:$F$64</c:f>
              <c:numCache>
                <c:formatCode>General</c:formatCode>
                <c:ptCount val="3"/>
                <c:pt idx="0">
                  <c:v>1731927.4285716398</c:v>
                </c:pt>
                <c:pt idx="1">
                  <c:v>1007443.0700000001</c:v>
                </c:pt>
                <c:pt idx="2">
                  <c:v>29175.559999999896</c:v>
                </c:pt>
              </c:numCache>
            </c:numRef>
          </c:val>
          <c:extLst>
            <c:ext xmlns:c16="http://schemas.microsoft.com/office/drawing/2014/chart" uri="{C3380CC4-5D6E-409C-BE32-E72D297353CC}">
              <c16:uniqueId val="{00000000-4D67-486B-A5FA-CAFD922892CA}"/>
            </c:ext>
          </c:extLst>
        </c:ser>
        <c:dLbls>
          <c:showLegendKey val="0"/>
          <c:showVal val="0"/>
          <c:showCatName val="0"/>
          <c:showSerName val="0"/>
          <c:showPercent val="0"/>
          <c:showBubbleSize val="0"/>
        </c:dLbls>
        <c:gapWidth val="150"/>
        <c:axId val="374683136"/>
        <c:axId val="391974848"/>
      </c:barChart>
      <c:catAx>
        <c:axId val="374683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391974848"/>
        <c:crosses val="autoZero"/>
        <c:auto val="1"/>
        <c:lblAlgn val="ctr"/>
        <c:lblOffset val="100"/>
        <c:tickLblSkip val="1"/>
        <c:tickMarkSkip val="1"/>
        <c:noMultiLvlLbl val="0"/>
      </c:catAx>
      <c:valAx>
        <c:axId val="391974848"/>
        <c:scaling>
          <c:orientation val="minMax"/>
        </c:scaling>
        <c:delete val="0"/>
        <c:axPos val="l"/>
        <c:majorGridlines>
          <c:spPr>
            <a:ln w="3175">
              <a:solidFill>
                <a:srgbClr val="969696"/>
              </a:solidFill>
              <a:prstDash val="sysDash"/>
            </a:ln>
          </c:spPr>
        </c:majorGridlines>
        <c:title>
          <c:tx>
            <c:rich>
              <a:bodyPr/>
              <a:lstStyle/>
              <a:p>
                <a:pPr>
                  <a:defRPr/>
                </a:pPr>
                <a:r>
                  <a:rPr lang="en-US"/>
                  <a:t>Emisija t CO2</a:t>
                </a:r>
              </a:p>
            </c:rich>
          </c:tx>
          <c:layout>
            <c:manualLayout>
              <c:xMode val="edge"/>
              <c:yMode val="edge"/>
              <c:x val="3.4380109737450808E-2"/>
              <c:y val="0.3163230066177228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74683136"/>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sz="1000" b="1">
                <a:latin typeface="+mn-lt"/>
              </a:rPr>
              <a:t>Emisija CO₂ po energentima</a:t>
            </a:r>
          </a:p>
        </c:rich>
      </c:tx>
      <c:overlay val="0"/>
    </c:title>
    <c:autoTitleDeleted val="0"/>
    <c:plotArea>
      <c:layout>
        <c:manualLayout>
          <c:layoutTarget val="inner"/>
          <c:xMode val="edge"/>
          <c:yMode val="edge"/>
          <c:x val="0.16057211598550178"/>
          <c:y val="0.12356112719104682"/>
          <c:w val="0.82048407143551505"/>
          <c:h val="0.66914149380059251"/>
        </c:manualLayout>
      </c:layout>
      <c:barChart>
        <c:barDir val="col"/>
        <c:grouping val="clustered"/>
        <c:varyColors val="1"/>
        <c:ser>
          <c:idx val="0"/>
          <c:order val="0"/>
          <c:invertIfNegative val="0"/>
          <c:cat>
            <c:strRef>
              <c:f>'X:\iselanec\Grad Zagreb\Proracun\[ukupno emisije inventara-10_02_2010.xlsx]sumarna-emisije'!$C$95:$C$103</c:f>
              <c:strCache>
                <c:ptCount val="9"/>
                <c:pt idx="0">
                  <c:v>Prirodni plin</c:v>
                </c:pt>
                <c:pt idx="1">
                  <c:v>Električna energija</c:v>
                </c:pt>
                <c:pt idx="2">
                  <c:v>Dizel</c:v>
                </c:pt>
                <c:pt idx="3">
                  <c:v>Toplina</c:v>
                </c:pt>
                <c:pt idx="4">
                  <c:v>Motorni benzin</c:v>
                </c:pt>
                <c:pt idx="5">
                  <c:v>Loživo ulje</c:v>
                </c:pt>
                <c:pt idx="6">
                  <c:v>UNP</c:v>
                </c:pt>
                <c:pt idx="7">
                  <c:v>Biodizel</c:v>
                </c:pt>
                <c:pt idx="8">
                  <c:v>Ogrjevno drvo</c:v>
                </c:pt>
              </c:strCache>
            </c:strRef>
          </c:cat>
          <c:val>
            <c:numRef>
              <c:f>'X:\iselanec\Grad Zagreb\Proracun\[ukupno emisije inventara-10_02_2010.xlsx]sumarna-emisije'!$D$95:$D$103</c:f>
              <c:numCache>
                <c:formatCode>General</c:formatCode>
                <c:ptCount val="9"/>
                <c:pt idx="0">
                  <c:v>634212.49534244195</c:v>
                </c:pt>
                <c:pt idx="1">
                  <c:v>608609.13466822263</c:v>
                </c:pt>
                <c:pt idx="2">
                  <c:v>545266.10000000009</c:v>
                </c:pt>
                <c:pt idx="3">
                  <c:v>465685.18282233743</c:v>
                </c:pt>
                <c:pt idx="4">
                  <c:v>433828.8</c:v>
                </c:pt>
                <c:pt idx="5">
                  <c:v>100000.20077531204</c:v>
                </c:pt>
                <c:pt idx="6">
                  <c:v>8448.9766828964403</c:v>
                </c:pt>
                <c:pt idx="7">
                  <c:v>0</c:v>
                </c:pt>
                <c:pt idx="8">
                  <c:v>0</c:v>
                </c:pt>
              </c:numCache>
            </c:numRef>
          </c:val>
          <c:extLst>
            <c:ext xmlns:c16="http://schemas.microsoft.com/office/drawing/2014/chart" uri="{C3380CC4-5D6E-409C-BE32-E72D297353CC}">
              <c16:uniqueId val="{00000000-924B-4076-A439-D161B9774FC3}"/>
            </c:ext>
          </c:extLst>
        </c:ser>
        <c:dLbls>
          <c:showLegendKey val="0"/>
          <c:showVal val="0"/>
          <c:showCatName val="0"/>
          <c:showSerName val="0"/>
          <c:showPercent val="0"/>
          <c:showBubbleSize val="0"/>
        </c:dLbls>
        <c:gapWidth val="150"/>
        <c:axId val="396845056"/>
        <c:axId val="391976576"/>
      </c:barChart>
      <c:catAx>
        <c:axId val="3968450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sr-Latn-RS"/>
          </a:p>
        </c:txPr>
        <c:crossAx val="391976576"/>
        <c:crosses val="autoZero"/>
        <c:auto val="1"/>
        <c:lblAlgn val="ctr"/>
        <c:lblOffset val="100"/>
        <c:tickLblSkip val="1"/>
        <c:tickMarkSkip val="1"/>
        <c:noMultiLvlLbl val="0"/>
      </c:catAx>
      <c:valAx>
        <c:axId val="391976576"/>
        <c:scaling>
          <c:orientation val="minMax"/>
        </c:scaling>
        <c:delete val="0"/>
        <c:axPos val="l"/>
        <c:majorGridlines>
          <c:spPr>
            <a:ln w="3175">
              <a:solidFill>
                <a:srgbClr val="969696"/>
              </a:solidFill>
              <a:prstDash val="sysDash"/>
            </a:ln>
          </c:spPr>
        </c:majorGridlines>
        <c:title>
          <c:tx>
            <c:rich>
              <a:bodyPr/>
              <a:lstStyle/>
              <a:p>
                <a:pPr>
                  <a:defRPr/>
                </a:pPr>
                <a:r>
                  <a:rPr lang="en-US"/>
                  <a:t>Emisija t CO2</a:t>
                </a:r>
              </a:p>
            </c:rich>
          </c:tx>
          <c:layout>
            <c:manualLayout>
              <c:xMode val="edge"/>
              <c:yMode val="edge"/>
              <c:x val="1.3531808670268602E-2"/>
              <c:y val="0.3265822784810139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396845056"/>
        <c:crosses val="autoZero"/>
        <c:crossBetween val="between"/>
      </c:valAx>
      <c:spPr>
        <a:noFill/>
        <a:ln w="3175">
          <a:solidFill>
            <a:srgbClr val="808080"/>
          </a:solidFill>
          <a:prstDash val="solid"/>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mn-lt"/>
          <a:ea typeface="Arial"/>
          <a:cs typeface="Arial" pitchFamily="34" charset="0"/>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hr-HR" sz="1100"/>
              <a:t>Emisija CO₂ po sektorima i energentima</a:t>
            </a:r>
          </a:p>
        </c:rich>
      </c:tx>
      <c:overlay val="0"/>
    </c:title>
    <c:autoTitleDeleted val="0"/>
    <c:plotArea>
      <c:layout>
        <c:manualLayout>
          <c:layoutTarget val="inner"/>
          <c:xMode val="edge"/>
          <c:yMode val="edge"/>
          <c:x val="0.25345185845336288"/>
          <c:y val="0.14403938690356041"/>
          <c:w val="0.54452895988731276"/>
          <c:h val="0.73191016387374652"/>
        </c:manualLayout>
      </c:layout>
      <c:barChart>
        <c:barDir val="col"/>
        <c:grouping val="stacked"/>
        <c:varyColors val="0"/>
        <c:ser>
          <c:idx val="0"/>
          <c:order val="0"/>
          <c:tx>
            <c:strRef>
              <c:f>'X:\Projekti\Grad Zagreb\SEAP\Radno\Radno_ivan\ivan_tekst\[ukupno emisije inventara-08_01_2010.xlsx]sumarna-emisije'!$C$82</c:f>
              <c:strCache>
                <c:ptCount val="1"/>
                <c:pt idx="0">
                  <c:v>Dizel</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inventara-08_01_2010.xlsx]sumarna-emisije'!$D$82:$F$82</c:f>
              <c:numCache>
                <c:formatCode>General</c:formatCode>
                <c:ptCount val="3"/>
                <c:pt idx="0">
                  <c:v>0</c:v>
                </c:pt>
                <c:pt idx="1">
                  <c:v>545266.10000000009</c:v>
                </c:pt>
                <c:pt idx="2">
                  <c:v>0</c:v>
                </c:pt>
              </c:numCache>
            </c:numRef>
          </c:val>
          <c:extLst>
            <c:ext xmlns:c16="http://schemas.microsoft.com/office/drawing/2014/chart" uri="{C3380CC4-5D6E-409C-BE32-E72D297353CC}">
              <c16:uniqueId val="{00000000-AA58-49CD-8B82-37DD112C47A0}"/>
            </c:ext>
          </c:extLst>
        </c:ser>
        <c:ser>
          <c:idx val="1"/>
          <c:order val="1"/>
          <c:tx>
            <c:strRef>
              <c:f>'X:\Projekti\Grad Zagreb\SEAP\Radno\Radno_ivan\ivan_tekst\[ukupno emisije inventara-08_01_2010.xlsx]sumarna-emisije'!$C$83</c:f>
              <c:strCache>
                <c:ptCount val="1"/>
                <c:pt idx="0">
                  <c:v>Loživo ulje</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inventara-08_01_2010.xlsx]sumarna-emisije'!$D$83:$F$83</c:f>
              <c:numCache>
                <c:formatCode>General</c:formatCode>
                <c:ptCount val="3"/>
                <c:pt idx="0">
                  <c:v>72495.369055740826</c:v>
                </c:pt>
                <c:pt idx="1">
                  <c:v>0</c:v>
                </c:pt>
                <c:pt idx="2">
                  <c:v>0</c:v>
                </c:pt>
              </c:numCache>
            </c:numRef>
          </c:val>
          <c:extLst>
            <c:ext xmlns:c16="http://schemas.microsoft.com/office/drawing/2014/chart" uri="{C3380CC4-5D6E-409C-BE32-E72D297353CC}">
              <c16:uniqueId val="{00000001-AA58-49CD-8B82-37DD112C47A0}"/>
            </c:ext>
          </c:extLst>
        </c:ser>
        <c:ser>
          <c:idx val="2"/>
          <c:order val="2"/>
          <c:tx>
            <c:strRef>
              <c:f>'X:\Projekti\Grad Zagreb\SEAP\Radno\Radno_ivan\ivan_tekst\[ukupno emisije inventara-08_01_2010.xlsx]sumarna-emisije'!$C$84</c:f>
              <c:strCache>
                <c:ptCount val="1"/>
                <c:pt idx="0">
                  <c:v>Motorni benzin</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inventara-08_01_2010.xlsx]sumarna-emisije'!$D$84:$F$84</c:f>
              <c:numCache>
                <c:formatCode>General</c:formatCode>
                <c:ptCount val="3"/>
                <c:pt idx="0">
                  <c:v>0</c:v>
                </c:pt>
                <c:pt idx="1">
                  <c:v>433828.8</c:v>
                </c:pt>
                <c:pt idx="2">
                  <c:v>0</c:v>
                </c:pt>
              </c:numCache>
            </c:numRef>
          </c:val>
          <c:extLst>
            <c:ext xmlns:c16="http://schemas.microsoft.com/office/drawing/2014/chart" uri="{C3380CC4-5D6E-409C-BE32-E72D297353CC}">
              <c16:uniqueId val="{00000002-AA58-49CD-8B82-37DD112C47A0}"/>
            </c:ext>
          </c:extLst>
        </c:ser>
        <c:ser>
          <c:idx val="3"/>
          <c:order val="3"/>
          <c:tx>
            <c:strRef>
              <c:f>'X:\Projekti\Grad Zagreb\SEAP\Radno\Radno_ivan\ivan_tekst\[ukupno emisije inventara-08_01_2010.xlsx]sumarna-emisije'!$C$85</c:f>
              <c:strCache>
                <c:ptCount val="1"/>
                <c:pt idx="0">
                  <c:v>Biodizel</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inventara-08_01_2010.xlsx]sumarna-emisije'!$D$85:$F$85</c:f>
              <c:numCache>
                <c:formatCode>General</c:formatCode>
                <c:ptCount val="3"/>
                <c:pt idx="0">
                  <c:v>0</c:v>
                </c:pt>
                <c:pt idx="1">
                  <c:v>0</c:v>
                </c:pt>
                <c:pt idx="2">
                  <c:v>0</c:v>
                </c:pt>
              </c:numCache>
            </c:numRef>
          </c:val>
          <c:extLst>
            <c:ext xmlns:c16="http://schemas.microsoft.com/office/drawing/2014/chart" uri="{C3380CC4-5D6E-409C-BE32-E72D297353CC}">
              <c16:uniqueId val="{00000003-AA58-49CD-8B82-37DD112C47A0}"/>
            </c:ext>
          </c:extLst>
        </c:ser>
        <c:ser>
          <c:idx val="4"/>
          <c:order val="4"/>
          <c:tx>
            <c:strRef>
              <c:f>'X:\Projekti\Grad Zagreb\SEAP\Radno\Radno_ivan\ivan_tekst\[ukupno emisije inventara-08_01_2010.xlsx]sumarna-emisije'!$C$86</c:f>
              <c:strCache>
                <c:ptCount val="1"/>
                <c:pt idx="0">
                  <c:v>UNP</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inventara-08_01_2010.xlsx]sumarna-emisije'!$D$86:$F$86</c:f>
              <c:numCache>
                <c:formatCode>General</c:formatCode>
                <c:ptCount val="3"/>
                <c:pt idx="0">
                  <c:v>57.976682896440003</c:v>
                </c:pt>
                <c:pt idx="1">
                  <c:v>8391</c:v>
                </c:pt>
                <c:pt idx="2">
                  <c:v>0</c:v>
                </c:pt>
              </c:numCache>
            </c:numRef>
          </c:val>
          <c:extLst>
            <c:ext xmlns:c16="http://schemas.microsoft.com/office/drawing/2014/chart" uri="{C3380CC4-5D6E-409C-BE32-E72D297353CC}">
              <c16:uniqueId val="{00000004-AA58-49CD-8B82-37DD112C47A0}"/>
            </c:ext>
          </c:extLst>
        </c:ser>
        <c:ser>
          <c:idx val="5"/>
          <c:order val="5"/>
          <c:tx>
            <c:strRef>
              <c:f>'X:\Projekti\Grad Zagreb\SEAP\Radno\Radno_ivan\ivan_tekst\[ukupno emisije inventara-08_01_2010.xlsx]sumarna-emisije'!$C$87</c:f>
              <c:strCache>
                <c:ptCount val="1"/>
                <c:pt idx="0">
                  <c:v>Prirodni plin</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inventara-08_01_2010.xlsx]sumarna-emisije'!$D$87:$F$87</c:f>
              <c:numCache>
                <c:formatCode>General</c:formatCode>
                <c:ptCount val="3"/>
                <c:pt idx="0">
                  <c:v>634049.16534244211</c:v>
                </c:pt>
                <c:pt idx="1">
                  <c:v>90.07</c:v>
                </c:pt>
                <c:pt idx="2">
                  <c:v>73.260000000000005</c:v>
                </c:pt>
              </c:numCache>
            </c:numRef>
          </c:val>
          <c:extLst>
            <c:ext xmlns:c16="http://schemas.microsoft.com/office/drawing/2014/chart" uri="{C3380CC4-5D6E-409C-BE32-E72D297353CC}">
              <c16:uniqueId val="{00000005-AA58-49CD-8B82-37DD112C47A0}"/>
            </c:ext>
          </c:extLst>
        </c:ser>
        <c:ser>
          <c:idx val="6"/>
          <c:order val="6"/>
          <c:tx>
            <c:strRef>
              <c:f>'X:\Projekti\Grad Zagreb\SEAP\Radno\Radno_ivan\ivan_tekst\[ukupno emisije inventara-08_01_2010.xlsx]sumarna-emisije'!$C$88</c:f>
              <c:strCache>
                <c:ptCount val="1"/>
                <c:pt idx="0">
                  <c:v>Ogrjevno drvo</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inventara-08_01_2010.xlsx]sumarna-emisije'!$D$88:$F$88</c:f>
              <c:numCache>
                <c:formatCode>General</c:formatCode>
                <c:ptCount val="3"/>
                <c:pt idx="0">
                  <c:v>0</c:v>
                </c:pt>
                <c:pt idx="1">
                  <c:v>0</c:v>
                </c:pt>
                <c:pt idx="2">
                  <c:v>0</c:v>
                </c:pt>
              </c:numCache>
            </c:numRef>
          </c:val>
          <c:extLst>
            <c:ext xmlns:c16="http://schemas.microsoft.com/office/drawing/2014/chart" uri="{C3380CC4-5D6E-409C-BE32-E72D297353CC}">
              <c16:uniqueId val="{00000006-AA58-49CD-8B82-37DD112C47A0}"/>
            </c:ext>
          </c:extLst>
        </c:ser>
        <c:ser>
          <c:idx val="7"/>
          <c:order val="7"/>
          <c:tx>
            <c:strRef>
              <c:f>'X:\Projekti\Grad Zagreb\SEAP\Radno\Radno_ivan\ivan_tekst\[ukupno emisije inventara-08_01_2010.xlsx]sumarna-emisije'!$C$89</c:f>
              <c:strCache>
                <c:ptCount val="1"/>
                <c:pt idx="0">
                  <c:v>Električna energija</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inventara-08_01_2010.xlsx]sumarna-emisije'!$D$89:$F$89</c:f>
              <c:numCache>
                <c:formatCode>General</c:formatCode>
                <c:ptCount val="3"/>
                <c:pt idx="0">
                  <c:v>559639.73466822237</c:v>
                </c:pt>
                <c:pt idx="1">
                  <c:v>19867.099999999908</c:v>
                </c:pt>
                <c:pt idx="2">
                  <c:v>29102.3</c:v>
                </c:pt>
              </c:numCache>
            </c:numRef>
          </c:val>
          <c:extLst>
            <c:ext xmlns:c16="http://schemas.microsoft.com/office/drawing/2014/chart" uri="{C3380CC4-5D6E-409C-BE32-E72D297353CC}">
              <c16:uniqueId val="{00000007-AA58-49CD-8B82-37DD112C47A0}"/>
            </c:ext>
          </c:extLst>
        </c:ser>
        <c:ser>
          <c:idx val="8"/>
          <c:order val="8"/>
          <c:tx>
            <c:strRef>
              <c:f>'X:\Projekti\Grad Zagreb\SEAP\Radno\Radno_ivan\ivan_tekst\[ukupno emisije inventara-08_01_2010.xlsx]sumarna-emisije'!$C$90</c:f>
              <c:strCache>
                <c:ptCount val="1"/>
                <c:pt idx="0">
                  <c:v>Toplina</c:v>
                </c:pt>
              </c:strCache>
            </c:strRef>
          </c:tx>
          <c:invertIfNegative val="0"/>
          <c:cat>
            <c:strRef>
              <c:f>'X:\Projekti\Grad Zagreb\SEAP\Radno\Radno_ivan\ivan_tekst\[ukupno emisije inventara-08_01_2010.xlsx]sumarna-emisije'!$D$81:$F$81</c:f>
              <c:strCache>
                <c:ptCount val="3"/>
                <c:pt idx="0">
                  <c:v>Zgradarstvo</c:v>
                </c:pt>
                <c:pt idx="1">
                  <c:v>Promet</c:v>
                </c:pt>
                <c:pt idx="2">
                  <c:v>Javna rasvjeta</c:v>
                </c:pt>
              </c:strCache>
            </c:strRef>
          </c:cat>
          <c:val>
            <c:numRef>
              <c:f>'X:\Projekti\Grad Zagreb\SEAP\Radno\Radno_ivan\ivan_tekst\[ukupno emisije inventara-08_01_2010.xlsx]sumarna-emisije'!$D$90:$F$90</c:f>
              <c:numCache>
                <c:formatCode>General</c:formatCode>
                <c:ptCount val="3"/>
                <c:pt idx="0">
                  <c:v>465685.18282233569</c:v>
                </c:pt>
                <c:pt idx="1">
                  <c:v>0</c:v>
                </c:pt>
                <c:pt idx="2">
                  <c:v>0</c:v>
                </c:pt>
              </c:numCache>
            </c:numRef>
          </c:val>
          <c:extLst>
            <c:ext xmlns:c16="http://schemas.microsoft.com/office/drawing/2014/chart" uri="{C3380CC4-5D6E-409C-BE32-E72D297353CC}">
              <c16:uniqueId val="{00000008-AA58-49CD-8B82-37DD112C47A0}"/>
            </c:ext>
          </c:extLst>
        </c:ser>
        <c:dLbls>
          <c:showLegendKey val="0"/>
          <c:showVal val="0"/>
          <c:showCatName val="0"/>
          <c:showSerName val="0"/>
          <c:showPercent val="0"/>
          <c:showBubbleSize val="0"/>
        </c:dLbls>
        <c:gapWidth val="150"/>
        <c:overlap val="100"/>
        <c:axId val="396846592"/>
        <c:axId val="391978304"/>
      </c:barChart>
      <c:catAx>
        <c:axId val="39684659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391978304"/>
        <c:crosses val="autoZero"/>
        <c:auto val="1"/>
        <c:lblAlgn val="ctr"/>
        <c:lblOffset val="100"/>
        <c:tickLblSkip val="1"/>
        <c:tickMarkSkip val="1"/>
        <c:noMultiLvlLbl val="0"/>
      </c:catAx>
      <c:valAx>
        <c:axId val="391978304"/>
        <c:scaling>
          <c:orientation val="minMax"/>
        </c:scaling>
        <c:delete val="0"/>
        <c:axPos val="l"/>
        <c:majorGridlines/>
        <c:title>
          <c:tx>
            <c:rich>
              <a:bodyPr/>
              <a:lstStyle/>
              <a:p>
                <a:pPr>
                  <a:defRPr b="0"/>
                </a:pPr>
                <a:r>
                  <a:rPr lang="en-US" b="0"/>
                  <a:t>Emisija t CO2</a:t>
                </a:r>
              </a:p>
            </c:rich>
          </c:tx>
          <c:layout>
            <c:manualLayout>
              <c:xMode val="edge"/>
              <c:yMode val="edge"/>
              <c:x val="3.3907969815891469E-2"/>
              <c:y val="0.34430379746835482"/>
            </c:manualLayout>
          </c:layout>
          <c:overlay val="0"/>
        </c:title>
        <c:numFmt formatCode="#,##0" sourceLinked="0"/>
        <c:majorTickMark val="out"/>
        <c:minorTickMark val="none"/>
        <c:tickLblPos val="nextTo"/>
        <c:txPr>
          <a:bodyPr rot="0" vert="horz"/>
          <a:lstStyle/>
          <a:p>
            <a:pPr>
              <a:defRPr/>
            </a:pPr>
            <a:endParaRPr lang="sr-Latn-RS"/>
          </a:p>
        </c:txPr>
        <c:crossAx val="396846592"/>
        <c:crosses val="autoZero"/>
        <c:crossBetween val="between"/>
      </c:valAx>
    </c:plotArea>
    <c:legend>
      <c:legendPos val="r"/>
      <c:layout>
        <c:manualLayout>
          <c:xMode val="edge"/>
          <c:yMode val="edge"/>
          <c:x val="0.8106070601116887"/>
          <c:y val="0.1032889718913341"/>
          <c:w val="0.17929315036738491"/>
          <c:h val="0.89671102810866588"/>
        </c:manualLayout>
      </c:layout>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AA69028DF934B8F4D0A7F57D28E08" ma:contentTypeVersion="2" ma:contentTypeDescription="Create a new document." ma:contentTypeScope="" ma:versionID="5fe4b1c95023fc6106fb987030964a57">
  <xsd:schema xmlns:xsd="http://www.w3.org/2001/XMLSchema" xmlns:xs="http://www.w3.org/2001/XMLSchema" xmlns:p="http://schemas.microsoft.com/office/2006/metadata/properties" xmlns:ns2="c09df97f-82fe-4749-a4c0-afb75fad392b" targetNamespace="http://schemas.microsoft.com/office/2006/metadata/properties" ma:root="true" ma:fieldsID="50cdc0cc7e1682bd0047084845ea6e91" ns2:_="">
    <xsd:import namespace="c09df97f-82fe-4749-a4c0-afb75fad39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df97f-82fe-4749-a4c0-afb75fad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A2F5-0CF3-4983-815B-7A6C88EB8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E226C5-BEE4-4DE5-8519-41E10AE43296}">
  <ds:schemaRefs>
    <ds:schemaRef ds:uri="http://schemas.microsoft.com/sharepoint/v3/contenttype/forms"/>
  </ds:schemaRefs>
</ds:datastoreItem>
</file>

<file path=customXml/itemProps3.xml><?xml version="1.0" encoding="utf-8"?>
<ds:datastoreItem xmlns:ds="http://schemas.openxmlformats.org/officeDocument/2006/customXml" ds:itemID="{78811101-CEAB-4871-AABD-E816C67F1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df97f-82fe-4749-a4c0-afb75fad3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58F2C-0AAE-4292-A94C-1DFEC537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151</Pages>
  <Words>44911</Words>
  <Characters>255998</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Ivan Ivanković</cp:lastModifiedBy>
  <cp:revision>44</cp:revision>
  <dcterms:created xsi:type="dcterms:W3CDTF">2019-03-21T15:17:00Z</dcterms:created>
  <dcterms:modified xsi:type="dcterms:W3CDTF">2019-03-22T14:12:00Z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0x010100C6DAA69028DF934B8F4D0A7F57D28E08</vt:lpwstr>
  </property>
</Properties>
</file>